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la Sección 6 recoge las conclusiones del trabajo; la Sección 7 propone líneas de trabajo futuro; y la Sección 8 incluye las referencias bibliográficas.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w:t>
      </w:r>
    </w:p>
    <w:p>
      <w:pPr>
        <w:spacing w:after="80" w:before="80"/>
        <w:jc w:val="both"/>
      </w:pPr>
      <w:r>
        <w:rPr>
          <w:rFonts w:ascii="Arial" w:cs="Arial" w:eastAsia="Arial" w:hAnsi="Arial"/>
          <w:b w:val="false"/>
          <w:bCs w:val="false"/>
          <w:i/>
          <w:iCs/>
          <w:color w:val="666666"/>
          <w:sz w:val="22"/>
          <w:szCs w:val="22"/>
        </w:rPr>
        <w:t xml:space="preserve">Tabla 4. Comparativa de configuraciones DT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400"/>
        <w:gridCol w:w="1400"/>
        <w:gridCol w:w="1500"/>
        <w:gridCol w:w="12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0,03</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0,25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13,78 ± 0,16</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70,91 ± 0,25</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55,14 ± 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54,90 ± 0,67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43,43 ± 0,39</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45,10 ± 0,67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max_depth=4</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78,65 ± 0,65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76,98 ± 3,22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77,15 ± 3,13</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23,02 ± 3,22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max_depth=6</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91,27 ± 0,47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87,88 ± 2,45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87,65 ± 2,37</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12,12 ± 2,45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max_depth=8</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98,02 ± 0,55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92,37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92,21 ± 1,69</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7,63 ± 1,68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DT max_depth=12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99,95 ± 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93,13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93,00 ± 1,35</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6,87 ± 1,37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max_depth=16</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100,00 ± 0,00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93,04 ± 1,57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92,92 ± 1,55</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6,96 ± 1,57</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de la mejor configuración: DT max_depth=12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Relación clara profundidad–rendimiento (Figura 11): a mayor max_depth, mayor accuracy y F1, hasta alcanzar un plateau. max_depth=1 produce un clasificador casi aleatorio (F1=13,78 %) al disponer de una sola partición binaria. max_depth=4 ya alcanza un F1 razonable del 77,15 %, y a partir de max_depth=6 se entra en el rango competitivo (F1 ≥ 87,65 %).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DT max_depth=12, con F1-score macro del 93,00 ± 1,35 % y accuracy del 93,13 ± 1,37 %. Este resultado es comparable al de SVM con kernel lineal (93,65 %) y superior a k-NN y DoME, confirmando la eficacia de los árboles en este dataset.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progresivo (Figura 11 dcha.): el gap entre train y test accuracy crece con la profundidad. Con max_depth=12, Train Acc = 99,95 % vs. Test Acc = 93,13 % (brecha de ≈6,8 puntos); con max_depth=16, el árbol memoriza completamente el conjunto de entrenamiento (Train=100 %) con un ligero descenso en test (93,04 %), señal de sobreajuste. La profundidad 12 ofrece el mejor equilibrio sesgo-varianza.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 con max_depth=12 es ±1,35 %, comparable a la de SVM y MLP, lo que indica que el modelo es robusto ante las distintas particiones de validación cruzada.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81,19 ± 2,44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80,51 ± 2,51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79,96 ± 3,66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79,28 ± 3,70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78,21 ± 3,83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77,27 ± 3,98</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77,03 ± 3,76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75,83 ± 4,10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74,38 ± 3,13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72,90 ± 3,31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72,72 ± 3,27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71,11 ± 3,38</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70,30 ± 2,00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68,19 ± 2,19</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80,51 ± 2,51 % y accuracy del 81,19 ± 2,44 %.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80,51 % con k=1 al 68,19 %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81,19 %. Esta brecha de ∼19 puntos porcentuales es el mayor nivel de sobreajuste observado en cualquier modelo de este trabajo. A medida que k aumenta, el overfitting se reduce progresivamente: con k=21, Train Acc = 73,28 % y Test Acc = 70,30 %,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max_depth=12</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93,13 ± 1,37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93,00 ± 1,35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6,87 ± 1,37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81,19 ± 2,44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80,51 ± 2,51</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(F1 = 93,00 % con max_depth=12) ocupa el tercer lugar, empatado estadísticamente con SVM. Destaca su interpretabilidad: las reglas de clasificación pueden visualizarse y validarse directamente por expertos clínicos, sin sacrificar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80,51 %) y DoME n=100 (F1 = 80,52 %) quedan estadísticamente empatados en cuarto lugar. k-NN es más rápido de implementar pero sufre un sobreajuste severo con k=1 (Train Acc = 100 %). DoME aporta interpretabilidad en forma de reglas difusas, con la ventaja adicional de no requerir normalización.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con max_depth=12 alcanza un F1 del 93,00 %, empatado estadísticamente con SVM. Además de su alto rendimiento, destaca por su interpretabilidad: las reglas de decisión aprendidas permiten identificar los umbrales críticos de las variables más discriminativas, especialmente Weight y Height.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y DoME con n=100 obtienen resultados prácticamente idénticos (F1 ≈ 80,51-80,52 %), situándose en cuarto lugar. k-NN presenta sobreajuste severo con k=1 (Train Acc = 100 %) y sensibilidad al hiperparámetro; DoME, en cambio, genera modelos interpretables en forma de reglas válidas para entornos clínicos.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Trabajo Futuro</w:t>
      </w:r>
    </w:p>
    <w:p>
      <w:pPr>
        <w:spacing w:after="160" w:before="80"/>
      </w:pPr>
      <w:r>
        <w:rPr>
          <w:rFonts w:ascii="Arial" w:cs="Arial" w:eastAsia="Arial" w:hAnsi="Arial"/>
          <w:b w:val="false"/>
          <w:bCs w:val="false"/>
          <w:i w:val="false"/>
          <w:iCs w:val="false"/>
          <w:color w:val="000000"/>
          <w:sz w:val="22"/>
          <w:szCs w:val="22"/>
        </w:rPr>
        <w:t xml:space="preserve">Los resultados obtenidos en este trabajo abren diversas líneas de investigación y mejora que podrían desarrollarse en trabajos futuros. A continuación se detallan las más relevantes, agrupadas por ámbito.</w:t>
      </w:r>
    </w:p>
    <w:p>
      <w:pPr>
        <w:pStyle w:val="Heading2"/>
        <w:spacing w:after="120" w:before="240"/>
      </w:pPr>
      <w:r>
        <w:rPr>
          <w:rFonts w:ascii="Arial" w:cs="Arial" w:eastAsia="Arial" w:hAnsi="Arial"/>
          <w:b/>
          <w:bCs/>
          <w:i w:val="false"/>
          <w:iCs w:val="false"/>
          <w:color w:val="2E74B5"/>
          <w:sz w:val="26"/>
          <w:szCs w:val="26"/>
        </w:rPr>
        <w:t xml:space="preserve">7.1. Modelos y técnicas avanzadas</w:t>
      </w:r>
    </w:p>
    <w:p>
      <w:pPr>
        <w:spacing w:after="120" w:before="80"/>
      </w:pPr>
      <w:r>
        <w:rPr>
          <w:rFonts w:ascii="Arial" w:cs="Arial" w:eastAsia="Arial" w:hAnsi="Arial"/>
          <w:b w:val="false"/>
          <w:bCs w:val="false"/>
          <w:i w:val="false"/>
          <w:iCs w:val="false"/>
          <w:color w:val="000000"/>
          <w:sz w:val="22"/>
          <w:szCs w:val="22"/>
        </w:rPr>
        <w:t xml:space="preserve">El modelo con mayor rendimiento en este trabajo (MLP con arquitectura [128,64] y activación sigmoide, F1 = 95,92 %) aún presenta un gap train-test de ∼3,8 puntos, lo que sugiere margen de mejora mediante técnicas de regularización (dropout, batch normalization) o mediante arquitecturas más profundas con early stopping. En la misma línea, resulta de especial interés explorar métodos de ensamblado supervisado, tales como Random Forest, Gradient Boosting (XGBoost, LightGBM) o Stacking, que combinan múltiples clasificadores base para reducir la varianza y aumentar la robustez ante distintas particiones de validación cruzada.</w:t>
      </w:r>
    </w:p>
    <w:p>
      <w:pPr>
        <w:spacing w:after="120" w:before="80"/>
      </w:pPr>
      <w:r>
        <w:rPr>
          <w:rFonts w:ascii="Arial" w:cs="Arial" w:eastAsia="Arial" w:hAnsi="Arial"/>
          <w:b w:val="false"/>
          <w:bCs w:val="false"/>
          <w:i w:val="false"/>
          <w:iCs w:val="false"/>
          <w:color w:val="000000"/>
          <w:sz w:val="22"/>
          <w:szCs w:val="22"/>
        </w:rPr>
        <w:t xml:space="preserve">Para el clasificador k-NN, el sobreajuste severo observado con k=1 (brecha train-test de ∼19 puntos) podría mitigarse mediante la búsqueda del valor óptimo de k por validación interna en el propio conjunto de entrenamiento, o bien utilizando distancias ponderadas (weighted k-NN) que suavicen la influencia de vecinos lejanos. Para DoME, dado que la curva de rendimiento en función de maximumNodes no mostró señales claras de saturación, sería interesante explorar valores superiores a 100 nodos con métricas adicionales de interpretabilidad que permitan cuantificar el coste en legibilidad frente a la ganancia en precisión.</w:t>
      </w:r>
    </w:p>
    <w:p>
      <w:pPr>
        <w:pStyle w:val="Heading2"/>
        <w:spacing w:after="120" w:before="240"/>
      </w:pPr>
      <w:r>
        <w:rPr>
          <w:rFonts w:ascii="Arial" w:cs="Arial" w:eastAsia="Arial" w:hAnsi="Arial"/>
          <w:b/>
          <w:bCs/>
          <w:i w:val="false"/>
          <w:iCs w:val="false"/>
          <w:color w:val="2E74B5"/>
          <w:sz w:val="26"/>
          <w:szCs w:val="26"/>
        </w:rPr>
        <w:t xml:space="preserve">7.2. Optimización de hiperparámetros</w:t>
      </w:r>
    </w:p>
    <w:p>
      <w:pPr>
        <w:spacing w:after="120" w:before="80"/>
      </w:pPr>
      <w:r>
        <w:rPr>
          <w:rFonts w:ascii="Arial" w:cs="Arial" w:eastAsia="Arial" w:hAnsi="Arial"/>
          <w:b w:val="false"/>
          <w:bCs w:val="false"/>
          <w:i w:val="false"/>
          <w:iCs w:val="false"/>
          <w:color w:val="000000"/>
          <w:sz w:val="22"/>
          <w:szCs w:val="22"/>
        </w:rPr>
        <w:t xml:space="preserve">La búsqueda de hiperparámetros realizada en este trabajo ha sido manual y sistemática, cubriendo un amplio rango de configuraciones para cada modelo. Sin embargo, técnicas automáticas como la búsqueda en rejilla (Grid Search), la búsqueda aleatoria (Random Search) o la optimización bayesiana (Bayesian Optimization) permitirían explorar de forma más eficiente el espacio de hiperparámetros, reduciendo el número de configuraciones evaluadas y maximizando el rendimiento. En particular, para la SVM podría explorarse la combinación de distintos valores de C y γ de forma conjunta mediante un espacio de búsqueda bidimensional, y para el MLP sería de interés evaluar distintas tasas de aprendizaje, tamaños de batch y estrategias de decaimiento del learning rate.</w:t>
      </w:r>
    </w:p>
    <w:p>
      <w:pPr>
        <w:pStyle w:val="Heading2"/>
        <w:spacing w:after="120" w:before="240"/>
      </w:pPr>
      <w:r>
        <w:rPr>
          <w:rFonts w:ascii="Arial" w:cs="Arial" w:eastAsia="Arial" w:hAnsi="Arial"/>
          <w:b/>
          <w:bCs/>
          <w:i w:val="false"/>
          <w:iCs w:val="false"/>
          <w:color w:val="2E74B5"/>
          <w:sz w:val="26"/>
          <w:szCs w:val="26"/>
        </w:rPr>
        <w:t xml:space="preserve">7.3. Enriquecimiento del dataset y generalización</w:t>
      </w:r>
    </w:p>
    <w:p>
      <w:pPr>
        <w:spacing w:after="120" w:before="80"/>
      </w:pPr>
      <w:r>
        <w:rPr>
          <w:rFonts w:ascii="Arial" w:cs="Arial" w:eastAsia="Arial" w:hAnsi="Arial"/>
          <w:b w:val="false"/>
          <w:bCs w:val="false"/>
          <w:i w:val="false"/>
          <w:iCs w:val="false"/>
          <w:color w:val="000000"/>
          <w:sz w:val="22"/>
          <w:szCs w:val="22"/>
        </w:rPr>
        <w:t xml:space="preserve">Una de las limitaciones más relevantes del dataset empleado es que el 77 % de sus instancias han sido generadas sintéticamente mediante SMOTE, y que los datos reales provienen exclusivamente de individuos de Colombia, Perú y México con edades comprendidas entre 14 y 61 años. Esto limita la capacidad de generalización de los modelos a otras poblaciones y franjas de edad. Como línea de trabajo futuro de gran impacto, se propone recopilar datos reales de mayor diversidad geográfica y demográfica, e incorporar variables clínicas objetivas que no están presentes en el dataset actual, tales como marcadores bioquímicos (glucosa en ayunas, triglicéridos, colesterol HDL/LDL), tensión arterial o historial de enfermedades metabólicas. La inclusión de estas variables podría incrementar significativamente la profundidad diagnóstica de los modelos y su utilidad clínica real.</w:t>
      </w:r>
    </w:p>
    <w:p>
      <w:pPr>
        <w:pStyle w:val="Heading2"/>
        <w:spacing w:after="120" w:before="240"/>
      </w:pPr>
      <w:r>
        <w:rPr>
          <w:rFonts w:ascii="Arial" w:cs="Arial" w:eastAsia="Arial" w:hAnsi="Arial"/>
          <w:b/>
          <w:bCs/>
          <w:i w:val="false"/>
          <w:iCs w:val="false"/>
          <w:color w:val="2E74B5"/>
          <w:sz w:val="26"/>
          <w:szCs w:val="26"/>
        </w:rPr>
        <w:t xml:space="preserve">7.4. Selección de características e interpretabilidad</w:t>
      </w:r>
    </w:p>
    <w:p>
      <w:pPr>
        <w:spacing w:after="160" w:before="80"/>
      </w:pPr>
      <w:r>
        <w:rPr>
          <w:rFonts w:ascii="Arial" w:cs="Arial" w:eastAsia="Arial" w:hAnsi="Arial"/>
          <w:b w:val="false"/>
          <w:bCs w:val="false"/>
          <w:i w:val="false"/>
          <w:iCs w:val="false"/>
          <w:color w:val="000000"/>
          <w:sz w:val="22"/>
          <w:szCs w:val="22"/>
        </w:rPr>
        <w:t xml:space="preserve">Aunque todos los modelos se han entrenado con el conjunto completo de 24 atributos preprocesados, la aplicación de técnicas de selección de características (feature selection) podría mejorar la eficiencia computacional y la interpretabilidad de los modelos sin sacrificar rendimiento. Métodos como la importancia de características basada en permutación (Permutation Feature Importance), el análisis de componentes principales (PCA) o las técnicas SHAP (SHapley Additive exPlanations) permitirían identificar qué variables tienen mayor impacto en la predicción del nivel de obesidad, facilitando además la validación clínica de los modelos por parte de expertos del dominio. Finalmente, dado el potencial de aplicación clínica de este trabajo, resultaría de interés desarrollar una interfaz de usuario sencilla que permita a profesionales sanitarios introducir las características de un paciente y obtener una estimación automática de su nivel de obesidad con la correspondiente justificación del modelo.</w:t>
      </w:r>
    </w:p>
    <w:p>
      <w:pPr>
        <w:pStyle w:val="Heading1"/>
        <w:spacing w:after="160" w:before="400"/>
      </w:pPr>
      <w:r>
        <w:rPr>
          <w:rFonts w:ascii="Arial" w:cs="Arial" w:eastAsia="Arial" w:hAnsi="Arial"/>
          <w:b/>
          <w:bCs/>
          <w:i w:val="false"/>
          <w:iCs w:val="false"/>
          <w:color w:val="1F4E79"/>
          <w:sz w:val="32"/>
          <w:szCs w:val="32"/>
        </w:rPr>
        <w:t xml:space="preserve">8. Bibliografía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 https://dl.acm.org/doi/10.1145/1143844.1143874</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Associação Médica Brasileira.</w:t>
      </w:r>
    </w:p>
    <w:p>
      <w:pPr>
        <w:spacing w:after="80" w:before="80"/>
        <w:ind w:left="720" w:hanging="360"/>
      </w:pPr>
      <w:r>
        <w:rPr>
          <w:rFonts w:ascii="Arial" w:cs="Arial" w:eastAsia="Arial" w:hAnsi="Arial"/>
          <w:b w:val="false"/>
          <w:bCs w:val="false"/>
          <w:i w:val="false"/>
          <w:iCs w:val="false"/>
          <w:color w:val="000000"/>
          <w:sz w:val="20"/>
          <w:szCs w:val="20"/>
        </w:rPr>
        <w:t xml:space="preserve">World Health Organization. (2024). Obesity and overweight fact sheet. https://www.who.int/news-room/fact-sheets/detail/obesity-and-overweight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339f5e1875c1d87b45d26fa573ac07da41fb21ac.png"/><Relationship Id="rId25" Type="http://schemas.openxmlformats.org/officeDocument/2006/relationships/image" Target="media/2d5191a877fa2fbb52afe52a87682374000811ed.png"/><Relationship Id="rId26" Type="http://schemas.openxmlformats.org/officeDocument/2006/relationships/image" Target="media/13a224bf154c761e3b02295b68aa33187ccce852.png"/><Relationship Id="rId27" Type="http://schemas.openxmlformats.org/officeDocument/2006/relationships/image" Target="media/c047d6017df428edaa4b1c29a3eefee9f85450ff.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2026-04-29T07:33:52.629Z</dcterms:created>
  <dcterms:modified xsi:type="dcterms:W3CDTF">2026-04-29T07:33:52.630Z</dcterms:modified>
</cp:coreProperties>
</file>

<file path=docProps/custom.xml><?xml version="1.0" encoding="utf-8"?>
<Properties xmlns="http://schemas.openxmlformats.org/officeDocument/2006/custom-properties" xmlns:vt="http://schemas.openxmlformats.org/officeDocument/2006/docPropsVTypes"/>
</file>