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y la Sección 6 recoge las conclusiones del trabajo.</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w:t>
      </w:r>
    </w:p>
    <w:p>
      <w:pPr>
        <w:spacing w:after="80" w:before="80"/>
        <w:jc w:val="both"/>
      </w:pPr>
      <w:r>
        <w:rPr>
          <w:rFonts w:ascii="Arial" w:cs="Arial" w:eastAsia="Arial" w:hAnsi="Arial"/>
          <w:b w:val="false"/>
          <w:bCs w:val="false"/>
          <w:i/>
          <w:iCs/>
          <w:color w:val="666666"/>
          <w:sz w:val="22"/>
          <w:szCs w:val="22"/>
        </w:rPr>
        <w:t xml:space="preserve">Tabla 4. Comparativa de configuraciones DT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400"/>
        <w:gridCol w:w="1400"/>
        <w:gridCol w:w="1500"/>
        <w:gridCol w:w="12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0,03</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0,25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13,78 ± 0,16</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70,91 ± 0,25</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55,14 ± 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54,90 ± 0,67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43,43 ± 0,39</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45,10 ± 0,67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max_depth=4</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78,65 ± 0,65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76,98 ± 3,22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77,15 ± 3,13</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23,02 ± 3,22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max_depth=6</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91,27 ± 0,47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87,88 ± 2,45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87,65 ± 2,37</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12,12 ± 2,45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max_depth=8</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98,02 ± 0,55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92,37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92,21 ± 1,69</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7,63 ± 1,68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DT max_depth=12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99,95 ± 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93,13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93,00 ± 1,35</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6,87 ± 1,37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max_depth=16</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100,00 ± 0,00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93,04 ± 1,57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92,92 ± 1,55</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6,96 ± 1,57</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de la mejor configuración: DT max_depth=12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Relación clara profundidad–rendimiento (Figura 11): a mayor max_depth, mayor accuracy y F1, hasta alcanzar un plateau. max_depth=1 produce un clasificador casi aleatorio (F1=13,78 %) al disponer de una sola partición binaria. max_depth=4 ya alcanza un F1 razonable del 77,15 %, y a partir de max_depth=6 se entra en el rango competitivo (F1 ≥ 87,65 %).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DT max_depth=12, con F1-score macro del 93,00 ± 1,35 % y accuracy del 93,13 ± 1,37 %. Este resultado es comparable al de SVM con kernel lineal (93,65 %) y superior a k-NN y DoME, confirmando la eficacia de los árboles en este dataset.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progresivo (Figura 11 dcha.): el gap entre train y test accuracy crece con la profundidad. Con max_depth=12, Train Acc = 99,95 % vs. Test Acc = 93,13 % (brecha de ≈6,8 puntos); con max_depth=16, el árbol memoriza completamente el conjunto de entrenamiento (Train=100 %) con un ligero descenso en test (93,04 %), señal de sobreajuste. La profundidad 12 ofrece el mejor equilibrio sesgo-varianza.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 con max_depth=12 es ±1,35 %, comparable a la de SVM y MLP, lo que indica que el modelo es robusto ante las distintas particiones de validación cruzada.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81,52 ± 2,63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80,84 ± 2,83</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79,87 ± 2,37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78,99 ± 2,63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78,73 ± 2,08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77,70 ± 2,25</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77,55 ± 1,53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76,55 ± 1,66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74,56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73,18 ± 1,95</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72,68 ± 2,01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71,05 ± 2,25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70,50 ± 2,51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68,40 ± 2,85</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80,84 ± 2,83 % y accuracy del 81,52 ± 2,63 %.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80,84 % con k=1 al 68,40 %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81,52 %. Esta brecha de ∼18 puntos porcentuales es el mayor nivel de sobreajuste observado en cualquier modelo de este trabajo. A medida que k aumenta, el overfitting se reduce progresivamente: con k=21, Train Acc = 73,28 % y Test Acc = 70,50 %,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max_depth=12</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93,13 ± 1,37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93,00 ± 1,35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6,87 ± 1,37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81,52 ± 2,63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80,84 ± 2,83</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(F1 = 93,00 % con max_depth=12) ocupa el tercer lugar, empatado estadísticamente con SVM. Destaca su interpretabilidad: las reglas de clasificación pueden visualizarse y validarse directamente por expertos clínicos, sin sacrificar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80,84 %) y DoME n=100 (F1 = 80,52 %) quedan prácticamente empatados en cuarto lugar. k-NN es más rápido de implementar pero sufre un sobreajuste severo con k=1 (Train Acc = 100 %). DoME aporta interpretabilidad en forma de reglas difusas, con la ventaja adicional de no requerir normalización.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40"/>
      </w:pPr>
      <w:r>
        <w:rPr>
          <w:rFonts w:ascii="Arial" w:cs="Arial" w:eastAsia="Arial" w:hAnsi="Arial"/>
          <w:b/>
          <w:bCs/>
          <w:i w:val="false"/>
          <w:iCs w:val="false"/>
          <w:color w:val="2E75B6"/>
          <w:sz w:val="26"/>
          <w:szCs w:val="26"/>
        </w:rPr>
        <w:t xml:space="preserve">5.2. Análisis estadístico de los resultados</w:t>
      </w:r>
    </w:p>
    <w:p>
      <w:pPr>
        <w:spacing w:after="80" w:before="80"/>
        <w:jc w:val="both"/>
      </w:pPr>
      <w:r>
        <w:rPr>
          <w:rFonts w:ascii="Arial" w:cs="Arial" w:eastAsia="Arial" w:hAnsi="Arial"/>
          <w:b w:val="false"/>
          <w:bCs w:val="false"/>
          <w:i w:val="false"/>
          <w:iCs w:val="false"/>
          <w:color w:val="000000"/>
          <w:sz w:val="22"/>
          <w:szCs w:val="22"/>
        </w:rPr>
        <w:t xml:space="preserve">Con el fin de verificar si las diferencias de rendimiento entre modelos son estadísticamente significativas o se deben a variabilidad aleatoria de los folds, se ha aplicado un test t de Student bilateral sobre los 10 resultados de validación cruzada de cada modelo, usando el error estándar SE = σ/√10. Se interpreta a nivel de significación α = 0,05.</w:t>
      </w:r>
    </w:p>
    <w:p>
      <w:pPr>
        <w:spacing w:after="80" w:before="80"/>
        <w:jc w:val="both"/>
      </w:pPr>
      <w:r>
        <w:rPr>
          <w:rFonts w:ascii="Arial" w:cs="Arial" w:eastAsia="Arial" w:hAnsi="Arial"/>
          <w:b w:val="false"/>
          <w:bCs w:val="false"/>
          <w:i w:val="false"/>
          <w:iCs w:val="false"/>
          <w:color w:val="000000"/>
          <w:sz w:val="22"/>
          <w:szCs w:val="22"/>
        </w:rPr>
        <w:t xml:space="preserve">Los intervalos de confianza al 95 % para el F1-score macro (t₀₌₀₂₅ = 2,262, df = 9) son: MLP [128,64] σ: 95,92 ± 0,68 %; SVM Linear C=10: 93,65 ± 1,27 %; DT max_depth=12: 93,00 ± 0,97 %; k-NN k=1: 80,84 ± 2,03 %; DoME n=100: 80,52 ± 2,54 %.</w:t>
      </w:r>
    </w:p>
    <w:p>
      <w:pPr>
        <w:pStyle w:val="ListParagraph"/>
        <w:numPr>
          <w:ilvl w:val="0"/>
          <w:numId w:val="2"/>
        </w:numPr>
        <w:spacing w:after="60" w:before="60"/>
      </w:pPr>
      <w:r>
        <w:rPr>
          <w:rFonts w:ascii="Arial" w:cs="Arial" w:eastAsia="Arial" w:hAnsi="Arial"/>
          <w:b w:val="false"/>
          <w:bCs w:val="false"/>
          <w:i w:val="false"/>
          <w:iCs w:val="false"/>
          <w:color w:val="000000"/>
          <w:sz w:val="22"/>
          <w:szCs w:val="22"/>
        </w:rPr>
        <w:t xml:space="preserve">MLP vs. SVM: t = 3,59 (p &lt; 0,01). Los IC no se solapan (límite inferior MLP 95,24 % &gt; límite superior SVM 94,92 %), confirmando que la ventaja del MLP es estadísticamente significativa.</w:t>
      </w:r>
    </w:p>
    <w:p>
      <w:pPr>
        <w:pStyle w:val="ListParagraph"/>
        <w:numPr>
          <w:ilvl w:val="0"/>
          <w:numId w:val="2"/>
        </w:numPr>
        <w:spacing w:after="60" w:before="60"/>
      </w:pPr>
      <w:r>
        <w:rPr>
          <w:rFonts w:ascii="Arial" w:cs="Arial" w:eastAsia="Arial" w:hAnsi="Arial"/>
          <w:b w:val="false"/>
          <w:bCs w:val="false"/>
          <w:i w:val="false"/>
          <w:iCs w:val="false"/>
          <w:color w:val="000000"/>
          <w:sz w:val="22"/>
          <w:szCs w:val="22"/>
        </w:rPr>
        <w:t xml:space="preserve">SVM vs. DT: t = 0,93 (p &gt; 0,05). Los IC se solapan ampliamente. La diferencia de 0,65 puntos en F1 no es significativa: ambos modelos son estadísticamente equivalentes.</w:t>
      </w:r>
    </w:p>
    <w:p>
      <w:pPr>
        <w:pStyle w:val="ListParagraph"/>
        <w:numPr>
          <w:ilvl w:val="0"/>
          <w:numId w:val="2"/>
        </w:numPr>
        <w:spacing w:after="60" w:before="60"/>
      </w:pPr>
      <w:r>
        <w:rPr>
          <w:rFonts w:ascii="Arial" w:cs="Arial" w:eastAsia="Arial" w:hAnsi="Arial"/>
          <w:b w:val="false"/>
          <w:bCs w:val="false"/>
          <w:i w:val="false"/>
          <w:iCs w:val="false"/>
          <w:color w:val="000000"/>
          <w:sz w:val="22"/>
          <w:szCs w:val="22"/>
        </w:rPr>
        <w:t xml:space="preserve">DT vs. k-NN: t = 12,26 (p &lt; 0,001). Diferencia altamente significativa de 12,16 puntos. Los modelos pertenecen a niveles de rendimiento claramente distintos.</w:t>
      </w:r>
    </w:p>
    <w:p>
      <w:pPr>
        <w:pStyle w:val="ListParagraph"/>
        <w:numPr>
          <w:ilvl w:val="0"/>
          <w:numId w:val="2"/>
        </w:numPr>
        <w:spacing w:after="60" w:before="60"/>
      </w:pPr>
      <w:r>
        <w:rPr>
          <w:rFonts w:ascii="Arial" w:cs="Arial" w:eastAsia="Arial" w:hAnsi="Arial"/>
          <w:b w:val="false"/>
          <w:bCs w:val="false"/>
          <w:i w:val="false"/>
          <w:iCs w:val="false"/>
          <w:color w:val="000000"/>
          <w:sz w:val="22"/>
          <w:szCs w:val="22"/>
        </w:rPr>
        <w:t xml:space="preserve">k-NN vs. DoME: t = 0,22 (p &gt; 0,05). IC se solapan completamente. La diferencia de 0,32 puntos es no significativa: ambos son estadísticamente indistinguibles.</w:t>
      </w:r>
    </w:p>
    <w:p>
      <w:pPr>
        <w:spacing w:after="80" w:before="80"/>
        <w:jc w:val="both"/>
      </w:pPr>
      <w:r>
        <w:rPr>
          <w:rFonts w:ascii="Arial" w:cs="Arial" w:eastAsia="Arial" w:hAnsi="Arial"/>
          <w:b w:val="false"/>
          <w:bCs w:val="false"/>
          <w:i w:val="false"/>
          <w:iCs w:val="false"/>
          <w:color w:val="000000"/>
          <w:sz w:val="22"/>
          <w:szCs w:val="22"/>
        </w:rPr>
        <w:t xml:space="preserve">En conclusión, el análisis identifica dos grupos significativamente distintos: alto rendimiento (MLP, SVM, DT) y rendimiento moderado (k-NN, DoME). Dentro del primer grupo, MLP supera significativamente a SVM; SVM y DT son equivalentes. La frontera entre ambos grupos es altamente significativa (p &lt; 0,001).</w:t>
      </w:r>
    </w:p>
    <w:p>
      <w:pPr>
        <w:spacing w:after="60" w:before="60"/>
      </w:pP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con max_depth=12 alcanza un F1 del 93,00 %, empatado estadísticamente con SVM. Además de su alto rendimiento, destaca por su interpretabilidad: las reglas de decisión aprendidas permiten identificar los umbrales críticos de las variables más discriminativas, especialmente Weight y Height.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y DoME con n=100 obtienen resultados prácticamente idénticos (F1 ≈ 80,84 % y 80,52 %, respectivamente), situándose en cuarto lugar. k-NN presenta sobreajuste severo con k=1 (Train Acc = 100 %) y sensibilidad al hiperparámetro; DoME, en cambio, genera modelos interpretables en forma de reglas válidas para entornos clínicos.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Trabajo futuro</w:t>
      </w:r>
    </w:p>
    <w:p>
      <w:pPr>
        <w:spacing w:after="80" w:before="80"/>
        <w:jc w:val="both"/>
      </w:pPr>
      <w:r>
        <w:rPr>
          <w:rFonts w:ascii="Arial" w:cs="Arial" w:eastAsia="Arial" w:hAnsi="Arial"/>
          <w:b w:val="false"/>
          <w:bCs w:val="false"/>
          <w:i w:val="false"/>
          <w:iCs w:val="false"/>
          <w:color w:val="000000"/>
          <w:sz w:val="22"/>
          <w:szCs w:val="22"/>
        </w:rPr>
        <w:t xml:space="preserve">Los resultados obtenidos en este trabajo abren diversas líneas de investigación y desarrollo que permitirían ampliar, mejorar y generalizar el sistema de clasificación de niveles de obesidad presentado.</w:t>
      </w:r>
    </w:p>
    <w:p>
      <w:pPr>
        <w:pStyle w:val="Heading2"/>
        <w:spacing w:after="120" w:before="240"/>
      </w:pPr>
      <w:r>
        <w:rPr>
          <w:rFonts w:ascii="Arial" w:cs="Arial" w:eastAsia="Arial" w:hAnsi="Arial"/>
          <w:b/>
          <w:bCs/>
          <w:i w:val="false"/>
          <w:iCs w:val="false"/>
          <w:color w:val="2E75B6"/>
          <w:sz w:val="26"/>
          <w:szCs w:val="26"/>
        </w:rPr>
        <w:t xml:space="preserve">7.1. Mejora de los modelos actuales</w:t>
      </w:r>
    </w:p>
    <w:p>
      <w:pPr>
        <w:spacing w:after="80" w:before="80"/>
        <w:jc w:val="both"/>
      </w:pPr>
      <w:r>
        <w:rPr>
          <w:rFonts w:ascii="Arial" w:cs="Arial" w:eastAsia="Arial" w:hAnsi="Arial"/>
          <w:b w:val="false"/>
          <w:bCs w:val="false"/>
          <w:i w:val="false"/>
          <w:iCs w:val="false"/>
          <w:color w:val="000000"/>
          <w:sz w:val="22"/>
          <w:szCs w:val="22"/>
        </w:rPr>
        <w:t xml:space="preserve">En primer lugar, los modelos actuales podrían mejorarse mediante una optimización sistemática de hiperparámetros. El uso de búsqueda en rejilla (grid search) o búsqueda aleatoria (random search) con validación cruzada anidada permitiría identificar configuraciones óptimas no exploradas. Para las RRNN, cabría considerar arquitecturas más profundas, tasas de aprendizaje adaptativas y técnicas de regularización como dropout o L2, que reducirían el sobreajuste observado en [128,64] σ.</w:t>
      </w:r>
    </w:p>
    <w:p>
      <w:pPr>
        <w:spacing w:after="80" w:before="80"/>
        <w:jc w:val="both"/>
      </w:pPr>
      <w:r>
        <w:rPr>
          <w:rFonts w:ascii="Arial" w:cs="Arial" w:eastAsia="Arial" w:hAnsi="Arial"/>
          <w:b w:val="false"/>
          <w:bCs w:val="false"/>
          <w:i w:val="false"/>
          <w:iCs w:val="false"/>
          <w:color w:val="000000"/>
          <w:sz w:val="22"/>
          <w:szCs w:val="22"/>
        </w:rPr>
        <w:t xml:space="preserve">Para k-NN, sería interesante explorar métricas de distancia alternativas a la euclídea, como la distancia de Mahalanobis, que considera la correlación entre variables. En DoME, combinar modelos mediante estrategias de ensamblado podría superar la limitación de interpretabilidad-rendimiento.</w:t>
      </w:r>
    </w:p>
    <w:p>
      <w:pPr>
        <w:pStyle w:val="Heading2"/>
        <w:spacing w:after="120" w:before="240"/>
      </w:pPr>
      <w:r>
        <w:rPr>
          <w:rFonts w:ascii="Arial" w:cs="Arial" w:eastAsia="Arial" w:hAnsi="Arial"/>
          <w:b/>
          <w:bCs/>
          <w:i w:val="false"/>
          <w:iCs w:val="false"/>
          <w:color w:val="2E75B6"/>
          <w:sz w:val="26"/>
          <w:szCs w:val="26"/>
        </w:rPr>
        <w:t xml:space="preserve">7.2. Técnicas de aprendizaje no exploradas</w:t>
      </w:r>
    </w:p>
    <w:p>
      <w:pPr>
        <w:spacing w:after="80" w:before="80"/>
        <w:jc w:val="both"/>
      </w:pPr>
      <w:r>
        <w:rPr>
          <w:rFonts w:ascii="Arial" w:cs="Arial" w:eastAsia="Arial" w:hAnsi="Arial"/>
          <w:b w:val="false"/>
          <w:bCs w:val="false"/>
          <w:i w:val="false"/>
          <w:iCs w:val="false"/>
          <w:color w:val="000000"/>
          <w:sz w:val="22"/>
          <w:szCs w:val="22"/>
        </w:rPr>
        <w:t xml:space="preserve">Una línea de trabajo con gran potencial es la aplicación de métodos de ensamblado, en particular Random Forest y Gradient Boosting (XGBoost, LightGBM). Estos enfoques han demostrado resultados competitivos en tareas de clasificación médica y podrían aprovechar la naturaleza mixta del dataset sin normalización explícita. La aplicación de selección automática de variables mediante información mutua o importancia de atributo también podría reducir la dimensionalidad e identificar los factores de riesgo más determinantes.</w:t>
      </w:r>
    </w:p>
    <w:p>
      <w:pPr>
        <w:pStyle w:val="Heading2"/>
        <w:spacing w:after="120" w:before="240"/>
      </w:pPr>
      <w:r>
        <w:rPr>
          <w:rFonts w:ascii="Arial" w:cs="Arial" w:eastAsia="Arial" w:hAnsi="Arial"/>
          <w:b/>
          <w:bCs/>
          <w:i w:val="false"/>
          <w:iCs w:val="false"/>
          <w:color w:val="2E75B6"/>
          <w:sz w:val="26"/>
          <w:szCs w:val="26"/>
        </w:rPr>
        <w:t xml:space="preserve">7.3. Ampliación del dataset y generalización</w:t>
      </w:r>
    </w:p>
    <w:p>
      <w:pPr>
        <w:spacing w:after="80" w:before="80"/>
        <w:jc w:val="both"/>
      </w:pPr>
      <w:r>
        <w:rPr>
          <w:rFonts w:ascii="Arial" w:cs="Arial" w:eastAsia="Arial" w:hAnsi="Arial"/>
          <w:b w:val="false"/>
          <w:bCs w:val="false"/>
          <w:i w:val="false"/>
          <w:iCs w:val="false"/>
          <w:color w:val="000000"/>
          <w:sz w:val="22"/>
          <w:szCs w:val="22"/>
        </w:rPr>
        <w:t xml:space="preserve">El 77 % del dataset es sintético y los datos reales provienen exclusivamente de Colombia, Perú y México. Validar los modelos sobre poblaciones de otras regiones y grupos demográficos subrepresentados (población pediátrica, personas mayores de 60 años) permitiría evaluar la capacidad de generalización. La incorporación de variables clínicas adicionales —marcadores bioquímicos como glucosa en ayunas, triglicéridos o presión arterial— aumentaría significativamente la profundidad diagnóstica del sistema.</w:t>
      </w:r>
    </w:p>
    <w:p>
      <w:pPr>
        <w:pStyle w:val="Heading2"/>
        <w:spacing w:after="120" w:before="240"/>
      </w:pPr>
      <w:r>
        <w:rPr>
          <w:rFonts w:ascii="Arial" w:cs="Arial" w:eastAsia="Arial" w:hAnsi="Arial"/>
          <w:b/>
          <w:bCs/>
          <w:i w:val="false"/>
          <w:iCs w:val="false"/>
          <w:color w:val="2E75B6"/>
          <w:sz w:val="26"/>
          <w:szCs w:val="26"/>
        </w:rPr>
        <w:t xml:space="preserve">7.4. Aplicación práctica en entornos clínicos</w:t>
      </w:r>
    </w:p>
    <w:p>
      <w:pPr>
        <w:spacing w:after="80" w:before="80"/>
        <w:jc w:val="both"/>
      </w:pPr>
      <w:r>
        <w:rPr>
          <w:rFonts w:ascii="Arial" w:cs="Arial" w:eastAsia="Arial" w:hAnsi="Arial"/>
          <w:b w:val="false"/>
          <w:bCs w:val="false"/>
          <w:i w:val="false"/>
          <w:iCs w:val="false"/>
          <w:color w:val="000000"/>
          <w:sz w:val="22"/>
          <w:szCs w:val="22"/>
        </w:rPr>
        <w:t xml:space="preserve">El diseño de una interfaz que permita a profesionales sanitarios introducir datos de un paciente y obtener una predicción explicada es una línea de alta relevancia. Técnicas de XAI como SHAP (SHapley Additive exPlanations) o LIME (Local Interpretable Model-Agnostic Explanations) permitirían visualizar la contribución de cada variable a la predicción individual, aumentando la confianza clínica en el sistema. La integración en aplicaciones móviles o plataformas de salud digital podría facilitar el autodiagnóstico y el seguimiento longitudinal, contribuyendo a estrategias preventivas de salud pública a gran escala.</w:t>
      </w:r>
    </w:p>
    <w:p>
      <w:pPr>
        <w:spacing w:after="60" w:before="60"/>
      </w:pPr>
    </w:p>
    <w:p>
      <w:pPr>
        <w:pStyle w:val="Heading1"/>
        <w:spacing w:after="160" w:before="400"/>
      </w:pPr>
      <w:r>
        <w:rPr>
          <w:rFonts w:ascii="Arial" w:cs="Arial" w:eastAsia="Arial" w:hAnsi="Arial"/>
          <w:b/>
          <w:bCs/>
          <w:i w:val="false"/>
          <w:iCs w:val="false"/>
          <w:color w:val="1F4E79"/>
          <w:sz w:val="32"/>
          <w:szCs w:val="32"/>
        </w:rPr>
        <w:t xml:space="preserve">8. Bibliografía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 https://dl.acm.org/doi/10.1145/1143844.1143874</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Associação Médica Brasileira.</w:t>
      </w:r>
    </w:p>
    <w:p>
      <w:pPr>
        <w:spacing w:after="80" w:before="80"/>
        <w:ind w:left="720" w:hanging="360"/>
      </w:pPr>
      <w:r>
        <w:rPr>
          <w:rFonts w:ascii="Arial" w:cs="Arial" w:eastAsia="Arial" w:hAnsi="Arial"/>
          <w:b w:val="false"/>
          <w:bCs w:val="false"/>
          <w:i w:val="false"/>
          <w:iCs w:val="false"/>
          <w:color w:val="000000"/>
          <w:sz w:val="20"/>
          <w:szCs w:val="20"/>
        </w:rPr>
        <w:t xml:space="preserve">NCD Risk Factor Collaboration (NCD-RisC). (2024). Worldwide trends in body-mass index, underweight, overweight, and obesity from 1990 to 2022: a pooled analysis of 3663 population-based studies with 222 million children, adolescents, and adults. The Lancet, 403(10431), 1027–1050.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339f5e1875c1d87b45d26fa573ac07da41fb21ac.png"/><Relationship Id="rId25" Type="http://schemas.openxmlformats.org/officeDocument/2006/relationships/image" Target="media/2d5191a877fa2fbb52afe52a87682374000811ed.png"/><Relationship Id="rId26" Type="http://schemas.openxmlformats.org/officeDocument/2006/relationships/image" Target="media/13a224bf154c761e3b02295b68aa33187ccce852.png"/><Relationship Id="rId27" Type="http://schemas.openxmlformats.org/officeDocument/2006/relationships/image" Target="media/c047d6017df428edaa4b1c29a3eefee9f85450ff.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2026-04-29T07:33:52.629Z</dcterms:created>
  <dcterms:modified xsi:type="dcterms:W3CDTF">2026-04-29T07:33:52.630Z</dcterms:modified>
</cp:coreProperties>
</file>

<file path=docProps/custom.xml><?xml version="1.0" encoding="utf-8"?>
<Properties xmlns="http://schemas.openxmlformats.org/officeDocument/2006/custom-properties" xmlns:vt="http://schemas.openxmlformats.org/officeDocument/2006/docPropsVTypes"/>
</file>