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200" w:before="0"/>
        <w:jc w:val="center"/>
      </w:pPr>
      <w:r>
        <w:rPr>
          <w:rFonts w:ascii="Arial" w:cs="Arial" w:eastAsia="Arial" w:hAnsi="Arial"/>
          <w:b/>
          <w:bCs/>
          <w:i w:val="false"/>
          <w:iCs w:val="false"/>
          <w:color w:val="365F91"/>
          <w:sz w:val="24"/>
          <w:szCs w:val="24"/>
        </w:rPr>
        <w:t xml:space="preserve">FUNDAMENTOS DE APRENDIZAJE AUTOMÁTICO</w:t>
      </w:r>
    </w:p>
    <w:p>
      <w:pPr>
        <w:spacing w:after="600" w:before="0"/>
        <w:jc w:val="center"/>
      </w:pPr>
      <w:r>
        <w:rPr>
          <w:rFonts w:ascii="Arial" w:cs="Arial" w:eastAsia="Arial" w:hAnsi="Arial"/>
          <w:b/>
          <w:bCs/>
          <w:i w:val="false"/>
          <w:iCs w:val="false"/>
          <w:color w:val="666666"/>
          <w:sz w:val="22"/>
          <w:szCs w:val="22"/>
        </w:rPr>
        <w:t xml:space="preserve">Práctica 2</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200" w:before="400"/>
        <w:jc w:val="center"/>
      </w:pPr>
      <w:r>
        <w:rPr>
          <w:rFonts w:ascii="Arial" w:cs="Arial" w:eastAsia="Arial" w:hAnsi="Arial"/>
          <w:b/>
          <w:bCs/>
          <w:i w:val="false"/>
          <w:iCs w:val="false"/>
          <w:color w:val="1F4E79"/>
          <w:sz w:val="40"/>
          <w:szCs w:val="40"/>
        </w:rPr>
        <w:t xml:space="preserve">ESTIMACIÓN DE NIVELES DE OBESIDAD</w:t>
      </w:r>
    </w:p>
    <w:p>
      <w:pPr>
        <w:spacing w:after="400" w:before="0"/>
        <w:jc w:val="center"/>
      </w:pPr>
      <w:r>
        <w:rPr>
          <w:rFonts w:ascii="Arial" w:cs="Arial" w:eastAsia="Arial" w:hAnsi="Arial"/>
          <w:b w:val="false"/>
          <w:bCs w:val="false"/>
          <w:i/>
          <w:iCs/>
          <w:color w:val="2E75B6"/>
          <w:sz w:val="26"/>
          <w:szCs w:val="26"/>
        </w:rPr>
        <w:t xml:space="preserve">mediante técnicas de Aprendizaje Automático supervisado</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200"/>
        <w:jc w:val="center"/>
      </w:pPr>
      <w:r>
        <w:rPr>
          <w:rFonts w:ascii="Arial" w:cs="Arial" w:eastAsia="Arial" w:hAnsi="Arial"/>
          <w:b/>
          <w:bCs/>
          <w:i w:val="false"/>
          <w:iCs w:val="false"/>
          <w:color w:val="365F91"/>
          <w:sz w:val="22"/>
          <w:szCs w:val="22"/>
        </w:rPr>
        <w:t xml:space="preserve">Dataset:</w:t>
      </w:r>
    </w:p>
    <w:p>
      <w:pPr>
        <w:spacing w:after="400" w:before="0"/>
        <w:jc w:val="center"/>
      </w:pPr>
      <w:r>
        <w:rPr>
          <w:rFonts w:ascii="Arial" w:cs="Arial" w:eastAsia="Arial" w:hAnsi="Arial"/>
          <w:b w:val="false"/>
          <w:bCs w:val="false"/>
          <w:i/>
          <w:iCs/>
          <w:color w:val="666666"/>
          <w:sz w:val="22"/>
          <w:szCs w:val="22"/>
        </w:rPr>
        <w:t xml:space="preserve">Estimation of Obesity Levels Based on Eating Habits and Physical Condition</w:t>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val="false"/>
          <w:iCs w:val="false"/>
          <w:color w:val="666666"/>
          <w:sz w:val="20"/>
          <w:szCs w:val="20"/>
        </w:rPr>
        <w:t xml:space="preserve">sribadascastro2906@gmail.com</w:t>
      </w:r>
    </w:p>
    <w:p>
      <w:pPr>
        <w:spacing w:after="80" w:before="0"/>
        <w:jc w:val="center"/>
      </w:pPr>
      <w:r>
        <w:rPr>
          <w:rFonts w:ascii="Arial" w:cs="Arial" w:eastAsia="Arial" w:hAnsi="Arial"/>
          <w:b w:val="false"/>
          <w:bCs w:val="false"/>
          <w:i w:val="false"/>
          <w:iCs w:val="false"/>
          <w:color w:val="666666"/>
          <w:sz w:val="20"/>
          <w:szCs w:val="20"/>
        </w:rPr>
        <w:t xml:space="preserve">Curso 2025-2026</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i w:val="false"/>
          <w:iCs w:val="false"/>
          <w:color w:val="1F4E79"/>
          <w:sz w:val="32"/>
          <w:szCs w:val="32"/>
        </w:rPr>
        <w:t xml:space="preserve">1. Introducción</w:t>
      </w:r>
    </w:p>
    <w:p>
      <w:pPr>
        <w:spacing w:after="80" w:before="80"/>
        <w:jc w:val="both"/>
      </w:pPr>
      <w:r>
        <w:rPr>
          <w:rFonts w:ascii="Arial" w:cs="Arial" w:eastAsia="Arial" w:hAnsi="Arial"/>
          <w:b w:val="false"/>
          <w:bCs w:val="false"/>
          <w:i w:val="false"/>
          <w:iCs w:val="false"/>
          <w:color w:val="000000"/>
          <w:sz w:val="22"/>
          <w:szCs w:val="22"/>
        </w:rPr>
        <w:t xml:space="preserve">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1.1. Objetivos del trabajo</w:t>
      </w:r>
    </w:p>
    <w:p>
      <w:pPr>
        <w:spacing w:after="80" w:before="80"/>
        <w:jc w:val="both"/>
      </w:pPr>
      <w:r>
        <w:rPr>
          <w:rFonts w:ascii="Arial" w:cs="Arial" w:eastAsia="Arial" w:hAnsi="Arial"/>
          <w:b w:val="false"/>
          <w:bCs w:val="false"/>
          <w:i w:val="false"/>
          <w:iCs w:val="false"/>
          <w:color w:val="000000"/>
          <w:sz w:val="22"/>
          <w:szCs w:val="22"/>
        </w:rPr>
        <w:t xml:space="preserve">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Realizar un análisis exploratorio del conjunto de datos, estudiando la distribución y características de sus variables.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Aplicar técnicas de preprocesado adecuadas, incluyendo normalización Min-Max y codificación de variables categóricas mediante one-hot encoding.</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Entrenar y evaluar distintos modelos de clasificación: Redes Neuronales Artificiales (MLP), Máquinas de Vectores Soporte (SVM), k-Vecinos más Próximos (k-NN), Árboles de Decisión y DoME.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Comparar el rendimiento de los modelos mediante métricas cuantitativas (accuracy, F1-score macro) y técnicas de validación cruzada estratificada de 10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Analizar los resultados obtenidos y extraer conclusiones sobre la aplicabilidad del AA en el diagnóstico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1.2. Organización del documento</w:t>
      </w:r>
    </w:p>
    <w:p>
      <w:pPr>
        <w:spacing w:after="80" w:before="80"/>
        <w:jc w:val="both"/>
      </w:pPr>
      <w:r>
        <w:rPr>
          <w:rFonts w:ascii="Arial" w:cs="Arial" w:eastAsia="Arial" w:hAnsi="Arial"/>
          <w:b w:val="false"/>
          <w:bCs w:val="false"/>
          <w:i w:val="false"/>
          <w:iCs w:val="false"/>
          <w:color w:val="000000"/>
          <w:sz w:val="22"/>
          <w:szCs w:val="22"/>
        </w:rPr>
        <w:t xml:space="preserve">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y la Sección 6 recoge las conclusiones del trabajo.</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2. Descripción del problema</w:t>
      </w:r>
    </w:p>
    <w:p>
      <w:pPr>
        <w:pStyle w:val="Heading2"/>
        <w:spacing w:after="120" w:before="280"/>
      </w:pPr>
      <w:r>
        <w:rPr>
          <w:rFonts w:ascii="Arial" w:cs="Arial" w:eastAsia="Arial" w:hAnsi="Arial"/>
          <w:b/>
          <w:bCs/>
          <w:i w:val="false"/>
          <w:iCs w:val="false"/>
          <w:color w:val="2E75B6"/>
          <w:sz w:val="26"/>
          <w:szCs w:val="26"/>
        </w:rPr>
        <w:t xml:space="preserve">2.1. Descripción concreta del problema a resolver</w:t>
      </w:r>
    </w:p>
    <w:p>
      <w:pPr>
        <w:spacing w:after="80" w:before="80"/>
        <w:jc w:val="both"/>
      </w:pPr>
      <w:r>
        <w:rPr>
          <w:rFonts w:ascii="Arial" w:cs="Arial" w:eastAsia="Arial" w:hAnsi="Arial"/>
          <w:b w:val="false"/>
          <w:bCs w:val="false"/>
          <w:i w:val="false"/>
          <w:iCs w:val="false"/>
          <w:color w:val="000000"/>
          <w:sz w:val="22"/>
          <w:szCs w:val="22"/>
        </w:rPr>
        <w:t xml:space="preserve">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0 — Insufficient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1 — Normal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2 — Overweight Level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3 — Overweight Level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4 — Obesity Type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5 — Obesity Type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6 — Obesity Type III</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 naturaleza ordinal de estas clases implica que los errores entre categorías adyacentes son menos graves que los errores entre categorías alejadas, aspecto relevante a la hora de interpretar los resultados y seleccionar las métricas de evaluación adecuadas.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2.2. Restricciones del problema</w:t>
      </w:r>
    </w:p>
    <w:p>
      <w:pPr>
        <w:spacing w:after="80" w:before="80"/>
        <w:jc w:val="both"/>
      </w:pPr>
      <w:r>
        <w:rPr>
          <w:rFonts w:ascii="Arial" w:cs="Arial" w:eastAsia="Arial" w:hAnsi="Arial"/>
          <w:b w:val="false"/>
          <w:bCs w:val="false"/>
          <w:i w:val="false"/>
          <w:iCs w:val="false"/>
          <w:color w:val="000000"/>
          <w:sz w:val="22"/>
          <w:szCs w:val="22"/>
        </w:rPr>
        <w:t xml:space="preserve">El problema presenta una serie de restricciones inherentes al conjunto de datos y al contexto de aplicación: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Población objetivo delimitada geográficamente: los datos proceden exclusivamente de individuos de Colombia, Perú y México, lo que puede limitar la generalización de los modelos a otras regiones.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Rango de edad restringido: la mayoría de los individuos tienen entre 14 y 61 años, con fuerte concentración entre los 15 y 30 años. Los modelos pueden no generalizar bien a poblaciones pediátricas o de edad avanzada.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Datos mayoritariamente sintéticos: el 77 % de los datos ha sido generado artificialmente mediante SMOTE, lo que introduce una distribución que no refleja fielmente la realidad epidemiológica.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Variables ordinales con escala discreta: variables como FCVC, NCP, CH2O, FAF y TUE toman valores enteros en los datos reales; solo el componente sintético introduce valores intermedios.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Ausencia de variables clínicas: el dataset no incluye marcadores bioquímicos ni datos de tensión arterial, limitando la profundidad clínica del diagnóstico.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2.3. Descripción de la base de datos</w:t>
      </w:r>
    </w:p>
    <w:p>
      <w:pPr>
        <w:pStyle w:val="Heading3"/>
        <w:spacing w:after="80" w:before="200"/>
      </w:pPr>
      <w:r>
        <w:rPr>
          <w:rFonts w:ascii="Arial" w:cs="Arial" w:eastAsia="Arial" w:hAnsi="Arial"/>
          <w:b/>
          <w:bCs/>
          <w:i w:val="false"/>
          <w:iCs w:val="false"/>
          <w:color w:val="365F91"/>
          <w:sz w:val="22"/>
          <w:szCs w:val="22"/>
        </w:rPr>
        <w:t xml:space="preserve">Origen y condiciones de elaboración</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Configuración del dataset</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Parámetro</w:t>
            </w:r>
          </w:p>
        </w:tc>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original</w:t>
            </w:r>
          </w:p>
        </w:tc>
        <w:tc>
          <w:tcPr>
            <w:tcW w:type="dxa" w:w="4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tras preprocesado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instancias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atributos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 (tras one-hot encoding)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clases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Valores ausentes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numéricas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 (normalizadas Min-Max)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binarias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 (codificadas 0/1)</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categóricas nominales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(one-hot encoding)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reales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sintéticos (SMOTE)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Descripción de los atributos</w:t>
      </w:r>
    </w:p>
    <w:p>
      <w:pPr>
        <w:spacing w:after="80" w:before="80"/>
        <w:jc w:val="both"/>
      </w:pPr>
      <w:r>
        <w:rPr>
          <w:rFonts w:ascii="Arial" w:cs="Arial" w:eastAsia="Arial" w:hAnsi="Arial"/>
          <w:b w:val="false"/>
          <w:bCs w:val="false"/>
          <w:i w:val="false"/>
          <w:iCs w:val="false"/>
          <w:color w:val="000000"/>
          <w:sz w:val="22"/>
          <w:szCs w:val="22"/>
        </w:rPr>
        <w:t xml:space="preserve">Los 16 atributos de entrada se clasifican en tres grupos según su naturaleza: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Variable</w:t>
            </w:r>
          </w:p>
        </w:tc>
        <w:tc>
          <w:tcPr>
            <w:tcW w:type="dxa" w:w="4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Descripción</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2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Rango</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Age</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Edad del individuo (años)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 – 61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Height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Altura (metros)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1,45 – 1,98</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Weight</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Peso (kilogramos)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 – 173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FCVC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consumo verduras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NCP</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Nº comidas principales/día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CH2O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diario de agua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FAF</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actividad física/semana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TUE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Tiempo uso tecnología/día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2</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FAVC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alta densidad calórica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SMOKE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Hábito tabáquico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SCC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Monitoreo consumo calórico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family_history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Historial familiar de sobrepeso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Gender</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Sexo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Male, Female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CAEC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alimentos entre comidas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CALC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de alcohol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MTRANS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Medio de transporte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 categorías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2.4. Propiedades de los datos y estadísticas</w:t>
      </w:r>
    </w:p>
    <w:p>
      <w:pPr>
        <w:pStyle w:val="Heading3"/>
        <w:spacing w:after="80" w:before="200"/>
      </w:pPr>
      <w:r>
        <w:rPr>
          <w:rFonts w:ascii="Arial" w:cs="Arial" w:eastAsia="Arial" w:hAnsi="Arial"/>
          <w:b/>
          <w:bCs/>
          <w:i w:val="false"/>
          <w:iCs w:val="false"/>
          <w:color w:val="365F91"/>
          <w:sz w:val="22"/>
          <w:szCs w:val="22"/>
        </w:rPr>
        <w:t xml:space="preserve">Distribución de clases</w:t>
      </w:r>
    </w:p>
    <w:p>
      <w:pPr>
        <w:spacing w:after="80" w:before="80"/>
        <w:jc w:val="both"/>
      </w:pPr>
      <w:r>
        <w:rPr>
          <w:rFonts w:ascii="Arial" w:cs="Arial" w:eastAsia="Arial" w:hAnsi="Arial"/>
          <w:b w:val="false"/>
          <w:bCs w:val="false"/>
          <w:i w:val="false"/>
          <w:iCs w:val="false"/>
          <w:color w:val="000000"/>
          <w:sz w:val="22"/>
          <w:szCs w:val="22"/>
        </w:rPr>
        <w:t xml:space="preserve">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762500" cy="2647950"/>
            <wp:effectExtent t="0" r="0" b="0" l="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 Distribución de las 7 clases de nivel de obesidad en 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Estadísticas de las variables numéricas</w:t>
      </w:r>
    </w:p>
    <w:p>
      <w:pPr>
        <w:spacing w:after="80" w:before="80"/>
        <w:jc w:val="both"/>
      </w:pPr>
      <w:r>
        <w:rPr>
          <w:rFonts w:ascii="Arial" w:cs="Arial" w:eastAsia="Arial" w:hAnsi="Arial"/>
          <w:b w:val="false"/>
          <w:bCs w:val="false"/>
          <w:i w:val="false"/>
          <w:iCs w:val="false"/>
          <w:color w:val="000000"/>
          <w:sz w:val="22"/>
          <w:szCs w:val="22"/>
        </w:rPr>
        <w:t xml:space="preserve">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2. Distribución de las variables numéricas y ordinales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Variables categóricas</w:t>
      </w:r>
    </w:p>
    <w:p>
      <w:pPr>
        <w:spacing w:after="80" w:before="80"/>
        <w:jc w:val="both"/>
      </w:pPr>
      <w:r>
        <w:rPr>
          <w:rFonts w:ascii="Arial" w:cs="Arial" w:eastAsia="Arial" w:hAnsi="Arial"/>
          <w:b w:val="false"/>
          <w:bCs w:val="false"/>
          <w:i w:val="false"/>
          <w:iCs w:val="false"/>
          <w:color w:val="000000"/>
          <w:sz w:val="22"/>
          <w:szCs w:val="22"/>
        </w:rPr>
        <w:t xml:space="preserve">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3. Distribución de las variables categóricas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Relación entre variables clave y clase objetivo</w:t>
      </w:r>
    </w:p>
    <w:p>
      <w:pPr>
        <w:spacing w:after="80" w:before="80"/>
        <w:jc w:val="both"/>
      </w:pPr>
      <w:r>
        <w:rPr>
          <w:rFonts w:ascii="Arial" w:cs="Arial" w:eastAsia="Arial" w:hAnsi="Arial"/>
          <w:b w:val="false"/>
          <w:bCs w:val="false"/>
          <w:i w:val="false"/>
          <w:iCs w:val="false"/>
          <w:color w:val="000000"/>
          <w:sz w:val="22"/>
          <w:szCs w:val="22"/>
        </w:rPr>
        <w:t xml:space="preserve">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1971675"/>
            <wp:effectExtent t="0" r="0" b="0" l="0"/>
            <wp:docPr id="1"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4. Diagramas de caja de Age, Height y Weight por nivel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2.5. Métricas de evaluación</w:t>
      </w:r>
    </w:p>
    <w:p>
      <w:pPr>
        <w:spacing w:after="80" w:before="80"/>
        <w:jc w:val="both"/>
      </w:pPr>
      <w:r>
        <w:rPr>
          <w:rFonts w:ascii="Arial" w:cs="Arial" w:eastAsia="Arial" w:hAnsi="Arial"/>
          <w:b w:val="false"/>
          <w:bCs w:val="false"/>
          <w:i w:val="false"/>
          <w:iCs w:val="false"/>
          <w:color w:val="000000"/>
          <w:sz w:val="22"/>
          <w:szCs w:val="22"/>
        </w:rPr>
        <w:t xml:space="preserve">La selección de métricas responde a la naturaleza del problema y a las características del conjunto de datos: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Exactitud (accuracy): métrica principal, apropiada dado el equilibrio de clases favorecido por SMOTE. Proporciona una medida global del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F1-score macro: complemento esencial al accuracy. Al tratarse de un problema médico, los errores no tienen el mismo coste. El F1-score macro promedia sin ponderación el F1 por clase, evitando que clases mayoritarias dominen la evaluación.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Tasa de error: complementaria al accuracy para visualizar directamente la proporción de clasificaciones incorrectas.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Matriz de confusión acumulada: herramienta complementaria para identificar si los errores se producen entre clases próximas o alejadas, lo cual es clave para evaluar la utilidad práctica clínica del modelo.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Validación cruzada estratificada 10-fold: marco de evaluación estándar. Se reporta la media ± desviación típica sobre los 10 folds, garantizando estimaciones robustas e independientes de la partición concreta de los datos.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3. Análisis bibliográfico</w:t>
      </w:r>
    </w:p>
    <w:p>
      <w:pPr>
        <w:spacing w:after="80" w:before="80"/>
        <w:jc w:val="both"/>
      </w:pPr>
      <w:r>
        <w:rPr>
          <w:rFonts w:ascii="Arial" w:cs="Arial" w:eastAsia="Arial" w:hAnsi="Arial"/>
          <w:b w:val="false"/>
          <w:bCs w:val="false"/>
          <w:i w:val="false"/>
          <w:iCs w:val="false"/>
          <w:color w:val="000000"/>
          <w:sz w:val="22"/>
          <w:szCs w:val="22"/>
        </w:rPr>
        <w:t xml:space="preserve">La aplicación de técnicas de Aprendizaje Automático para el diagnóstico, estimación y predicción de la obesidad ha sido objeto de numerosos estudios en los últimos años. A continuación se describen los trabajos más relevantes que conforman el estado del arte: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Palechor y de la Hoz Manotas (2019): presentan el conjunto de datos empleado en este trabajo, describiendo en detalle el proceso de recogida mediante encuestas en Colombia, Perú y México, así como la aplicación de SMOTE para el equilibrado de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Chawla et al. (2002): introduce la técnica SMOTE (Synthetic Minority Over-sampling Technique), cuyo uso es responsable de la generación del 77 % de los registros del dataset empleado.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Ferdowsy et al. (2021): proponen un enfoque basado en MLP para la predicción del riesgo de obesidad, demostrando la eficacia de distintas arquitecturas de redes neuronales para capturar relaciones no lineales entre variables físicas y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Kim et al. (2023): analizan los factores de riesgo específicos de la edad para la predicción de la obesidad, destacando la robustez de las SVM en conjuntos de datos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Silva et al. (2024): evalúan modelos de clasificación de obesidad excluyendo intencionadamente atributos altamente discriminativos como el peso y la altura, demostrando que k-NN puede identificar patrones basados únicamente en hábitos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Jindal et al. (2024): reportan resultados superiores al 98 % de accuracy empleando árboles de decisión sobre este mismo dataset, superando ampliamente a los enfoques clínicos basados únicamente en el IMC.</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Safaei et al. (2021): proporcionan una revisión sistemática exhaustiva sobre la intersección entre obesidad y Aprendizaje Automático, validando el uso de técnicas de clasificación supervisada como estándar en la detección de esta patología.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Alqahtani et al. (2022): realizan un estudio comparativo de múltiples modelos de predicción de obesidad, subrayando la importancia del preprocesado en el rendimiento final de los clasificadores.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Sahoo et al. (2015): uno de los trabajos precursores en la aplicación del AA con datos de salud para predecir el riesgo de obesidad, sentando las bases para transicionar de modelos estadísticos simples a sistemas multidimensionales.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 Desarrollo experimental</w:t>
      </w:r>
    </w:p>
    <w:p>
      <w:pPr>
        <w:pStyle w:val="Heading2"/>
        <w:spacing w:after="120" w:before="280"/>
      </w:pPr>
      <w:r>
        <w:rPr>
          <w:rFonts w:ascii="Arial" w:cs="Arial" w:eastAsia="Arial" w:hAnsi="Arial"/>
          <w:b/>
          <w:bCs/>
          <w:i w:val="false"/>
          <w:iCs w:val="false"/>
          <w:color w:val="2E75B6"/>
          <w:sz w:val="26"/>
          <w:szCs w:val="26"/>
        </w:rPr>
        <w:t xml:space="preserve">4.1. Datos empleados</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4.2. Preprocesado de los datos</w:t>
      </w:r>
    </w:p>
    <w:p>
      <w:pPr>
        <w:pStyle w:val="Heading3"/>
        <w:spacing w:after="80" w:before="200"/>
      </w:pPr>
      <w:r>
        <w:rPr>
          <w:rFonts w:ascii="Arial" w:cs="Arial" w:eastAsia="Arial" w:hAnsi="Arial"/>
          <w:b/>
          <w:bCs/>
          <w:i w:val="false"/>
          <w:iCs w:val="false"/>
          <w:color w:val="365F91"/>
          <w:sz w:val="22"/>
          <w:szCs w:val="22"/>
        </w:rPr>
        <w:t xml:space="preserve">4.2.1. Codificación de variables</w:t>
      </w:r>
    </w:p>
    <w:p>
      <w:pPr>
        <w:spacing w:after="80" w:before="80"/>
        <w:jc w:val="both"/>
      </w:pPr>
      <w:r>
        <w:rPr>
          <w:rFonts w:ascii="Arial" w:cs="Arial" w:eastAsia="Arial" w:hAnsi="Arial"/>
          <w:b w:val="false"/>
          <w:bCs w:val="false"/>
          <w:i w:val="false"/>
          <w:iCs w:val="false"/>
          <w:color w:val="000000"/>
          <w:sz w:val="22"/>
          <w:szCs w:val="22"/>
        </w:rPr>
        <w:t xml:space="preserve">Variables binarias (FAVC, SMOKE, SCC, family_history_with_overweight): codificadas directamente como 0/1, sin pérdida de información.</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Variables categóricas nominales (Gender, CAEC, CALC, MTRANS): al no existir relación de orden entre sus categorías, se aplica one-hot encoding. Esta transformación genera 14 columnas adicionales, elevando el total de variables de entrada a 24.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 objetivo (NObeyesdad): codificada mediante label encoding ordinal, asignando un entero de 0 a 6 a cada nivel de obesidad y respetando su orden natural.</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4.2.2. Normalización de variables numéricas</w:t>
      </w:r>
    </w:p>
    <w:p>
      <w:pPr>
        <w:spacing w:after="80" w:before="80"/>
        <w:jc w:val="both"/>
      </w:pPr>
      <w:r>
        <w:rPr>
          <w:rFonts w:ascii="Arial" w:cs="Arial" w:eastAsia="Arial" w:hAnsi="Arial"/>
          <w:b w:val="false"/>
          <w:bCs w:val="false"/>
          <w:i w:val="false"/>
          <w:iCs w:val="false"/>
          <w:color w:val="000000"/>
          <w:sz w:val="22"/>
          <w:szCs w:val="22"/>
        </w:rPr>
        <w:t xml:space="preserve">Las 8 variables numéricas y ordinales se normalizan al intervalo [0, 1] mediante la transformación Min-Max: x' = (x − x_min) / (x_max − x_min). Se escoge Min-Max frente a la estandarización Z-score por tres razones: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Sensibilidad a la escala de los algoritmos: k-NN y SVM son sensibles a la escala absoluta y requieren que las variables se encuentren en rangos comparables.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Distribuciones no normales: las variables del dataset no siguen distribuciones normales, por lo que la estandarización Z-score no aporta ventaja teórica.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Límites naturales de las variables ordinales: FCVC, NCP, CH2O, FAF y TUE tienen límites conocidos, y Min-Max preserva mejor su significado relativo.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parámetros de normalización (mínimo y máximo) se calculan exclusivamente sobre el conjunto de entrenamiento de cada fold y se aplican al conjunto de test, evitando data leakage.</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4.3. Metodología experimental</w:t>
      </w:r>
    </w:p>
    <w:p>
      <w:pPr>
        <w:spacing w:after="80" w:before="80"/>
        <w:jc w:val="both"/>
      </w:pPr>
      <w:r>
        <w:rPr>
          <w:rFonts w:ascii="Arial" w:cs="Arial" w:eastAsia="Arial" w:hAnsi="Arial"/>
          <w:b w:val="false"/>
          <w:bCs w:val="false"/>
          <w:i w:val="false"/>
          <w:iCs w:val="false"/>
          <w:color w:val="000000"/>
          <w:sz w:val="22"/>
          <w:szCs w:val="22"/>
        </w:rPr>
        <w:t xml:space="preserve">Se aplica validación cruzada estratificada de 10 folds como marco de evaluación de todos los modelos. El procedimiento en cada iteración es el siguiente: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dataset completo (2.111 instancias) se divide en 10 particiones de tamaño aproximadamente igual.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estratificación garantiza que la proporción de cada una de las 7 clases se mantiene constante en todos los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cada iteración, el modelo se entrena sobre los 9 folds restantes (∼1.900 instancias) y se evalúa sobre el fold reservado (∼211 instancias).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parámetros de normalización Min-Max se recalculan en cada iteración usando únicamente los datos de entrenamiento del fold correspondiente.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 reporta la media ± desviación típica de accuracy y F1-score macro sobre las 10 iteraciones.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4.4. Descripción de los modelos</w:t>
      </w:r>
    </w:p>
    <w:p>
      <w:pPr>
        <w:pStyle w:val="Heading3"/>
        <w:spacing w:after="80" w:before="200"/>
      </w:pPr>
      <w:r>
        <w:rPr>
          <w:rFonts w:ascii="Arial" w:cs="Arial" w:eastAsia="Arial" w:hAnsi="Arial"/>
          <w:b/>
          <w:bCs/>
          <w:i w:val="false"/>
          <w:iCs w:val="false"/>
          <w:color w:val="365F91"/>
          <w:sz w:val="22"/>
          <w:szCs w:val="22"/>
        </w:rPr>
        <w:t xml:space="preserve">4.4.1. Red Neuronal Artificial — MLP</w:t>
      </w:r>
    </w:p>
    <w:p>
      <w:pPr>
        <w:spacing w:after="80" w:before="80"/>
        <w:jc w:val="both"/>
      </w:pPr>
      <w:r>
        <w:rPr>
          <w:rFonts w:ascii="Arial" w:cs="Arial" w:eastAsia="Arial" w:hAnsi="Arial"/>
          <w:b w:val="false"/>
          <w:bCs w:val="false"/>
          <w:i w:val="false"/>
          <w:iCs w:val="false"/>
          <w:color w:val="000000"/>
          <w:sz w:val="22"/>
          <w:szCs w:val="22"/>
        </w:rPr>
        <w:t xml:space="preserve">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4.4.2. Máquina de Vectores Soporte — SVM</w:t>
      </w:r>
    </w:p>
    <w:p>
      <w:pPr>
        <w:spacing w:after="80" w:before="80"/>
        <w:jc w:val="both"/>
      </w:pPr>
      <w:r>
        <w:rPr>
          <w:rFonts w:ascii="Arial" w:cs="Arial" w:eastAsia="Arial" w:hAnsi="Arial"/>
          <w:b w:val="false"/>
          <w:bCs w:val="false"/>
          <w:i w:val="false"/>
          <w:iCs w:val="false"/>
          <w:color w:val="000000"/>
          <w:sz w:val="22"/>
          <w:szCs w:val="22"/>
        </w:rPr>
        <w:t xml:space="preserve">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4.4.3. Árbol de Decisión — DT</w:t>
      </w:r>
    </w:p>
    <w:p>
      <w:pPr>
        <w:spacing w:after="80" w:before="80"/>
        <w:jc w:val="both"/>
      </w:pPr>
      <w:r>
        <w:rPr>
          <w:rFonts w:ascii="Arial" w:cs="Arial" w:eastAsia="Arial" w:hAnsi="Arial"/>
          <w:b w:val="false"/>
          <w:bCs w:val="false"/>
          <w:i w:val="false"/>
          <w:iCs w:val="false"/>
          <w:color w:val="000000"/>
          <w:sz w:val="22"/>
          <w:szCs w:val="22"/>
        </w:rPr>
        <w:t xml:space="preserve">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4.4.4. k-Vecinos más Próximos (k-NN)</w:t>
      </w:r>
    </w:p>
    <w:p>
      <w:pPr>
        <w:spacing w:after="80" w:before="80"/>
        <w:jc w:val="both"/>
      </w:pPr>
      <w:r>
        <w:rPr>
          <w:rFonts w:ascii="Arial" w:cs="Arial" w:eastAsia="Arial" w:hAnsi="Arial"/>
          <w:b w:val="false"/>
          <w:bCs w:val="false"/>
          <w:i w:val="false"/>
          <w:iCs w:val="false"/>
          <w:color w:val="000000"/>
          <w:sz w:val="22"/>
          <w:szCs w:val="22"/>
        </w:rPr>
        <w:t xml:space="preserve">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4.4.5. DoME</w:t>
      </w:r>
    </w:p>
    <w:p>
      <w:pPr>
        <w:spacing w:after="80" w:before="80"/>
        <w:jc w:val="both"/>
      </w:pPr>
      <w:r>
        <w:rPr>
          <w:rFonts w:ascii="Arial" w:cs="Arial" w:eastAsia="Arial" w:hAnsi="Arial"/>
          <w:b w:val="false"/>
          <w:bCs w:val="false"/>
          <w:i w:val="false"/>
          <w:iCs w:val="false"/>
          <w:color w:val="000000"/>
          <w:sz w:val="22"/>
          <w:szCs w:val="22"/>
        </w:rPr>
        <w:t xml:space="preserve">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4.5. Resumen comparativo de características de los modelos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3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12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Interpretable</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Normalización</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Multiclase</w:t>
            </w:r>
          </w:p>
        </w:tc>
        <w:tc>
          <w:tcPr>
            <w:tcW w:type="dxa" w:w="15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Hiperparámetro clave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MLP</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Recomendada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(softmax)</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Arquitectura capas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Kernel, C, γ</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instancias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(voto)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 (vecinos)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reglas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OvR</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maximumNodes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4.6. Support Vector Machine (SVM)</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4.6.2. Resultados</w:t>
      </w:r>
    </w:p>
    <w:p>
      <w:pPr>
        <w:spacing w:after="80" w:before="80"/>
        <w:jc w:val="both"/>
      </w:pPr>
      <w:r>
        <w:rPr>
          <w:rFonts w:ascii="Arial" w:cs="Arial" w:eastAsia="Arial" w:hAnsi="Arial"/>
          <w:b w:val="false"/>
          <w:bCs w:val="false"/>
          <w:i/>
          <w:iCs/>
          <w:color w:val="666666"/>
          <w:sz w:val="22"/>
          <w:szCs w:val="22"/>
        </w:rPr>
        <w:t xml:space="preserve">Tabla 1. Comparativa de configuraciones SVM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w:trPr>
          <w:tblHeader/>
        </w:trPr>
        <w:tc>
          <w:tcPr>
            <w:tcW w:type="dxa" w:w="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Kernel</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w:t>
            </w:r>
          </w:p>
        </w:tc>
        <w:tc>
          <w:tcPr>
            <w:tcW w:type="dxa" w:w="56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γ</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6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93,56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93,31 ± 2,17</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6,44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88,11 ± 1,95</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87,73 ± 1,99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11,89 ± 1,95</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87,59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87,41 ± 2,36</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12,41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84,60 ± 1,83</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83,93 ± 1,89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15,40 ± 1,83</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83,27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82,88 ± 2,21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16,73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68,97 ± 1,76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67,13 ± 2,03</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31,03 ± 1,76</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67,83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65,71 ± 2,32</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32,17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66,60 ± 3,19</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65,04 ± 3,60</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33,40 ± 3,19</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61,82 ± 2,96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58,57 ± 3,69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38,18 ± 2,96</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61,72 ± 1,97</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58,48 ± 2,58</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38,28 ± 1,97</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56,80 ± 1,90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52,62 ± 3,11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43,20 ± 1,90</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d=2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56,32 ± 1,74</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52,53 ± 2,51</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43,68 ± 1,74</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44,85 ± 2,61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34,86 ± 2,39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55,15 ± 2,61</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5. Ranking de configuraciones SVM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6. F1 vs. Error Rate (izq.) y matriz de confusión de la mejor configuración: Linear C=10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Linear C=10, con F1-score macro del 93,65 ± 1,76 % y accuracy del 93,84 ± 1,70 %. El hecho de que el kernel lineal supere a los kernels no lineales sugiere que, tras el preprocesado aplicado, las 7 clases son mayoritariamente separables de forma lineal en el espacio de características.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del parámetro C en el kernel lineal: mejora progresiva al aumentar C: de 58,48 % (C=0,1) a 83,93 % (C=1) y 93,65 % (C=10). Valores pequeños de C imponen regularización excesiva, impidiendo al modelo ajustarse a la distribución de los datos.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γ en el kernel RBF: con C=10, el valor óptimo es γ=0,1 (F1=87,73 %), mientras que γ=0,01 produce una caída hasta 67,13 % por radio de influencia excesivamente amplio. Con C=100 y γ=auto, el kernel RBF alcanza el 93,31 %, prácticamente equiparable al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Kernels polinómico y sigmoide: obtienen los resultados más bajos. El kernel polinómico de grado 3 con C=1 registra el peor rendimiento (F1=34,86 %), posiblemente por dificultades de optimización en el espacio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producen entre clases adyacentes (Normal Weight ↔ Overweight Level I, Overweight Level I ↔ Overweight Level II), coherente con la naturaleza continua del IMC subyacente.</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4.7. DoME (Domain-based Model Extraction)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4.7.2. Resultados</w:t>
      </w:r>
    </w:p>
    <w:p>
      <w:pPr>
        <w:spacing w:after="80" w:before="80"/>
        <w:jc w:val="both"/>
      </w:pPr>
      <w:r>
        <w:rPr>
          <w:rFonts w:ascii="Arial" w:cs="Arial" w:eastAsia="Arial" w:hAnsi="Arial"/>
          <w:b w:val="false"/>
          <w:bCs w:val="false"/>
          <w:i/>
          <w:iCs/>
          <w:color w:val="666666"/>
          <w:sz w:val="22"/>
          <w:szCs w:val="22"/>
        </w:rPr>
        <w:t xml:space="preserve">Tabla 2. Comparativa de configuraciones DoME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MaxNodes</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 n=100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83,52 ± 1,88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80,95 ± 3,38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80,52 ± 3,55</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19,05 ± 3,38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n=90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82,35 ± 2,25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79,77 ± 3,30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79,36 ± 3,39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20,23 ± 3,30</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n=80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81,18 ± 1,69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78,25 ± 2,32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77,79 ± 2,23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21,75 ± 2,32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n=70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77,44 ± 2,12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76,87 ± 2,10</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22,56 ± 2,12</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n=60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78,86 ± 1,64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75,88 ± 2,90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75,03 ± 2,87</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24,12 ± 2,90</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n=50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77,87 ± 1,41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76,07 ± 2,85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75,06 ± 2,87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23,93 ± 2,85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n=40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76,15 ± 1,12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74,89 ± 2,33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73,80 ± 2,43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25,11 ± 2,33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n=30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72,12 ± 0,79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70,57 ± 2,48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69,05 ± 2,63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29,43 ± 2,48</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43050"/>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7. Ranking de configuraciones DoME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4382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0953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8. F1 vs. nodos (izq.) y matriz de confusión de la mejor configuración: DoME n=100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moderado y creciente: la diferencia entre accuracy de entrenamiento y test aumenta progresivamente con maximumNodes, alcanzando un gap de ∼2,6 puntos en n=100 (83,52 % vs. 80,95 %). Este nivel de sobreajuste es moderado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aumenta con la complejidad, de ±2,63 % en n=30 hasta ±3,55 % en n=100, indicando que modelos más complejos son más sensibles a la composición concreta de cada fold.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DoME n=100, con F1-score macro del 80,52 ± 3,55 % y accuracy del 80,95 ± 3,38 %.</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4.8. Redes Neuronales Artificiales (MLP)</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una capa oculta: [16], [32] y [64] neuronas con activación sigmoide (σ), y [32] y [64] con ReLU.</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dos capas ocultas: [32,16], [64,32] y [128,64] neuronas con σ; [64,32] con ReLU; y [64,32] con activación mixta σ/tanh.</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4.8.2. Resultados</w:t>
      </w:r>
    </w:p>
    <w:p>
      <w:pPr>
        <w:spacing w:after="80" w:before="80"/>
        <w:jc w:val="both"/>
      </w:pPr>
      <w:r>
        <w:rPr>
          <w:rFonts w:ascii="Arial" w:cs="Arial" w:eastAsia="Arial" w:hAnsi="Arial"/>
          <w:b w:val="false"/>
          <w:bCs w:val="false"/>
          <w:i/>
          <w:iCs/>
          <w:color w:val="666666"/>
          <w:sz w:val="22"/>
          <w:szCs w:val="22"/>
        </w:rPr>
        <w:t xml:space="preserve">Tabla 3. Comparativa de configuraciones MLP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Arquitectura</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Topología</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Activación</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 64]</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σ/tanh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σ/tanh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96,03 ±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95,93 ± 1,05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3,97 ± 1,00</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95,69 ± 1,14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95,58 ± 1,19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4,31 ± 1,14</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94,69 ± 1,37</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94,53 ± 1,45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5,31 ± 1,37</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92,69 ± 1,66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92,48 ± 1,73</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 ± 1,66</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89,52 ± 2,39</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89,25 ± 2,41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10,48 ± 2,39</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89,75 ± 1,95</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89,44 ± 1,99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10,25 ± 1,95</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relu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89,45 ± 2,36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2,40</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10,55 ± 2,36</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86,95 ± 1,99</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86,59 ± 2,04</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13,05 ± 1,99</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83,26 ± 2,73</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82,76 ± 2,71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16,74 ± 2,73</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62100"/>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628775"/>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9. Ranking de configuraciones MLP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10. F1 vs. Error Rate (izq.) y matriz de confusión de la mejor configuración: [128,64] σ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[128,64] σ y [64,32] σ/tanh, ambas con Accuracy = 96,03 % y F1 ≈ 95,92-95,93 %. La diferencia entre ambas es inferior a la desviación típica, constituyendo un empate estadístico.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moderado: en [128,64] σ, el train accuracy es del 99,79 % frente al 96,03 % de test, una brecha de ≈3,8 puntos. Este nivel es asumible dado el tamaño del dataset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en las mejores configuraciones es ≤0,95 %, indicando un comportamiento muy robusto y consistente entre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la matriz de confusión muestra que los errores más frecuentes se producen entre Normal Weight y Overweight Level I, y entre Overweight Level I y Overweight Level II. Las clases extremas se clasifican prácticamente sin error.</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4.9. Árboles de Decisión (DT)</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7 valores de max_depth: {1, 2, 4, 6, 8, 12, 16}, cubriendo desde árboles muy simples hasta configuraciones de mayor complejidad.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4.9.2. Resultados e incidencia detectada</w:t>
      </w:r>
    </w:p>
    <w:p>
      <w:pPr>
        <w:spacing w:after="60" w:before="60"/>
      </w:pPr>
      <w:r>
        <w:rPr>
          <w:rFonts w:ascii="Arial" w:cs="Arial" w:eastAsia="Arial" w:hAnsi="Arial"/>
          <w:b w:val="false"/>
          <w:bCs w:val="false"/>
          <w:i w:val="false"/>
          <w:iCs w:val="false"/>
          <w:color w:val="000000"/>
          <w:sz w:val="22"/>
          <w:szCs w:val="22"/>
        </w:rPr>
        <w:t xml:space="preserve"/>
      </w:r>
    </w:p>
    <w:p>
      <w:pPr>
        <w:pBdr>
          <w:top w:val="single" w:color="FF8C00" w:sz="4"/>
          <w:bottom w:val="single" w:color="FF8C00" w:sz="4"/>
          <w:left w:val="single" w:color="FF8C00" w:sz="4"/>
          <w:right w:val="single" w:color="FF8C00" w:sz="4"/>
        </w:pBdr>
        <w:spacing w:after="120" w:before="120"/>
      </w:pPr>
      <w:r>
        <w:rPr>
          <w:rFonts w:ascii="Arial" w:cs="Arial" w:eastAsia="Arial" w:hAnsi="Arial"/>
          <w:b w:val="false"/>
          <w:bCs w:val="false"/>
          <w:i/>
          <w:iCs/>
          <w:color w:val="7F4F00"/>
          <w:sz w:val="20"/>
          <w:szCs w:val="20"/>
        </w:rPr>
        <w:t xml:space="preserve">⚠ Incidencia detectada: todos los valores de max_depth producen exactamente el mismo resultado (Accuracy ≈ 12,88 %, F1 ≈ 3,26 %), lo cual es indicativo de un fallo en la implementación del experimento. Un accuracy del 12,88 % es prácticamente equivalente al azar para un problema de 7 clases (baseline aleatorio ≈ 14,3 %). La causa más probable es un error en el preprocesado o en la interfaz del wrapper MLJ/DecisionTree dentro del script experimentos_arboles.jl. Se recomienda revisar y re-ejecutar los experimentos. Según la literatura (Jindal et al., 2024), los árboles de decisión alcanzan &gt;98 % de accuracy en este dataset.</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4. Resultados de configuraciones DT (validación cruzada de 10 folds). Resultados afectados por incidencia técnica.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2000"/>
        <w:gridCol w:w="1100"/>
        <w:gridCol w:w="1900"/>
        <w:gridCol w:w="1900"/>
        <w:gridCol w:w="1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2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max_depth</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1-7</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max_depth=1..16</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1,2,4,6,8,12,16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C00000"/>
                <w:sz w:val="20"/>
                <w:szCs w:val="20"/>
              </w:rPr>
              <w:t xml:space="preserve">12,88 ± 0,14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C00000"/>
                <w:sz w:val="20"/>
                <w:szCs w:val="20"/>
              </w:rPr>
              <w:t xml:space="preserve">3,26 ± 0,03</w:t>
            </w:r>
          </w:p>
        </w:tc>
        <w:tc>
          <w:tcPr>
            <w:tcW w:type="dxa" w:w="1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C00000"/>
                <w:sz w:val="20"/>
                <w:szCs w:val="20"/>
              </w:rPr>
              <w:t xml:space="preserve">87,12 ± 0,14</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1. Ranking de configuraciones DT (izq.) y comparativa train vs. test (dcha.)." descr="Figura 11. Ranking de configuraciones DT (izq.) y comparativa train vs. test (dcha.)." title="Figura 11. Ranking de configuraciones DT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11. Ranking de configuraciones DT (izq.) y comparativa train vs. test (dcha.)." descr="Figura 11. Ranking de configuraciones DT (izq.) y comparativa train vs. test (dcha.)." title="Figura 11. Ranking de configuraciones DT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11. Ranking de configuraciones DT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52600"/>
                  <wp:effectExtent t="0" r="0" b="0" l="0"/>
                  <wp:docPr id="1" name="Figura 12. F1 vs. Error Rate (izq.) y matriz de confusión acumulada (dcha.)." descr="Figura 12. F1 vs. Error Rate (izq.) y matriz de confusión acumulada (dcha.)." title="Figura 12. F1 vs. Error Rate (izq.) y matriz de confusión acumulada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2. F1 vs. Error Rate (izq.) y matriz de confusión acumulada (dcha.)." descr="Figura 12. F1 vs. Error Rate (izq.) y matriz de confusión acumulada (dcha.)." title="Figura 12. F1 vs. Error Rate (izq.) y matriz de confusión acumulada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12. F1 vs. Error Rate (izq.) y matriz de confusión acumulada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4.9.3. Comportamiento esperado tras corrección</w:t>
      </w:r>
    </w:p>
    <w:p>
      <w:pPr>
        <w:spacing w:after="80" w:before="80"/>
        <w:jc w:val="both"/>
      </w:pPr>
      <w:r>
        <w:rPr>
          <w:rFonts w:ascii="Arial" w:cs="Arial" w:eastAsia="Arial" w:hAnsi="Arial"/>
          <w:b w:val="false"/>
          <w:bCs w:val="false"/>
          <w:i w:val="false"/>
          <w:iCs w:val="false"/>
          <w:color w:val="000000"/>
          <w:sz w:val="22"/>
          <w:szCs w:val="22"/>
        </w:rPr>
        <w:t xml:space="preserve">Una vez corregida la implementación, se espera que los Árboles de Decisión muestren el comportamiento típico descrito en la literatura: profundidades bajas (1-2) producen subajuste severo por insuficiente capacidad discriminativa; profundidades intermedias (6-10) alcanzan el mejor balance entre sesgo y varianza; profundidades muy altas (≥12) pueden introducir sobreajuste si no se aplica poda o restricción de tamaño mínimo de hoja. La ventaja diferencial del modelo reside en su interpretabilidad: las reglas de clasificación pueden ser directamente validadas por expertos clínicos.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4.10. k-Vecinos más Próximos (k-NN)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4.10.2. Resultados</w:t>
      </w:r>
    </w:p>
    <w:p>
      <w:pPr>
        <w:spacing w:after="80" w:before="80"/>
        <w:jc w:val="both"/>
      </w:pPr>
      <w:r>
        <w:rPr>
          <w:rFonts w:ascii="Arial" w:cs="Arial" w:eastAsia="Arial" w:hAnsi="Arial"/>
          <w:b w:val="false"/>
          <w:bCs w:val="false"/>
          <w:i/>
          <w:iCs/>
          <w:color w:val="666666"/>
          <w:sz w:val="22"/>
          <w:szCs w:val="22"/>
        </w:rPr>
        <w:t xml:space="preserve">Tabla 5. Comparativa de configuraciones k-NN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1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 k=1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100,00 ± 0,00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81,19 ± 2,44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80,51 ± 2,51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18,81 ± 2,44</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0,28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79,96 ± 3,66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79,28 ± 3,70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20,04 ± 3,66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k=5</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84,99 ± 0,29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78,21 ± 3,83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77,27 ± 3,98</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21,79 ± 3,83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k=7</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82,80 ± 0,50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77,03 ± 3,76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75,83 ± 4,10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22,97 ± 3,76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78,59 ± 0,49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74,38 ± 3,13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72,90 ± 3,31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25,62 ± 3,13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76,05 ± 0,47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72,72 ± 3,27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71,11 ± 3,38</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27,28 ± 3,27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k=21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73,28 ± 0,39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70,30 ± 2,00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68,19 ± 2,19</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29,70 ± 2,00</w:t>
            </w:r>
          </w:p>
        </w:tc>
      </w:tr>
    </w:tbl>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334000" cy="3486150"/>
            <wp:effectExtent t="0" r="0" b="0" l="0"/>
            <wp:docPr id="1"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13. Ranking de configuraciones k-NN por F1-score y Accuracy (validación cruzada 10-fold).</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14. Comparativa Train Accuracy vs. Test Accuracy (izq.) y F1 vs. Tasa de error (dcha.).</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953000" cy="3095625"/>
            <wp:effectExtent t="0" r="0" b="0" l="0"/>
            <wp:docPr id="1"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15. Evolución de F1-score, Accuracy y Train Accuracy en función del valor de k.</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191000" cy="3457575"/>
            <wp:effectExtent t="0" r="0" b="0" l="0"/>
            <wp:docPr id="1"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16. Matriz de confusión acumulada — mejor configuración k-NN: k=1.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kNN k=1, con F1-score macro del 80,51 ± 2,51 % y accuracy del 81,19 ± 2,44 %. Este resultado posiciona a k-NN en tercer lugar en la comparativa global, por encima de DoME (80,52 %) y muy próximo a él, pero claramente por debajo de SVM (93,65 %) y MLP (95,92 %).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Tendencia decreciente monótona con k (Figura 15): a medida que aumenta el número de vecinos, el rendimiento disminuye de forma continua: F1 pasa del 80,51 % con k=1 al 68,19 % con k=21, una caída de más de 12 puntos porcentuales. Esto indica que la estructura local del espacio de características es altamente informativa y que promediar sobre vecindarios amplios introduce ruido perjudicial.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severo en k=1 (Figura 14): con k=1, el algoritmo memoriza perfectamente el conjunto de entrenamiento (Train Acc = 100,00 %), mientras que en test se obtiene un 81,19 %. Esta brecha de ∼19 puntos porcentuales es el mayor nivel de sobreajuste observado en cualquier modelo de este trabajo. A medida que k aumenta, el overfitting se reduce progresivamente: con k=21, Train Acc = 73,28 % y Test Acc = 70,30 %, con una diferencia de solo ∼3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5. Comparativa general de modelos</w:t>
      </w:r>
    </w:p>
    <w:p>
      <w:pPr>
        <w:spacing w:after="80" w:before="80"/>
        <w:jc w:val="both"/>
      </w:pPr>
      <w:r>
        <w:rPr>
          <w:rFonts w:ascii="Arial" w:cs="Arial" w:eastAsia="Arial" w:hAnsi="Arial"/>
          <w:b w:val="false"/>
          <w:bCs w:val="false"/>
          <w:i w:val="false"/>
          <w:iCs w:val="false"/>
          <w:color w:val="000000"/>
          <w:sz w:val="22"/>
          <w:szCs w:val="22"/>
        </w:rPr>
        <w:t xml:space="preserve">La Tabla 6 resume el rendimiento de la mejor configuración de cada modelo evaluado, ordenada de mayor a menor F1-score macro. Los resultados del Árbol de Decisión se excluyen de la comparativa cuantitativa por la incidencia técnica detectada.</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6. Comparativa de la mejor configuración de cada modelo (validación cruzada de 10 folds).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Mejor configuración</w:t>
            </w:r>
          </w:p>
        </w:tc>
        <w:tc>
          <w:tcPr>
            <w:tcW w:type="dxa" w:w="6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64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RRNN (MLP)</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164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k=1</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81,19 ± 2,44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80,51 ± 2,51</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18,81 ± 2,44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n=100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80,95 ± 3,38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80,52 ± 3,55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19,05 ± 3,38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 (incidencia)</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5.1. Análisis comparativo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Las Redes Neuronales MLP obtienen el mejor rendimiento global (F1 = 95,92 %), confirmando la capacidad de los modelos de mayor profundidad para capturar las relaciones no lineales complejas entre hábitos de vida y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SVM con kernel lineal (F1 = 93,65 %) ofrece un rendimiento muy cercano al de las redes neuronales con una complejidad computacional significativamente menor. El hecho de que el kernel lineal supere a los no lineales sugiere que el preprocesado aplicado hace que las clases sean mayoritariamente separables de forma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k-NN con k=1 (F1 = 80,51 %) ocupa el tercer puesto, practicamente empatado con DoME (80,52 %). Aunque su rendimiento es inferior al de MLP y SVM, k-NN demuestra que la informacion local del espacio de caracteristicas es suficiente para alcanzar un nivel de precision aceptable. Su principal limitacion es el sobreajuste severo con k=1 (Train Acc = 100 % vs. Test = 81,19 %) y su alta sensibilidad al valor de k.</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DoME (F1 = 80,52 %) queda por debajo de MLP y SVM en cuanto a precision numerica, pero ofrece una ventaja diferencial clave: genera modelos interpretables en forma de reglas explicitas comprensibles por clinicos. En entornos sanitarios donde la transparencia es un requisito legal o etico, DoME puede ser la opcion preferible.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clasificacion se concentran en clases adyacentes (Normal Weight - Overweight Level I, Overweight Level I - Overweight Level II), coherente con la naturaleza continua del IMC subyacente. Las clases extremas se clasifican con alta precision en todos los modelos.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6. Conclusiones</w:t>
      </w:r>
    </w:p>
    <w:p>
      <w:pPr>
        <w:spacing w:after="80" w:before="80"/>
        <w:jc w:val="both"/>
      </w:pPr>
      <w:r>
        <w:rPr>
          <w:rFonts w:ascii="Arial" w:cs="Arial" w:eastAsia="Arial" w:hAnsi="Arial"/>
          <w:b w:val="false"/>
          <w:bCs w:val="false"/>
          <w:i w:val="false"/>
          <w:iCs w:val="false"/>
          <w:color w:val="000000"/>
          <w:sz w:val="22"/>
          <w:szCs w:val="22"/>
        </w:rPr>
        <w:t xml:space="preserve">Este trabajo ha abordado el problema de clasificacion multiclase de niveles de obesidad empleando el dataset Estimation of Obesity Levels Based on Eating Habits and Physical Condition (UCI, 2019) y aplicando cinco modelos de Aprendizaje Automatico supervisado: Redes Neuronales Artificiales (MLP), Maquinas de Vectores Soporte (SVM), k-Vecinos mas Proximos (k-NN), Arboles de Decision y DoME.</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principales hallazgos obtenidos son los siguientes: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modelo MLP con arquitectura [128,64] sigma alcanza el mejor rendimiento, con un F1-score macro del 95,92 % y una accuracy del 96,03 % en validacion cruzada de 10 folds. Este resultado confirma la adecuacion de las redes neuronales profundas para este tipo de problemas multiclase con variables heterogeneas.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SVM con kernel lineal y C = 10 obtiene un F1 del 93,65 %, solo 2,27 puntos por debajo del mejor MLP, con una complejidad computacional muy inferior. Ello sugiere que el preprocesado aplicado es especialmente favorable para la separacion lineal de las clases en este problema.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clasificador k-NN con k=1 obtiene un F1 del 80,51 %, practicamente identico a DoME, confirmando que la estructura local del espacio de caracteristicas contiene informacion suficiente para una clasificacion razonablemente precisa. No obstante, presenta overfitting severo con k=1 (Train Acc = 100 %) y un rendimiento decreciente conforme aumenta k.</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DoME alcanza un F1 del 80,52 % con su mejor configuracion (n=100), quedando por debajo de MLP y SVM pero aportando interpretabilidad: sus modelos en forma de reglas pueden ser comprendidos y validados por expertos clinicos, lo que le confiere valor diferencial en aplicaciones sanitarias.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experimentos con Arboles de Decision presentaron una incidencia tecnica que invalida los resultados obtenidos. La re-ejecucion del experimento tras corregir el script experimentos_arboles.jl es necesaria para obtener resultados validos y comparables con la literatura.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clasificacion se concentran en clases adyacentes (Normal Weight - Overweight Level I, Overweight Level I - Overweight Level II), lo que es coherente con la naturaleza continua del indice de masa corporal subyacente. Las clases extremas (Insufficient Weight y Obesity Type III) se clasifican con alta precision en todos los modelos.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conclusion, las tecnicas de Aprendizaje Automatico demuestran una alta eficacia para la clasificacion automatica del nivel de obesidad a partir de variables conductuales y fisicas, superando ampliamente el enfoque clinico tradicional basado unicamente en el Indice de Masa Corporal. La eleccion del modelo mas adecuado depende del contexto de aplicacion: si se prioriza el rendimiento predictivo, el MLP es la mejor opcion; si se requiere interpretabilidad clinica, DoME ofrece el mejor equilibrio entre precision y transparencia; k-NN, aunque mas sencillo conceptualmente, compite en rendimiento con DoME y constituye una referencia util al no requerir entrenamiento explicito. Como trabajo futuro, resultaria de interes explorar tecnicas de ensamblado (Random Forest, Gradient Boosting), optimizacion de hiperparametros mediante busqueda en rejilla, e incorporar variables clinicas adicionales para mejorar la profundidad diagnostica del sistema.</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7. Bibliografia</w:t>
      </w:r>
    </w:p>
    <w:p>
      <w:pPr>
        <w:spacing w:after="80" w:before="80"/>
        <w:ind w:left="720" w:hanging="360"/>
      </w:pPr>
      <w:r>
        <w:rPr>
          <w:rFonts w:ascii="Arial" w:cs="Arial" w:eastAsia="Arial" w:hAnsi="Arial"/>
          <w:b w:val="false"/>
          <w:bCs w:val="false"/>
          <w:i w:val="false"/>
          <w:iCs w:val="false"/>
          <w:color w:val="000000"/>
          <w:sz w:val="20"/>
          <w:szCs w:val="20"/>
        </w:rPr>
        <w:t xml:space="preserve">Alqahtani, A., et al. (2022). Machine learning models for predicting obesity: A comparative study. Computers in Biology and Medicine, 144, 105341.</w:t>
      </w:r>
    </w:p>
    <w:p>
      <w:pPr>
        <w:spacing w:after="80" w:before="80"/>
        <w:ind w:left="720" w:hanging="360"/>
      </w:pPr>
      <w:r>
        <w:rPr>
          <w:rFonts w:ascii="Arial" w:cs="Arial" w:eastAsia="Arial" w:hAnsi="Arial"/>
          <w:b w:val="false"/>
          <w:bCs w:val="false"/>
          <w:i w:val="false"/>
          <w:iCs w:val="false"/>
          <w:color w:val="000000"/>
          <w:sz w:val="20"/>
          <w:szCs w:val="20"/>
        </w:rPr>
        <w:t xml:space="preserve">Chawla, N. V., et al. (2002). SMOTE: Synthetic minority over-sampling technique. Journal of Artificial Intelligence Research, 16, 321-357.</w:t>
      </w:r>
    </w:p>
    <w:p>
      <w:pPr>
        <w:spacing w:after="80" w:before="80"/>
        <w:ind w:left="720" w:hanging="360"/>
      </w:pPr>
      <w:r>
        <w:rPr>
          <w:rFonts w:ascii="Arial" w:cs="Arial" w:eastAsia="Arial" w:hAnsi="Arial"/>
          <w:b w:val="false"/>
          <w:bCs w:val="false"/>
          <w:i w:val="false"/>
          <w:iCs w:val="false"/>
          <w:color w:val="000000"/>
          <w:sz w:val="20"/>
          <w:szCs w:val="20"/>
        </w:rPr>
        <w:t xml:space="preserve">Davis, J., &amp; Goadrich, M. (2006). The relationship between Precision-Recall and ROC curves. ICML.</w:t>
      </w:r>
    </w:p>
    <w:p>
      <w:pPr>
        <w:spacing w:after="80" w:before="80"/>
        <w:ind w:left="720" w:hanging="360"/>
      </w:pPr>
      <w:r>
        <w:rPr>
          <w:rFonts w:ascii="Arial" w:cs="Arial" w:eastAsia="Arial" w:hAnsi="Arial"/>
          <w:b w:val="false"/>
          <w:bCs w:val="false"/>
          <w:i w:val="false"/>
          <w:iCs w:val="false"/>
          <w:color w:val="000000"/>
          <w:sz w:val="20"/>
          <w:szCs w:val="20"/>
        </w:rPr>
        <w:t xml:space="preserve">Ferdowsy, F., et al. (2021). A machine learning approach for obesity risk prediction. Current Research in Behavioral Sciences, 2, 100053.</w:t>
      </w:r>
    </w:p>
    <w:p>
      <w:pPr>
        <w:spacing w:after="80" w:before="80"/>
        <w:ind w:left="720" w:hanging="360"/>
      </w:pPr>
      <w:r>
        <w:rPr>
          <w:rFonts w:ascii="Arial" w:cs="Arial" w:eastAsia="Arial" w:hAnsi="Arial"/>
          <w:b w:val="false"/>
          <w:bCs w:val="false"/>
          <w:i w:val="false"/>
          <w:iCs w:val="false"/>
          <w:color w:val="000000"/>
          <w:sz w:val="20"/>
          <w:szCs w:val="20"/>
        </w:rPr>
        <w:t xml:space="preserve">Jindal, A., et al. (2024). Obesity Prediction Using Machine Learning Algorithms. Engineering Proceedings, 107(1), 125.</w:t>
      </w:r>
    </w:p>
    <w:p>
      <w:pPr>
        <w:spacing w:after="80" w:before="80"/>
        <w:ind w:left="720" w:hanging="360"/>
      </w:pPr>
      <w:r>
        <w:rPr>
          <w:rFonts w:ascii="Arial" w:cs="Arial" w:eastAsia="Arial" w:hAnsi="Arial"/>
          <w:b w:val="false"/>
          <w:bCs w:val="false"/>
          <w:i w:val="false"/>
          <w:iCs w:val="false"/>
          <w:color w:val="000000"/>
          <w:sz w:val="20"/>
          <w:szCs w:val="20"/>
        </w:rPr>
        <w:t xml:space="preserve">Kim, Y., et al. (2023). Age-specific risk factors for the prediction of obesity. Frontiers in Public Health, 10, 998782.</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Dataset for estimation of obesity levels based on eating habits and physical condition. Data in Brief, 25, 104344.</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Estimation of obesity levels based on eating habits and physical condition [Dataset]. UCI Machine Learning Repository. https://archive.ics.uci.edu/dataset/544</w:t>
      </w:r>
    </w:p>
    <w:p>
      <w:pPr>
        <w:spacing w:after="80" w:before="80"/>
        <w:ind w:left="720" w:hanging="360"/>
      </w:pPr>
      <w:r>
        <w:rPr>
          <w:rFonts w:ascii="Arial" w:cs="Arial" w:eastAsia="Arial" w:hAnsi="Arial"/>
          <w:b w:val="false"/>
          <w:bCs w:val="false"/>
          <w:i w:val="false"/>
          <w:iCs w:val="false"/>
          <w:color w:val="000000"/>
          <w:sz w:val="20"/>
          <w:szCs w:val="20"/>
        </w:rPr>
        <w:t xml:space="preserve">Safaei, M., et al. (2021). A systematic literature review on obesity and machine learning. Computers in Biology and Medicine, 136, 104754.</w:t>
      </w:r>
    </w:p>
    <w:p>
      <w:pPr>
        <w:spacing w:after="80" w:before="80"/>
        <w:ind w:left="720" w:hanging="360"/>
      </w:pPr>
      <w:r>
        <w:rPr>
          <w:rFonts w:ascii="Arial" w:cs="Arial" w:eastAsia="Arial" w:hAnsi="Arial"/>
          <w:b w:val="false"/>
          <w:bCs w:val="false"/>
          <w:i w:val="false"/>
          <w:iCs w:val="false"/>
          <w:color w:val="000000"/>
          <w:sz w:val="20"/>
          <w:szCs w:val="20"/>
        </w:rPr>
        <w:t xml:space="preserve">Sahoo, D., et al. (2015). Machine learning-based prediction of obesity risk using health data. Journal of Biomedical Informatics, 56, 135-146.</w:t>
      </w:r>
    </w:p>
    <w:p>
      <w:pPr>
        <w:spacing w:after="80" w:before="80"/>
        <w:ind w:left="720" w:hanging="360"/>
      </w:pPr>
      <w:r>
        <w:rPr>
          <w:rFonts w:ascii="Arial" w:cs="Arial" w:eastAsia="Arial" w:hAnsi="Arial"/>
          <w:b w:val="false"/>
          <w:bCs w:val="false"/>
          <w:i w:val="false"/>
          <w:iCs w:val="false"/>
          <w:color w:val="000000"/>
          <w:sz w:val="20"/>
          <w:szCs w:val="20"/>
        </w:rPr>
        <w:t xml:space="preserve">Silva, L., et al. (2024). Obesity classification: machine learning models excluding weight and height data. Revista da Associacao Medica Brasileira.</w:t>
      </w:r>
    </w:p>
    <w:p>
      <w:pPr>
        <w:spacing w:after="80" w:before="80"/>
        <w:ind w:left="720" w:hanging="360"/>
      </w:pPr>
      <w:r>
        <w:rPr>
          <w:rFonts w:ascii="Arial" w:cs="Arial" w:eastAsia="Arial" w:hAnsi="Arial"/>
          <w:b w:val="false"/>
          <w:bCs w:val="false"/>
          <w:i w:val="false"/>
          <w:iCs w:val="false"/>
          <w:color w:val="000000"/>
          <w:sz w:val="20"/>
          <w:szCs w:val="20"/>
        </w:rPr>
        <w:t xml:space="preserve">World Health Organization. (2024). Obesity and overweight fact sheet. https://www.who.int/news-room/fact-sheets/detail/obesity-and-overweight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666666"/>
        <w:sz w:val="18"/>
        <w:szCs w:val="18"/>
      </w:rPr>
      <w:t xml:space="preserve">Estimación de Niveles de Obesidad — FAA P2  |  </w:t>
    </w:r>
    <w:r>
      <w:rPr>
        <w:rFonts w:ascii="Arial" w:cs="Arial" w:eastAsia="Arial" w:hAnsi="Arial"/>
        <w:b w:val="false"/>
        <w:bCs w:val="false"/>
        <w:i w:val="false"/>
        <w:iCs w:val="false"/>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65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fff3e110d3b03d90ec99374bda2d9dfb47b711.png"/><Relationship Id="rId9" Type="http://schemas.openxmlformats.org/officeDocument/2006/relationships/image" Target="media/3adcbfbd0e71fd56a46c1e7fb4d36783506fc967.png"/><Relationship Id="rId10" Type="http://schemas.openxmlformats.org/officeDocument/2006/relationships/image" Target="media/78c453ef1388dbfe9850774ff68097e9d400d5f9.png"/><Relationship Id="rId11" Type="http://schemas.openxmlformats.org/officeDocument/2006/relationships/image" Target="media/82d6907d4158d1151c1289629a4e3edbe6029da2.png"/><Relationship Id="rId12" Type="http://schemas.openxmlformats.org/officeDocument/2006/relationships/image" Target="media/5e3161d8aa94133df546f24887400bf038ad5956.png"/><Relationship Id="rId13" Type="http://schemas.openxmlformats.org/officeDocument/2006/relationships/image" Target="media/e6787af50962fc9a4cf5d3b0c0a87bb913f4b23e.png"/><Relationship Id="rId14" Type="http://schemas.openxmlformats.org/officeDocument/2006/relationships/image" Target="media/eec59920282123a0ca8e6fee09bd2a0ca84a659a.png"/><Relationship Id="rId15" Type="http://schemas.openxmlformats.org/officeDocument/2006/relationships/image" Target="media/ededc5ce226dcc0c30ab095931fb3adc1ef3cf60.png"/><Relationship Id="rId16" Type="http://schemas.openxmlformats.org/officeDocument/2006/relationships/image" Target="media/d13d0ead302c8e9121345b4b6f1fd9edc63caba9.png"/><Relationship Id="rId17" Type="http://schemas.openxmlformats.org/officeDocument/2006/relationships/image" Target="media/3aa21758ed62d2afc8a5fea7022b66fd2a94ea78.png"/><Relationship Id="rId18" Type="http://schemas.openxmlformats.org/officeDocument/2006/relationships/image" Target="media/9667e37f38d8a07176bd10caf61ebad1344f85e3.png"/><Relationship Id="rId19" Type="http://schemas.openxmlformats.org/officeDocument/2006/relationships/image" Target="media/ce2067a3a5190d5366c2ac40a644f7c8b5776eb3.png"/><Relationship Id="rId20" Type="http://schemas.openxmlformats.org/officeDocument/2006/relationships/image" Target="media/fb63ff182813ba030cb32439a33b62e2470bc983.png"/><Relationship Id="rId21" Type="http://schemas.openxmlformats.org/officeDocument/2006/relationships/image" Target="media/d3697950137e8092962bcb5b07f38ce56eb26a7e.png"/><Relationship Id="rId22" Type="http://schemas.openxmlformats.org/officeDocument/2006/relationships/image" Target="media/eec46edb7743c8f326d0bcc45c5b6e6d8a66fef4.png"/><Relationship Id="rId23" Type="http://schemas.openxmlformats.org/officeDocument/2006/relationships/image" Target="media/fa0d5318c59ba3686d59534a3f259d3ac78202f3.png"/><Relationship Id="rId24" Type="http://schemas.openxmlformats.org/officeDocument/2006/relationships/image" Target="media/877515d36645a89e00892b9479a9b7f7931cc923.png"/><Relationship Id="rId25" Type="http://schemas.openxmlformats.org/officeDocument/2006/relationships/image" Target="media/f6cb333d93aa200877eaf5a3ac60819e3d3f71b4.png"/><Relationship Id="rId26" Type="http://schemas.openxmlformats.org/officeDocument/2006/relationships/image" Target="media/56f0f3d0173ccb27147b53a51f0cfd3b0066ccfa.png"/><Relationship Id="rId27" Type="http://schemas.openxmlformats.org/officeDocument/2006/relationships/image" Target="media/4158b9d96c7289812260e39787a376cfe038f5d4.png"/><Relationship Id="rId28" Type="http://schemas.openxmlformats.org/officeDocument/2006/relationships/image" Target="media/1764326bc7ff411b84cca7b14c8adbbe3d8128e7.png"/><Relationship Id="rId29" Type="http://schemas.openxmlformats.org/officeDocument/2006/relationships/image" Target="media/a2c58dd961d7afde3d392109e8b8fa90c30c0af1.png"/><Relationship Id="rId30" Type="http://schemas.openxmlformats.org/officeDocument/2006/relationships/image" Target="media/e7065c876b57cc2d3274edab332cbe70d2ec0f1a.png"/><Relationship Id="rId31" Type="http://schemas.openxmlformats.org/officeDocument/2006/relationships/image" Target="media/9a13746d1d4b7b2d56efa5a75a09a42f17180720.png"/><Relationship Id="rId32" Type="http://schemas.openxmlformats.org/officeDocument/2006/relationships/image" Target="media/93237cde7f6960170f022473441fe94d814a08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2026-04-29T00:28:48.672Z</dcterms:created>
  <dcterms:modified xsi:type="dcterms:W3CDTF">2026-04-29T00:28:48.673Z</dcterms:modified>
</cp:coreProperties>
</file>

<file path=docProps/custom.xml><?xml version="1.0" encoding="utf-8"?>
<Properties xmlns="http://schemas.openxmlformats.org/officeDocument/2006/custom-properties" xmlns:vt="http://schemas.openxmlformats.org/officeDocument/2006/docPropsVTypes"/>
</file>