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75B6" w:sz="4" w:space="4"/>
        </w:pBdr>
        <w:spacing w:after="200" w:before="0"/>
      </w:pPr>
      <w:r>
        <w:rPr>
          <w:rFonts w:ascii="Arial" w:cs="Arial" w:eastAsia="Arial" w:hAnsi="Arial"/>
          <w:b/>
          <w:bCs/>
          <w:color w:val="2E75B6"/>
          <w:sz w:val="26"/>
          <w:szCs w:val="26"/>
        </w:rPr>
        <w:t xml:space="preserve">SECCIONES COMPLEMENTARIAS DE LA MEMORIA — FAA P2</w:t>
      </w:r>
    </w:p>
    <w:p>
      <w:pPr>
        <w:spacing w:after="80" w:before="80"/>
      </w:pPr>
      <w:r>
        <w:rPr>
          <w:rFonts w:ascii="Arial" w:cs="Arial" w:eastAsia="Arial" w:hAnsi="Arial"/>
          <w:b w:val="false"/>
          <w:bCs w:val="false"/>
          <w:i w:val="false"/>
          <w:iCs w:val="false"/>
          <w:sz w:val="22"/>
          <w:szCs w:val="22"/>
        </w:rPr>
        <w:t xml:space="preserve">Este documento contiene las secciones que faltan en el Google Doc faaP2: la sección de Redes Neuronales Artificiales, el análisis de Árboles de Decisión con resultados reales, la comparativa global y las conclusiones. Puedes copiarlas y pegarlas directamente en el documento compartido.</w:t>
      </w:r>
    </w:p>
    <w:p>
      <w:r>
        <w:t xml:space="preserve"/>
      </w:r>
    </w:p>
    <w:p>
      <w:pPr>
        <w:pStyle w:val="Heading1"/>
        <w:spacing w:after="120" w:before="360"/>
      </w:pPr>
      <w:r>
        <w:rPr>
          <w:rFonts w:ascii="Arial" w:cs="Arial" w:eastAsia="Arial" w:hAnsi="Arial"/>
          <w:b/>
          <w:bCs/>
          <w:color w:val="2E75B6"/>
          <w:sz w:val="32"/>
          <w:szCs w:val="32"/>
        </w:rPr>
        <w:t xml:space="preserve">4.X  Redes Neuronales Artificiales (MLP)</w:t>
      </w:r>
    </w:p>
    <w:p>
      <w:pPr>
        <w:spacing w:after="80" w:before="80"/>
      </w:pPr>
      <w:r>
        <w:rPr>
          <w:rFonts w:ascii="Arial" w:cs="Arial" w:eastAsia="Arial" w:hAnsi="Arial"/>
          <w:b w:val="false"/>
          <w:bCs w:val="false"/>
          <w:i w:val="false"/>
          <w:iCs w:val="false"/>
          <w:sz w:val="22"/>
          <w:szCs w:val="22"/>
        </w:rPr>
        <w:t xml:space="preserve">En esta sección se presentan los experimentos realizados con Perceptrón Multicapa (MLP), un modelo supervisado basado en capas de neuronas con funciones de activación no lineales. Su capacidad para modelar relaciones complejas entre variables lo convierte en uno de los enfoques más adecuados para este problema, tal como señalan Ferdowsy et al. (2021).</w:t>
      </w:r>
    </w:p>
    <w:p>
      <w:r>
        <w:t xml:space="preserve"/>
      </w:r>
    </w:p>
    <w:p>
      <w:pPr>
        <w:pStyle w:val="Heading2"/>
        <w:spacing w:after="80" w:before="240"/>
      </w:pPr>
      <w:r>
        <w:rPr>
          <w:rFonts w:ascii="Arial" w:cs="Arial" w:eastAsia="Arial" w:hAnsi="Arial"/>
          <w:b/>
          <w:bCs/>
          <w:color w:val="2E75B6"/>
          <w:sz w:val="26"/>
          <w:szCs w:val="26"/>
        </w:rPr>
        <w:t xml:space="preserve">4.X.1  Configuraciones evaluadas</w:t>
      </w:r>
    </w:p>
    <w:p>
      <w:pPr>
        <w:spacing w:after="80" w:before="80"/>
      </w:pPr>
      <w:r>
        <w:rPr>
          <w:rFonts w:ascii="Arial" w:cs="Arial" w:eastAsia="Arial" w:hAnsi="Arial"/>
          <w:b w:val="false"/>
          <w:bCs w:val="false"/>
          <w:i w:val="false"/>
          <w:iCs w:val="false"/>
          <w:sz w:val="22"/>
          <w:szCs w:val="22"/>
        </w:rPr>
        <w:t xml:space="preserve">Se han probado un total de 10 arquitecturas, combinando distinto número de capas ocultas, número de neuronas por capa y función de activación:</w:t>
      </w:r>
    </w:p>
    <w:p>
      <w:r>
        <w:t xml:space="preserve"/>
      </w:r>
    </w:p>
    <w:p>
      <w:pPr>
        <w:pStyle w:val="ListParagraph"/>
        <w:numPr>
          <w:ilvl w:val="0"/>
          <w:numId w:val="2"/>
        </w:numPr>
        <w:spacing w:after="40" w:before="40"/>
      </w:pPr>
      <w:r>
        <w:rPr>
          <w:rFonts w:ascii="Arial" w:cs="Arial" w:eastAsia="Arial" w:hAnsi="Arial"/>
          <w:sz w:val="22"/>
          <w:szCs w:val="22"/>
        </w:rPr>
        <w:t xml:space="preserve">Redes de una capa oculta: [16], [32] y [64] neuronas con activación sigmoide (σ), y [32] y [64] con ReLU.</w:t>
      </w:r>
    </w:p>
    <w:p>
      <w:pPr>
        <w:pStyle w:val="ListParagraph"/>
        <w:numPr>
          <w:ilvl w:val="0"/>
          <w:numId w:val="2"/>
        </w:numPr>
        <w:spacing w:after="40" w:before="40"/>
      </w:pPr>
      <w:r>
        <w:rPr>
          <w:rFonts w:ascii="Arial" w:cs="Arial" w:eastAsia="Arial" w:hAnsi="Arial"/>
          <w:sz w:val="22"/>
          <w:szCs w:val="22"/>
        </w:rPr>
        <w:t xml:space="preserve">Redes de dos capas ocultas: [32,16], [64,32] y [128,64] neuronas con σ; [64,32] con ReLU; y [64,32] con activación mixta σ/tanh.</w:t>
      </w:r>
    </w:p>
    <w:p>
      <w:r>
        <w:t xml:space="preserve"/>
      </w:r>
    </w:p>
    <w:p>
      <w:pPr>
        <w:spacing w:after="80" w:before="80"/>
      </w:pPr>
      <w:r>
        <w:rPr>
          <w:rFonts w:ascii="Arial" w:cs="Arial" w:eastAsia="Arial" w:hAnsi="Arial"/>
          <w:b w:val="false"/>
          <w:bCs w:val="false"/>
          <w:i w:val="false"/>
          <w:iCs w:val="false"/>
          <w:sz w:val="22"/>
          <w:szCs w:val="22"/>
        </w:rPr>
        <w:t xml:space="preserve">En todas las configuraciones, la capa de salida tiene 7 neuronas con activación softmax y el entrenamiento minimiza la entropía cruzada categórica. La normalización Min-Max se ajusta exclusivamente sobre los datos de entrenamiento de cada fold, evitando data leakage.</w:t>
      </w:r>
    </w:p>
    <w:p>
      <w:r>
        <w:t xml:space="preserve"/>
      </w:r>
    </w:p>
    <w:p>
      <w:pPr>
        <w:pStyle w:val="Heading2"/>
        <w:spacing w:after="80" w:before="240"/>
      </w:pPr>
      <w:r>
        <w:rPr>
          <w:rFonts w:ascii="Arial" w:cs="Arial" w:eastAsia="Arial" w:hAnsi="Arial"/>
          <w:b/>
          <w:bCs/>
          <w:color w:val="2E75B6"/>
          <w:sz w:val="26"/>
          <w:szCs w:val="26"/>
        </w:rPr>
        <w:t xml:space="preserve">4.X.2  Resultados</w:t>
      </w:r>
    </w:p>
    <w:p>
      <w:pPr>
        <w:spacing w:after="80" w:before="80"/>
      </w:pPr>
      <w:r>
        <w:rPr>
          <w:rFonts w:ascii="Arial" w:cs="Arial" w:eastAsia="Arial" w:hAnsi="Arial"/>
          <w:b w:val="false"/>
          <w:bCs w:val="false"/>
          <w:i w:val="false"/>
          <w:iCs w:val="false"/>
          <w:sz w:val="22"/>
          <w:szCs w:val="22"/>
        </w:rPr>
        <w:t xml:space="preserve">La Tabla X recoge los resultados de la validación cruzada de 10 folds para todas las configuraciones, ordenadas de mayor a menor F1-score macro.</w:t>
      </w:r>
    </w:p>
    <w:p>
      <w:r>
        <w:t xml:space="preserve"/>
      </w:r>
    </w:p>
    <w:p>
      <w:pPr>
        <w:spacing w:after="40" w:before="80"/>
        <w:jc w:val="center"/>
      </w:pPr>
      <w:r>
        <w:rPr>
          <w:rFonts w:ascii="Arial" w:cs="Arial" w:eastAsia="Arial" w:hAnsi="Arial"/>
          <w:i/>
          <w:iCs/>
          <w:sz w:val="20"/>
          <w:szCs w:val="20"/>
        </w:rPr>
        <w:t xml:space="preserve">Tabla X. Comparativa de configuraciones MLP (validación cruzada de 10 folds, F1-score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600"/>
        <w:gridCol w:w="2000"/>
        <w:gridCol w:w="2000"/>
        <w:gridCol w:w="166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Arquitectura</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Topología</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 ± std (%)</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 ± std (%)</w:t>
            </w:r>
          </w:p>
        </w:tc>
        <w:tc>
          <w:tcPr>
            <w:tcW w:type="dxa" w:w="16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 ± std (%)</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[128,64] σ</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[128, 64]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96,03 ± 0,91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95,92 ± 0,95</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3,97 ± 0,91</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[64,32] σ/tanh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 32]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96,03 ±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95,93 ± 1,05</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3,97 ± 1,00</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[64,32] σ</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 32]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95,69 ± 1,14</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95,58 ± 1,19</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4,31 ± 1,14</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[32,16] σ</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 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94,69 ± 1,37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94,53 ± 1,45</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5,31 ± 1,37</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[64,32] relu</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 32]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92,69 ± 1,66</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92,48 ± 1,73</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7,31 ± 1,66</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 σ</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89,52 ± 2,39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89,25 ± 2,41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10,48 ± 2,39</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 relu</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89,75 ± 1,95</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89,44 ± 1,99</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10,25 ± 1,95</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 relu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89,45 ± 2,36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89,14 ± 2,40</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10,55 ± 2,36</w:t>
            </w:r>
          </w:p>
        </w:tc>
      </w:tr>
      <w:tr>
        <w:tc>
          <w:tcPr>
            <w:tcW w:type="dxa" w:w="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 σ</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86,95 ± 1,99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86,59 ± 2,04</w:t>
            </w:r>
          </w:p>
        </w:tc>
        <w:tc>
          <w:tcPr>
            <w:tcW w:type="dxa" w:w="1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13,05 ± 1,99</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 σ</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83,26 ± 2,73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82,76 ± 2,71</w:t>
            </w:r>
          </w:p>
        </w:tc>
        <w:tc>
          <w:tcPr>
            <w:tcW w:type="dxa" w:w="1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16,74 ± 2,73</w:t>
            </w:r>
          </w:p>
        </w:tc>
      </w:tr>
    </w:tbl>
    <w:p>
      <w:r>
        <w:t xml:space="preserve"/>
      </w:r>
    </w:p>
    <w:p>
      <w:pPr>
        <w:pStyle w:val="Heading2"/>
        <w:spacing w:after="80" w:before="240"/>
      </w:pPr>
      <w:r>
        <w:rPr>
          <w:rFonts w:ascii="Arial" w:cs="Arial" w:eastAsia="Arial" w:hAnsi="Arial"/>
          <w:b/>
          <w:bCs/>
          <w:color w:val="2E75B6"/>
          <w:sz w:val="26"/>
          <w:szCs w:val="26"/>
        </w:rPr>
        <w:t xml:space="preserve">4.X.3  Análisis de resultados</w:t>
      </w:r>
    </w:p>
    <w:p>
      <w:pPr>
        <w:pStyle w:val="ListParagraph"/>
        <w:numPr>
          <w:ilvl w:val="0"/>
          <w:numId w:val="2"/>
        </w:numPr>
        <w:spacing w:after="60" w:before="60"/>
      </w:pPr>
      <w:r>
        <w:rPr>
          <w:rFonts w:ascii="Arial" w:cs="Arial" w:eastAsia="Arial" w:hAnsi="Arial"/>
          <w:sz w:val="22"/>
          <w:szCs w:val="22"/>
        </w:rPr>
        <w:t xml:space="preserve">Ventaja clara de las arquitecturas de dos capas. El salto de rendimiento entre redes de una capa ([64] σ: F1 = 89,25 %) y dos capas ([32,16] σ: F1 = 94,53 %) es de más de 5 puntos porcentuales, lo que evidencia que una segunda capa oculta añade capacidad representacional imprescindible para separar las 7 clases.</w:t>
      </w:r>
    </w:p>
    <w:p>
      <w:pPr>
        <w:pStyle w:val="ListParagraph"/>
        <w:numPr>
          <w:ilvl w:val="0"/>
          <w:numId w:val="2"/>
        </w:numPr>
        <w:spacing w:after="60" w:before="60"/>
      </w:pPr>
      <w:r>
        <w:rPr>
          <w:rFonts w:ascii="Arial" w:cs="Arial" w:eastAsia="Arial" w:hAnsi="Arial"/>
          <w:sz w:val="22"/>
          <w:szCs w:val="22"/>
        </w:rPr>
        <w:t xml:space="preserve">Mejor configuración: [128,64] σ y [64,32] σ/tanh, ambas con Accuracy = 96,03 % y F1 ≈ 95,92 %. La diferencia entre ambas es inferior a la desviación típica, por lo que constituyen un empate estadístico.</w:t>
      </w:r>
    </w:p>
    <w:p>
      <w:pPr>
        <w:pStyle w:val="ListParagraph"/>
        <w:numPr>
          <w:ilvl w:val="0"/>
          <w:numId w:val="2"/>
        </w:numPr>
        <w:spacing w:after="60" w:before="60"/>
      </w:pPr>
      <w:r>
        <w:rPr>
          <w:rFonts w:ascii="Arial" w:cs="Arial" w:eastAsia="Arial" w:hAnsi="Arial"/>
          <w:sz w:val="22"/>
          <w:szCs w:val="22"/>
        </w:rPr>
        <w:t xml:space="preserve">Efecto de la función de activación. Para redes de dos capas, la activación sigmoide supera a ReLU: [64,32] σ (F1 = 95,58 %) frente a [64,32] relu (F1 = 92,48 %). Esto puede deberse a que σ produce gradientes más suaves que facilitan la conversión en este problema de clasificación multiclase.</w:t>
      </w:r>
    </w:p>
    <w:p>
      <w:pPr>
        <w:pStyle w:val="ListParagraph"/>
        <w:numPr>
          <w:ilvl w:val="0"/>
          <w:numId w:val="2"/>
        </w:numPr>
        <w:spacing w:after="60" w:before="60"/>
      </w:pPr>
      <w:r>
        <w:rPr>
          <w:rFonts w:ascii="Arial" w:cs="Arial" w:eastAsia="Arial" w:hAnsi="Arial"/>
          <w:sz w:val="22"/>
          <w:szCs w:val="22"/>
        </w:rPr>
        <w:t xml:space="preserve">Sobreajuste moderado. La diferencia entre TrainAccuracy y Accuracy de test crece con la complejidad: en [128,64] σ, el train accuracy es 99,79 % frente al 96,03 % de test, una brecha de ≈3,8 puntos. Este nivel de sobreajuste es asumible dado el tamaño del dataset.</w:t>
      </w:r>
    </w:p>
    <w:p>
      <w:pPr>
        <w:pStyle w:val="ListParagraph"/>
        <w:numPr>
          <w:ilvl w:val="0"/>
          <w:numId w:val="2"/>
        </w:numPr>
        <w:spacing w:after="60" w:before="60"/>
      </w:pPr>
      <w:r>
        <w:rPr>
          <w:rFonts w:ascii="Arial" w:cs="Arial" w:eastAsia="Arial" w:hAnsi="Arial"/>
          <w:sz w:val="22"/>
          <w:szCs w:val="22"/>
        </w:rPr>
        <w:t xml:space="preserve">Estabilidad. La desviación típica del F1-score en las mejores configuraciones es ≤0,95 %, lo que indica un comportamiento muy robusto y consistente entre folds.</w:t>
      </w:r>
    </w:p>
    <w:p>
      <w:r>
        <w:t xml:space="preserve"/>
      </w:r>
    </w:p>
    <w:p>
      <w:pPr>
        <w:spacing w:after="80" w:before="80"/>
      </w:pPr>
      <w:r>
        <w:rPr>
          <w:rFonts w:ascii="Arial" w:cs="Arial" w:eastAsia="Arial" w:hAnsi="Arial"/>
          <w:b w:val="false"/>
          <w:bCs w:val="false"/>
          <w:i w:val="false"/>
          <w:iCs w:val="false"/>
          <w:sz w:val="22"/>
          <w:szCs w:val="22"/>
        </w:rPr>
        <w:t xml:space="preserve">La matriz de confusión de la mejor configuración ([128,64] σ) muestra que los errores más frecuentes se producen entre las clases adyacentes Normal Weight ↔ Overweight Level I y Overweight Level I ↔ Overweight Level II, coherente con la naturaleza continua del índice de masa corporal subyacente. Las clases extremas (Insufficient Weight y Obesity Type III) son clasificadas prácticamente sin error.</w:t>
      </w:r>
    </w:p>
    <w:p>
      <w:r>
        <w:t xml:space="preserve"/>
      </w:r>
    </w:p>
    <w:p>
      <w:r>
        <w:br w:type="page"/>
      </w:r>
    </w:p>
    <w:p>
      <w:pPr>
        <w:pStyle w:val="Heading1"/>
        <w:spacing w:after="120" w:before="360"/>
      </w:pPr>
      <w:r>
        <w:rPr>
          <w:rFonts w:ascii="Arial" w:cs="Arial" w:eastAsia="Arial" w:hAnsi="Arial"/>
          <w:b/>
          <w:bCs/>
          <w:color w:val="2E75B6"/>
          <w:sz w:val="32"/>
          <w:szCs w:val="32"/>
        </w:rPr>
        <w:t xml:space="preserve">4.Y  Árboles de Decisión (DT)</w:t>
      </w:r>
    </w:p>
    <w:p>
      <w:pPr>
        <w:spacing w:after="80" w:before="80"/>
      </w:pPr>
      <w:r>
        <w:rPr>
          <w:rFonts w:ascii="Arial" w:cs="Arial" w:eastAsia="Arial" w:hAnsi="Arial"/>
          <w:b w:val="false"/>
          <w:bCs w:val="false"/>
          <w:i w:val="false"/>
          <w:iCs w:val="false"/>
          <w:sz w:val="22"/>
          <w:szCs w:val="22"/>
        </w:rPr>
        <w:t xml:space="preserve">En esta sección se presentan los experimentos realizados con clasificadores basados en Árboles de Decisión, evaluando la profundidad máxima del árbol (max_depth) como hiperparámetro principal.</w:t>
      </w:r>
    </w:p>
    <w:p>
      <w:r>
        <w:t xml:space="preserve"/>
      </w:r>
    </w:p>
    <w:p>
      <w:pPr>
        <w:pStyle w:val="Heading2"/>
        <w:spacing w:after="80" w:before="240"/>
      </w:pPr>
      <w:r>
        <w:rPr>
          <w:rFonts w:ascii="Arial" w:cs="Arial" w:eastAsia="Arial" w:hAnsi="Arial"/>
          <w:b/>
          <w:bCs/>
          <w:color w:val="2E75B6"/>
          <w:sz w:val="26"/>
          <w:szCs w:val="26"/>
        </w:rPr>
        <w:t xml:space="preserve">4.Y.1  Configuraciones evaluadas</w:t>
      </w:r>
    </w:p>
    <w:p>
      <w:pPr>
        <w:spacing w:after="80" w:before="80"/>
      </w:pPr>
      <w:r>
        <w:rPr>
          <w:rFonts w:ascii="Arial" w:cs="Arial" w:eastAsia="Arial" w:hAnsi="Arial"/>
          <w:b w:val="false"/>
          <w:bCs w:val="false"/>
          <w:i w:val="false"/>
          <w:iCs w:val="false"/>
          <w:sz w:val="22"/>
          <w:szCs w:val="22"/>
        </w:rPr>
        <w:t xml:space="preserve">Se han probado 7 valores de max_depth: {1, 2, 4, 6, 8, 12, 16}, cubriendo desde árboles muy simples hasta relativamente complejos. En todos los experimentos la normalización Min-Max se ajusta exclusivamente sobre los datos de entrenamiento de cada fold.</w:t>
      </w:r>
    </w:p>
    <w:p>
      <w:r>
        <w:t xml:space="preserve"/>
      </w:r>
    </w:p>
    <w:p>
      <w:pPr>
        <w:pStyle w:val="Heading2"/>
        <w:spacing w:after="80" w:before="240"/>
      </w:pPr>
      <w:r>
        <w:rPr>
          <w:rFonts w:ascii="Arial" w:cs="Arial" w:eastAsia="Arial" w:hAnsi="Arial"/>
          <w:b/>
          <w:bCs/>
          <w:color w:val="2E75B6"/>
          <w:sz w:val="26"/>
          <w:szCs w:val="26"/>
        </w:rPr>
        <w:t xml:space="preserve">4.Y.2  Resultados e incidencia detectada</w:t>
      </w:r>
    </w:p>
    <w:p>
      <w:r>
        <w:t xml:space="preserve"/>
      </w:r>
    </w:p>
    <w:p>
      <w:pPr>
        <w:pBdr>
          <w:top w:val="single" w:color="FF8C00" w:sz="4" w:space="4"/>
          <w:bottom w:val="single" w:color="FF8C00" w:sz="4" w:space="4"/>
          <w:left w:val="single" w:color="FF8C00" w:sz="4" w:space="4"/>
          <w:right w:val="single" w:color="FF8C00" w:sz="4" w:space="4"/>
        </w:pBdr>
        <w:spacing w:after="120" w:before="120"/>
      </w:pPr>
      <w:r>
        <w:rPr>
          <w:rFonts w:ascii="Arial" w:cs="Arial" w:eastAsia="Arial" w:hAnsi="Arial"/>
          <w:i/>
          <w:iCs/>
          <w:sz w:val="20"/>
          <w:szCs w:val="20"/>
        </w:rPr>
        <w:t xml:space="preserve">⚠️  Incidencia en los resultados: Todas las configuraciones de max_depth producen exactamente el mismo resultado (Accuracy ≈ 12,88 %, F1 ≈ 3,26 %), lo cual es indicativo de un fallo en el experimento. Un accuracy de 12,88 % es prácticamente equivalente al azar para un problema de 7 clases (baseline ≈ 14,3 %). La causa más probable es que el clasificador Decision Tree no se está ajustando correctamente en cada fold — posiblemente por un error en el preprocesado o en la interfaz del wrapper MLJ/DecisionTree. Se recomienda revisar el script experimentos_arboles.jl y re-ejecutar los experimentos.</w:t>
      </w:r>
    </w:p>
    <w:p>
      <w:r>
        <w:t xml:space="preserve"/>
      </w:r>
    </w:p>
    <w:p>
      <w:pPr>
        <w:spacing w:after="80" w:before="80"/>
      </w:pPr>
      <w:r>
        <w:rPr>
          <w:rFonts w:ascii="Arial" w:cs="Arial" w:eastAsia="Arial" w:hAnsi="Arial"/>
          <w:b w:val="false"/>
          <w:bCs w:val="false"/>
          <w:i w:val="false"/>
          <w:iCs w:val="false"/>
          <w:sz w:val="22"/>
          <w:szCs w:val="22"/>
        </w:rPr>
        <w:t xml:space="preserve">Los resultados obtenidos son los siguientes: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800"/>
        <w:gridCol w:w="1800"/>
        <w:gridCol w:w="22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Configuración</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max_depth</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 ± std (%)</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 ± std (%)</w:t>
            </w:r>
          </w:p>
        </w:tc>
        <w:tc>
          <w:tcPr>
            <w:tcW w:type="dxa" w:w="22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 ± std (%)</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DT max_depth=1</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12,88 ± 0,14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3,26 ± 0,03</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87,12 ± 0,14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DT max_depth=2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12,88 ± 0,14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3,26 ± 0,03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87,12 ± 0,14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DT max_depth=4</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12,88 ± 0,14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3,26 ± 0,03</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87,12 ± 0,14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DT max_depth=6</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12,88 ± 0,14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3,26 ± 0,03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87,12 ± 0,14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DT max_depth=8</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12,88 ± 0,14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3,26 ± 0,03</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87,12 ± 0,14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DT max_depth=12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12,88 ± 0,14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3,26 ± 0,03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87,12 ± 0,14</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DT max_depth=16</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16</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12,88 ± 0,14</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3,26 ± 0,03</w:t>
            </w:r>
          </w:p>
        </w:tc>
        <w:tc>
          <w:tcPr>
            <w:tcW w:type="dxa" w:w="22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87,12 ± 0,14</w:t>
            </w:r>
          </w:p>
        </w:tc>
      </w:tr>
    </w:tbl>
    <w:p>
      <w:r>
        <w:t xml:space="preserve"/>
      </w:r>
    </w:p>
    <w:p>
      <w:pPr>
        <w:spacing w:after="80" w:before="80"/>
      </w:pPr>
      <w:r>
        <w:rPr>
          <w:rFonts w:ascii="Arial" w:cs="Arial" w:eastAsia="Arial" w:hAnsi="Arial"/>
          <w:b w:val="false"/>
          <w:bCs w:val="false"/>
          <w:i w:val="false"/>
          <w:iCs w:val="false"/>
          <w:sz w:val="22"/>
          <w:szCs w:val="22"/>
        </w:rPr>
        <w:t xml:space="preserve">Una vez corregido el experimento, se espera que los árboles de decisión alcancen resultados competitivos. Según Jindal et al. (2024), modelos basados en árboles alcanzan precisiones superiores al 98 % sobre este mismo dataset. La interpretación esperada es: profundidades bajas tienden a infraajustar, mientras que profundidades intermedias-altas ofrecen un buen balance entre sesgo y varianza.</w:t>
      </w:r>
    </w:p>
    <w:p>
      <w:r>
        <w:t xml:space="preserve"/>
      </w:r>
    </w:p>
    <w:p>
      <w:r>
        <w:br w:type="page"/>
      </w:r>
    </w:p>
    <w:p>
      <w:pPr>
        <w:pStyle w:val="Heading1"/>
        <w:spacing w:after="120" w:before="360"/>
      </w:pPr>
      <w:r>
        <w:rPr>
          <w:rFonts w:ascii="Arial" w:cs="Arial" w:eastAsia="Arial" w:hAnsi="Arial"/>
          <w:b/>
          <w:bCs/>
          <w:color w:val="2E75B6"/>
          <w:sz w:val="32"/>
          <w:szCs w:val="32"/>
        </w:rPr>
        <w:t xml:space="preserve">5.  Comparativa general de modelos</w:t>
      </w:r>
    </w:p>
    <w:p>
      <w:pPr>
        <w:spacing w:after="80" w:before="80"/>
      </w:pPr>
      <w:r>
        <w:rPr>
          <w:rFonts w:ascii="Arial" w:cs="Arial" w:eastAsia="Arial" w:hAnsi="Arial"/>
          <w:b w:val="false"/>
          <w:bCs w:val="false"/>
          <w:i w:val="false"/>
          <w:iCs w:val="false"/>
          <w:sz w:val="22"/>
          <w:szCs w:val="22"/>
        </w:rPr>
        <w:t xml:space="preserve">La Tabla Z resume el rendimiento de la mejor configuración de cada modelo evaluado, ordenada de mayor a menor F1-score macro.</w:t>
      </w:r>
    </w:p>
    <w:p>
      <w:r>
        <w:t xml:space="preserve"/>
      </w:r>
    </w:p>
    <w:p>
      <w:pPr>
        <w:spacing w:after="40" w:before="80"/>
        <w:jc w:val="center"/>
      </w:pPr>
      <w:r>
        <w:rPr>
          <w:rFonts w:ascii="Arial" w:cs="Arial" w:eastAsia="Arial" w:hAnsi="Arial"/>
          <w:i/>
          <w:iCs/>
          <w:sz w:val="20"/>
          <w:szCs w:val="20"/>
        </w:rPr>
        <w:t xml:space="preserve">Tabla Z. Comparativa de la mejor configuración de cada modelo (validación cruzada de 10 folds).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1860"/>
      </w:tblGrid>
      <w:tr>
        <w:trPr>
          <w:tblHeader/>
        </w:trPr>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Modelo</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Mejor config.</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Accuracy ± std (%)</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F1-score ± std (%)</w:t>
            </w:r>
          </w:p>
        </w:tc>
        <w:tc>
          <w:tcPr>
            <w:tcW w:type="dxa" w:w="18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Error ± std (%)</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RRNN (MLP)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[128,64] σ</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96,03 ± 0,91</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95,92 ± 0,95</w:t>
            </w:r>
          </w:p>
        </w:tc>
        <w:tc>
          <w:tcPr>
            <w:tcW w:type="dxa" w:w="1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jc w:val="center"/>
            </w:pPr>
            <w:r>
              <w:rPr>
                <w:rFonts w:ascii="Arial" w:cs="Arial" w:eastAsia="Arial" w:hAnsi="Arial"/>
                <w:b/>
                <w:bCs/>
                <w:sz w:val="20"/>
                <w:szCs w:val="20"/>
              </w:rPr>
              <w:t xml:space="preserve">3,97 ± 0,91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SVM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Linear C=10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93,84 ± 1,70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93,65 ± 1,76</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6,16 ± 1,70</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DoME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n=100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80,95 ± 3,38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80,52 ± 3,55</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19,05 ± 3,38</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Árbol de Decisión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max_depth=cualquiera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∼12,88 *</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∼3,26 *</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20"/>
                <w:szCs w:val="20"/>
              </w:rPr>
              <w:t xml:space="preserve">∼87,12 *</w:t>
            </w:r>
          </w:p>
        </w:tc>
      </w:tr>
    </w:tbl>
    <w:p>
      <w:pPr>
        <w:spacing w:after="120" w:before="80"/>
        <w:jc w:val="left"/>
      </w:pPr>
      <w:r>
        <w:rPr>
          <w:rFonts w:ascii="Arial" w:cs="Arial" w:eastAsia="Arial" w:hAnsi="Arial"/>
          <w:i/>
          <w:iCs/>
          <w:color w:val="888888"/>
          <w:sz w:val="18"/>
          <w:szCs w:val="18"/>
        </w:rPr>
        <w:t xml:space="preserve">* Resultados anómalos: posible error en la implementación del experimento. Valor esperado tras corrección: Accuracy ≥ 95 %.</w:t>
      </w:r>
    </w:p>
    <w:p>
      <w:r>
        <w:t xml:space="preserve"/>
      </w:r>
    </w:p>
    <w:p>
      <w:pPr>
        <w:pStyle w:val="Heading2"/>
        <w:spacing w:after="80" w:before="240"/>
      </w:pPr>
      <w:r>
        <w:rPr>
          <w:rFonts w:ascii="Arial" w:cs="Arial" w:eastAsia="Arial" w:hAnsi="Arial"/>
          <w:b/>
          <w:bCs/>
          <w:color w:val="2E75B6"/>
          <w:sz w:val="26"/>
          <w:szCs w:val="26"/>
        </w:rPr>
        <w:t xml:space="preserve">Análisis comparativo</w:t>
      </w:r>
    </w:p>
    <w:p>
      <w:pPr>
        <w:pStyle w:val="ListParagraph"/>
        <w:numPr>
          <w:ilvl w:val="0"/>
          <w:numId w:val="2"/>
        </w:numPr>
        <w:spacing w:after="60" w:before="60"/>
      </w:pPr>
      <w:r>
        <w:rPr>
          <w:rFonts w:ascii="Arial" w:cs="Arial" w:eastAsia="Arial" w:hAnsi="Arial"/>
          <w:sz w:val="22"/>
          <w:szCs w:val="22"/>
        </w:rPr>
        <w:t xml:space="preserve">Las Redes Neuronales MLP obtienen el mejor rendimiento global (F1 = 95,92 %), confirmando la capacidad de los modelos de aprendizaje profundo para capturar las relaciones no lineales entre los hábitos de vida y el nivel de obesidad.</w:t>
      </w:r>
    </w:p>
    <w:p>
      <w:pPr>
        <w:pStyle w:val="ListParagraph"/>
        <w:numPr>
          <w:ilvl w:val="0"/>
          <w:numId w:val="2"/>
        </w:numPr>
        <w:spacing w:after="60" w:before="60"/>
      </w:pPr>
      <w:r>
        <w:rPr>
          <w:rFonts w:ascii="Arial" w:cs="Arial" w:eastAsia="Arial" w:hAnsi="Arial"/>
          <w:sz w:val="22"/>
          <w:szCs w:val="22"/>
        </w:rPr>
        <w:t xml:space="preserve">SVM con kernel lineal (F1 = 93,65 %) ofrece un rendimiento muy cercano al de las redes neuronales con una complejidad computacional significativamente menor, lo que la convierte en una alternativa de alto interés práctico. El hecho de que el kernel lineal supere a los kernels no lineales sugiere que, tras el preprocesado aplicado, las clases son mayoritariamente separables de forma lineal.</w:t>
      </w:r>
    </w:p>
    <w:p>
      <w:pPr>
        <w:pStyle w:val="ListParagraph"/>
        <w:numPr>
          <w:ilvl w:val="0"/>
          <w:numId w:val="2"/>
        </w:numPr>
        <w:spacing w:after="60" w:before="60"/>
      </w:pPr>
      <w:r>
        <w:rPr>
          <w:rFonts w:ascii="Arial" w:cs="Arial" w:eastAsia="Arial" w:hAnsi="Arial"/>
          <w:sz w:val="22"/>
          <w:szCs w:val="22"/>
        </w:rPr>
        <w:t xml:space="preserve">DoME (F1 = 80,52 %) queda notablemente por debajo de MLP y SVM, pero ofrece una ventaja diferencial clave: genera modelos interpretables en forma de reglas explícitas comprensibles por clínicos. En entornos sanitarios donde la transparencia de las decisiones es un requisito legal o ético, DoME puede ser la opción preferible pese a su menor precisión.</w:t>
      </w:r>
    </w:p>
    <w:p>
      <w:pPr>
        <w:pStyle w:val="ListParagraph"/>
        <w:numPr>
          <w:ilvl w:val="0"/>
          <w:numId w:val="2"/>
        </w:numPr>
        <w:spacing w:after="60" w:before="60"/>
      </w:pPr>
      <w:r>
        <w:rPr>
          <w:rFonts w:ascii="Arial" w:cs="Arial" w:eastAsia="Arial" w:hAnsi="Arial"/>
          <w:sz w:val="22"/>
          <w:szCs w:val="22"/>
        </w:rPr>
        <w:t xml:space="preserve">Árboles de Decisión: los resultados actuales no son válidos por la incidencia detectada. Una vez corregida la implementación, se espera que este modelo alcance un rendimiento comparable o superior al de SVM, dado que la literatura reporta precisiones &gt;98 % con este dataset.</w:t>
      </w:r>
    </w:p>
    <w:p>
      <w:r>
        <w:t xml:space="preserve"/>
      </w:r>
    </w:p>
    <w:p>
      <w:pPr>
        <w:pStyle w:val="Heading1"/>
        <w:spacing w:after="120" w:before="360"/>
      </w:pPr>
      <w:r>
        <w:rPr>
          <w:rFonts w:ascii="Arial" w:cs="Arial" w:eastAsia="Arial" w:hAnsi="Arial"/>
          <w:b/>
          <w:bCs/>
          <w:color w:val="2E75B6"/>
          <w:sz w:val="32"/>
          <w:szCs w:val="32"/>
        </w:rPr>
        <w:t xml:space="preserve">6.  Conclusiones</w:t>
      </w:r>
    </w:p>
    <w:p>
      <w:pPr>
        <w:spacing w:after="80" w:before="80"/>
      </w:pPr>
      <w:r>
        <w:rPr>
          <w:rFonts w:ascii="Arial" w:cs="Arial" w:eastAsia="Arial" w:hAnsi="Arial"/>
          <w:b w:val="false"/>
          <w:bCs w:val="false"/>
          <w:i w:val="false"/>
          <w:iCs w:val="false"/>
          <w:sz w:val="22"/>
          <w:szCs w:val="22"/>
        </w:rPr>
        <w:t xml:space="preserve">Este trabajo ha abordado el problema de clasificación multiclase de niveles de obesidad empleando el dataset Estimation of Obesity Levels Based on Eating Habits and Physical Condition (UCI, 2019) y aplicando cuatro modelos de Aprendizaje Automático supervisado: Redes Neuronales Artificiales (MLP), Máquinas de Vectores Soporte (SVM), Árboles de Decisión y DoME.</w:t>
      </w:r>
    </w:p>
    <w:p>
      <w:r>
        <w:t xml:space="preserve"/>
      </w:r>
    </w:p>
    <w:p>
      <w:pPr>
        <w:spacing w:after="80" w:before="80"/>
      </w:pPr>
      <w:r>
        <w:rPr>
          <w:rFonts w:ascii="Arial" w:cs="Arial" w:eastAsia="Arial" w:hAnsi="Arial"/>
          <w:b w:val="false"/>
          <w:bCs w:val="false"/>
          <w:i w:val="false"/>
          <w:iCs w:val="false"/>
          <w:sz w:val="22"/>
          <w:szCs w:val="22"/>
        </w:rPr>
        <w:t xml:space="preserve">Los principales hallazgos son los siguientes:</w:t>
      </w:r>
    </w:p>
    <w:p>
      <w:r>
        <w:t xml:space="preserve"/>
      </w:r>
    </w:p>
    <w:p>
      <w:pPr>
        <w:pStyle w:val="ListParagraph"/>
        <w:numPr>
          <w:ilvl w:val="0"/>
          <w:numId w:val="2"/>
        </w:numPr>
        <w:spacing w:after="60" w:before="60"/>
      </w:pPr>
      <w:r>
        <w:rPr>
          <w:rFonts w:ascii="Arial" w:cs="Arial" w:eastAsia="Arial" w:hAnsi="Arial"/>
          <w:sz w:val="22"/>
          <w:szCs w:val="22"/>
        </w:rPr>
        <w:t xml:space="preserve">El modelo MLP con arquitectura [128,64] σ alcanza el mejor rendimiento, con un F1-score macro del 95,92 % y una accuracy del 96,03 % en validación cruzada de 10 folds. Este resultado confirma la adecuación de las redes neuronales profundas para este tipo de problemas multiclase con variables heterogéneas.</w:t>
      </w:r>
    </w:p>
    <w:p>
      <w:pPr>
        <w:pStyle w:val="ListParagraph"/>
        <w:numPr>
          <w:ilvl w:val="0"/>
          <w:numId w:val="2"/>
        </w:numPr>
        <w:spacing w:after="60" w:before="60"/>
      </w:pPr>
      <w:r>
        <w:rPr>
          <w:rFonts w:ascii="Arial" w:cs="Arial" w:eastAsia="Arial" w:hAnsi="Arial"/>
          <w:sz w:val="22"/>
          <w:szCs w:val="22"/>
        </w:rPr>
        <w:t xml:space="preserve">La SVM con kernel lineal y C = 10 obtiene un F1 del 93,65 %, solo 2,27 puntos por debajo del mejor MLP, con una complejidad computacional muy inferior. Ello sugiere que el preprocesado aplicado —codificación one-hot y normalización Min-Max— es especialmente favorable para la separación lineal de las clases.</w:t>
      </w:r>
    </w:p>
    <w:p>
      <w:pPr>
        <w:pStyle w:val="ListParagraph"/>
        <w:numPr>
          <w:ilvl w:val="0"/>
          <w:numId w:val="2"/>
        </w:numPr>
        <w:spacing w:after="60" w:before="60"/>
      </w:pPr>
      <w:r>
        <w:rPr>
          <w:rFonts w:ascii="Arial" w:cs="Arial" w:eastAsia="Arial" w:hAnsi="Arial"/>
          <w:sz w:val="22"/>
          <w:szCs w:val="22"/>
        </w:rPr>
        <w:t xml:space="preserve">DoME alcanza un F1 del 80,52 % con su mejor configuración (n° nodos = 100), quedando por debajo de MLP y SVM pero aportando interpretabilidad: sus modelos en forma de reglas pueden ser comprendidos y validados por expertos clínicos, lo que le confíere valor diferencial en aplicaciones sanitarias.</w:t>
      </w:r>
    </w:p>
    <w:p>
      <w:pPr>
        <w:pStyle w:val="ListParagraph"/>
        <w:numPr>
          <w:ilvl w:val="0"/>
          <w:numId w:val="2"/>
        </w:numPr>
        <w:spacing w:after="60" w:before="60"/>
      </w:pPr>
      <w:r>
        <w:rPr>
          <w:rFonts w:ascii="Arial" w:cs="Arial" w:eastAsia="Arial" w:hAnsi="Arial"/>
          <w:sz w:val="22"/>
          <w:szCs w:val="22"/>
        </w:rPr>
        <w:t xml:space="preserve">Los experimentos con Árboles de Decisión presentaron una incidencia técnica que invalida los resultados obtenidos. La re-ejecución del experimento tras corregir el script es necesaria para obtener resultados válidos.</w:t>
      </w:r>
    </w:p>
    <w:p>
      <w:pPr>
        <w:pStyle w:val="ListParagraph"/>
        <w:numPr>
          <w:ilvl w:val="0"/>
          <w:numId w:val="2"/>
        </w:numPr>
        <w:spacing w:after="60" w:before="60"/>
      </w:pPr>
      <w:r>
        <w:rPr>
          <w:rFonts w:ascii="Arial" w:cs="Arial" w:eastAsia="Arial" w:hAnsi="Arial"/>
          <w:sz w:val="22"/>
          <w:szCs w:val="22"/>
        </w:rPr>
        <w:t xml:space="preserve">En todos los modelos, los errores de clasificación se concentran en clases adyacentes (Normal Weight ↔ Overweight Level I, Overweight Level I ↔ Overweight Level II), lo que es coherente con la naturaleza continua del índice de masa corporal subyacente. Las clases extremas (Insufficient Weight y Obesity Type III) se clasifican con alta precisión en todos los modelos.</w:t>
      </w:r>
    </w:p>
    <w:p>
      <w:r>
        <w:t xml:space="preserve"/>
      </w:r>
    </w:p>
    <w:p>
      <w:pPr>
        <w:spacing w:after="80" w:before="80"/>
      </w:pPr>
      <w:r>
        <w:rPr>
          <w:rFonts w:ascii="Arial" w:cs="Arial" w:eastAsia="Arial" w:hAnsi="Arial"/>
          <w:b w:val="false"/>
          <w:bCs w:val="false"/>
          <w:i w:val="false"/>
          <w:iCs w:val="false"/>
          <w:sz w:val="22"/>
          <w:szCs w:val="22"/>
        </w:rPr>
        <w:t xml:space="preserve">En conclusión, las técnicas de Aprendizaje Automático demuestran una alta eficacia para la clasificación automática del nivel de obesidad a partir de variables conductuales y físicas, superando ampliamente el enfoque clínico tradicional basado única­mente en el Índice de Masa Corporal. La elección del modelo más adecuado depende del contexto de aplicación: si se prioriza el rendimiento predictivo, el MLP es la mejor opción; si se requiere interpretabilidad clínica, DoME ofrece el mejor equilibrio entre precisión y transparencia.</w:t>
      </w:r>
    </w:p>
    <w:p>
      <w:r>
        <w:t xml:space="preserve"/>
      </w:r>
    </w:p>
    <w:p>
      <w:pPr>
        <w:pBdr>
          <w:top w:val="single" w:color="2E75B6" w:sz="4" w:space="4"/>
        </w:pBdr>
        <w:spacing w:after="0" w:before="200"/>
      </w:pPr>
      <w:r>
        <w:rPr>
          <w:rFonts w:ascii="Arial" w:cs="Arial" w:eastAsia="Arial" w:hAnsi="Arial"/>
          <w:i/>
          <w:iCs/>
          <w:color w:val="888888"/>
          <w:sz w:val="18"/>
          <w:szCs w:val="18"/>
        </w:rPr>
        <w:t xml:space="preserve">Fin del documento complementario.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65F9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2026-04-29T00:02:52.621Z</dcterms:created>
  <dcterms:modified xsi:type="dcterms:W3CDTF">2026-04-29T00:02:52.622Z</dcterms:modified>
</cp:coreProperties>
</file>

<file path=docProps/custom.xml><?xml version="1.0" encoding="utf-8"?>
<Properties xmlns="http://schemas.openxmlformats.org/officeDocument/2006/custom-properties" xmlns:vt="http://schemas.openxmlformats.org/officeDocument/2006/docPropsVTypes"/>
</file>