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Milestone 2: DevOps &amp; Terraform – Resilience Solution Identification &amp; Feasibility</w:t>
      </w:r>
    </w:p>
    <w:p>
      <w:pPr>
        <w:pStyle w:val="Heading2"/>
      </w:pPr>
      <w:r>
        <w:t xml:space="preserve">1. Identified GCP Resilient Capabilities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GCP DevOps and infrastructure‑as‑code capabilities have been identified to address the resilience and operational gaps from the Milestone‑1 assessment for Star UM: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 Actions CI/CD with OIDC Authentication (infrastructure.yaml): </w:t>
      </w:r>
      <w:r>
        <w:rPr>
          <w:rFonts w:ascii="Arial" w:cs="Arial" w:eastAsia="Arial" w:hAnsi="Arial"/>
          <w:sz w:val="20"/>
          <w:szCs w:val="20"/>
        </w:rPr>
        <w:t xml:space="preserve">Keyless authentication to GCP via Workload Identity Federation, eliminating long‑lived service account JSON keys. The workflow supports environment‑based project selection with Terraform plan and apply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Terraform Remote State with GCS Backend: </w:t>
      </w:r>
      <w:r>
        <w:rPr>
          <w:rFonts w:ascii="Arial" w:cs="Arial" w:eastAsia="Arial" w:hAnsi="Arial"/>
          <w:sz w:val="20"/>
          <w:szCs w:val="20"/>
        </w:rPr>
        <w:t xml:space="preserve">Centralized state storage in Google Cloud Storage with backend‑config for bucket and prefix, plus state locking to prevent concurrent modifications across environments (sandbox, non‑prod, prod).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Multi‑Environment Terraform Structure: </w:t>
      </w:r>
      <w:r>
        <w:rPr>
          <w:rFonts w:ascii="Arial" w:cs="Arial" w:eastAsia="Arial" w:hAnsi="Arial"/>
          <w:sz w:val="20"/>
          <w:szCs w:val="20"/>
        </w:rPr>
        <w:t xml:space="preserve">Isolated Terraform configurations per GCP project (gcp‑bh‑sandbox, gcp‑bh‑pe, gcp‑bh‑laww, gcp‑bh‑sc‑nonprod, gcp‑bh‑sc‑prod) with shared reusable modules for network, GKE, Cloud SQL, IAM, GAR, DNS, Cloud Armor, GCS, and Redis.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GKE Autopilot with Private Cluster Configuration: </w:t>
      </w:r>
      <w:r>
        <w:rPr>
          <w:rFonts w:ascii="Arial" w:cs="Arial" w:eastAsia="Arial" w:hAnsi="Arial"/>
          <w:sz w:val="20"/>
          <w:szCs w:val="20"/>
        </w:rPr>
        <w:t xml:space="preserve">Managed Kubernetes with enable_autopilot, private nodes, master global access, authorized network CIDRs for Optum IPs, and weekend maintenance windows. Reduces operational overhead for node management and patching.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Reusable Terraform Modules: </w:t>
      </w:r>
      <w:r>
        <w:rPr>
          <w:rFonts w:ascii="Arial" w:cs="Arial" w:eastAsia="Arial" w:hAnsi="Arial"/>
          <w:sz w:val="20"/>
          <w:szCs w:val="20"/>
        </w:rPr>
        <w:t xml:space="preserve">Centralized modules directory covering network (VPC, subnets, Cloud Router, NAT Gateway), gke, ic‑gke (interconnect GKE), iam, cloud‑sql, cloud‑armor, gar, dns, external‑dns, gcs, redis‑memorystore, and valkey.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Infrastructure Drift Detection (gcp‑tf‑drift‑scan.yaml): </w:t>
      </w:r>
      <w:r>
        <w:rPr>
          <w:rFonts w:ascii="Arial" w:cs="Arial" w:eastAsia="Arial" w:hAnsi="Arial"/>
          <w:sz w:val="20"/>
          <w:szCs w:val="20"/>
        </w:rPr>
        <w:t xml:space="preserve">Scheduled Terraform plan‑based drift scanning via GitHub Actions to detect configuration deviations between declared state and actual GCP resources.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Blue‑Green Deployment Strategy: </w:t>
      </w:r>
      <w:r>
        <w:rPr>
          <w:rFonts w:ascii="Arial" w:cs="Arial" w:eastAsia="Arial" w:hAnsi="Arial"/>
          <w:sz w:val="20"/>
          <w:szCs w:val="20"/>
        </w:rPr>
        <w:t xml:space="preserve">Zero‑downtime deployment approach using GKE namespaces and traffic switching, suitable for Star UM application given its existing deployment requirements discussed since project inception.</w:t>
      </w:r>
    </w:p>
    <w:p>
      <w:pPr>
        <w:pStyle w:val="Heading2"/>
      </w:pPr>
      <w:r>
        <w:t xml:space="preserve">2. Resilience Gap Mapping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Identified Gap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Resilient Capability (Proposed Solution)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Mixed Authentication Methods: infrastructure.yaml uses OIDC via Workload Identity, while terraform.yaml still uses credentials_json with static service account keys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Workload Identity Federation (OIDC): Standardize all workflows to use OIDC‑based keyless authentication, removing static JSON key dependencies across all environments.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Automated Drift Detection: No mechanism to identify deviations between Terraform state and live GCP resources across projects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Terraform Drift Scanning Workflow: Scheduled GitHub Actions workflow (gcp‑tf‑drift‑scan.yaml) running terraform plan to detect and alert on infrastructure drift.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Workflow Maturity: terraforminfra.yaml hardcodes Workload Identity provider values and runs all commands sequentially without conditional logic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Standardized CI/CD Pipelines: Consolidate to a single workflow pattern using environment‑based variables, conditional steps, and proper init/validate/plan/apply sequencing.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Policy or Compliance Scanning: Infrastructure deployed without security or compliance validation pre‑deployment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Guru Integration: Pre‑deployment compliance and security scans integrated into CI/CD pipelines to catch misconfigurations before apply.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Terraform Code: Separate project directories contain duplicated resource definitions instead of referencing shared modules consistently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Shared Terraform Modules: Centralized modules (network, gke, iam, cloud‑sql, gar, dns, cloud‑armor, gcs, redis) consumed by all environment configurations.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 and Tagging Gaps: GCP resources lack consistent labeling for cost tracking and operational visibility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Label Enforcement: Terraform‑managed resource_labels (already partially implemented in GKE module) extended across all resources with gcp‑tf‑add‑labels workflow.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Standardized Deployment Strategy: Application deployments lack a defined zero‑downtime approach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Blue‑Green Deployment on GKE Autopilot: Standardized blue‑green strategy with traffic switching and rollback capability, preferred over canary for Star UM’s requirements.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Runbooks Absent: No documented procedures for Terraform operations, GKE management, or incident response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Runbook Development: Operational runbooks covering Terraform plan/apply workflows, drift remediation, GKE cluster operations, and failover procedures.</w:t>
            </w:r>
          </w:p>
        </w:tc>
      </w:tr>
    </w:tbl>
    <w:p>
      <w:pPr>
        <w:pStyle w:val="Heading2"/>
      </w:pPr>
      <w:r>
        <w:t xml:space="preserve">3. Operational Feasibility Assessment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proposed DevOps and Terraform resilience enhancements are operationally feasible, subject to the following considerations: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Readiness: </w:t>
      </w:r>
      <w:r>
        <w:rPr>
          <w:rFonts w:ascii="Arial" w:cs="Arial" w:eastAsia="Arial" w:hAnsi="Arial"/>
          <w:sz w:val="20"/>
          <w:szCs w:val="20"/>
        </w:rPr>
        <w:t xml:space="preserve">The repository already contains functional GitHub Actions workflows (infrastructure.yaml, terraform.yaml, terraforminfra.yaml) and a shared modules directory with 15+ Terraform modules. The foundation exists to standardize and extend.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Implementation Risk: </w:t>
      </w:r>
      <w:r>
        <w:rPr>
          <w:rFonts w:ascii="Arial" w:cs="Arial" w:eastAsia="Arial" w:hAnsi="Arial"/>
          <w:sz w:val="20"/>
          <w:szCs w:val="20"/>
        </w:rPr>
        <w:t xml:space="preserve">Migrating terraform.yaml from credentials_json to OIDC requires Workload Identity Pool configuration per project. Terraform state imports for any manually created resources need careful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Operational Processes: </w:t>
      </w:r>
      <w:r>
        <w:rPr>
          <w:rFonts w:ascii="Arial" w:cs="Arial" w:eastAsia="Arial" w:hAnsi="Arial"/>
          <w:sz w:val="20"/>
          <w:szCs w:val="20"/>
        </w:rPr>
        <w:t xml:space="preserve">Runbooks must be developed for Terraform plan/apply workflows, drift remediation, GKE Autopilot maintenance window management, and namespace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 and Tool Requirement: </w:t>
      </w:r>
      <w:r>
        <w:rPr>
          <w:rFonts w:ascii="Arial" w:cs="Arial" w:eastAsia="Arial" w:hAnsi="Arial"/>
          <w:sz w:val="20"/>
          <w:szCs w:val="20"/>
        </w:rPr>
        <w:t xml:space="preserve">Team proficiency with Terraform, GitHub Actions, GKE Autopilot, and Workload Identity Federation is required. Knowledge transfer sessions recommended for consistent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Testing Requirements: </w:t>
      </w:r>
      <w:r>
        <w:rPr>
          <w:rFonts w:ascii="Arial" w:cs="Arial" w:eastAsia="Arial" w:hAnsi="Arial"/>
          <w:sz w:val="20"/>
          <w:szCs w:val="20"/>
        </w:rPr>
        <w:t xml:space="preserve">All infrastructure changes must be validated in sandbox (gcp‑bh‑sandbox) before promotion. Drift detection and compliance scans should be verified end‑to‑end in non‑prod.</w:t>
      </w:r>
    </w:p>
    <w:p>
      <w:pPr>
        <w:pStyle w:val="Heading2"/>
      </w:pPr>
      <w:r>
        <w:t xml:space="preserve">4. Resilience Cost Estimation Data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following cost drivers should be considered for DevOps and Terraform resilience implementation: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GitHub Actions Compute Costs: </w:t>
      </w:r>
      <w:r>
        <w:rPr>
          <w:rFonts w:ascii="Arial" w:cs="Arial" w:eastAsia="Arial" w:hAnsi="Arial"/>
          <w:sz w:val="20"/>
          <w:szCs w:val="20"/>
        </w:rPr>
        <w:t xml:space="preserve">CI/CD runner minutes (uhg‑runner) for Terraform plan, apply, drift scanning, and compliance scanning workflows across all environments.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GCS State Backend Costs: </w:t>
      </w:r>
      <w:r>
        <w:rPr>
          <w:rFonts w:ascii="Arial" w:cs="Arial" w:eastAsia="Arial" w:hAnsi="Arial"/>
          <w:sz w:val="20"/>
          <w:szCs w:val="20"/>
        </w:rPr>
        <w:t xml:space="preserve">Storage and operations costs for remote state files and lock management across multiple project backends.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GKE Autopilot Costs: </w:t>
      </w:r>
      <w:r>
        <w:rPr>
          <w:rFonts w:ascii="Arial" w:cs="Arial" w:eastAsia="Arial" w:hAnsi="Arial"/>
          <w:sz w:val="20"/>
          <w:szCs w:val="20"/>
        </w:rPr>
        <w:t xml:space="preserve">Compute costs based on pod resource requests; Autopilot eliminates idle node costs but requires accurate resource sizing per cluster.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 Guru Licensing: </w:t>
      </w:r>
      <w:r>
        <w:rPr>
          <w:rFonts w:ascii="Arial" w:cs="Arial" w:eastAsia="Arial" w:hAnsi="Arial"/>
          <w:sz w:val="20"/>
          <w:szCs w:val="20"/>
        </w:rPr>
        <w:t xml:space="preserve">Subscription costs for infrastructure compliance and security scanning tooling.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Workload Identity Federation: </w:t>
      </w:r>
      <w:r>
        <w:rPr>
          <w:rFonts w:ascii="Arial" w:cs="Arial" w:eastAsia="Arial" w:hAnsi="Arial"/>
          <w:sz w:val="20"/>
          <w:szCs w:val="20"/>
        </w:rPr>
        <w:t xml:space="preserve">No additional GCP cost; reduces operational costs by eliminating service account key rotation overhead.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Operational Overhead: </w:t>
      </w:r>
      <w:r>
        <w:rPr>
          <w:rFonts w:ascii="Arial" w:cs="Arial" w:eastAsia="Arial" w:hAnsi="Arial"/>
          <w:sz w:val="20"/>
          <w:szCs w:val="20"/>
        </w:rPr>
        <w:t xml:space="preserve">Cost of periodic drift scanning, compliance reviews, label audits, and runbook maintenance activities.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2026-04-08T10:09:34.157Z</dcterms:created>
  <dcterms:modified xsi:type="dcterms:W3CDTF">2026-04-08T10:09:34.158Z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