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3E67A" w14:textId="603FFA26" w:rsidR="00DD3167" w:rsidRPr="00F77E53" w:rsidRDefault="00DD3167" w:rsidP="00DD3167">
      <w:pPr>
        <w:pStyle w:val="1"/>
        <w:jc w:val="left"/>
        <w:rPr>
          <w:rFonts w:ascii="Times New Roman" w:hAnsi="Times New Roman" w:cs="Times New Roman"/>
        </w:rPr>
      </w:pPr>
      <w:bookmarkStart w:id="0" w:name="_Toc14985992"/>
      <w:r w:rsidRPr="00FE548E">
        <w:rPr>
          <w:rFonts w:ascii="Times New Roman" w:eastAsia="宋体" w:hAnsi="Times New Roman" w:cs="Times New Roman"/>
        </w:rPr>
        <w:t>附</w:t>
      </w:r>
      <w:bookmarkStart w:id="1" w:name="_GoBack"/>
      <w:bookmarkEnd w:id="1"/>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hint="eastAsia"/>
        </w:rPr>
        <w:t>9</w:t>
      </w:r>
      <w:r>
        <w:rPr>
          <w:rFonts w:ascii="Times New Roman" w:eastAsia="宋体" w:hAnsi="Times New Roman" w:cs="Times New Roman"/>
        </w:rPr>
        <w:t>6</w:t>
      </w:r>
      <w:r>
        <w:rPr>
          <w:rFonts w:ascii="Times New Roman" w:eastAsia="宋体" w:hAnsi="Times New Roman" w:cs="Times New Roman" w:hint="eastAsia"/>
        </w:rPr>
        <w:t>个异象因子</w:t>
      </w:r>
      <w:r w:rsidRPr="00786F82">
        <w:rPr>
          <w:rFonts w:ascii="Times New Roman" w:eastAsia="宋体" w:hAnsi="Times New Roman" w:cs="Times New Roman" w:hint="eastAsia"/>
        </w:rPr>
        <w:t>的</w:t>
      </w:r>
      <w:r>
        <w:rPr>
          <w:rFonts w:ascii="Times New Roman" w:eastAsia="宋体" w:hAnsi="Times New Roman" w:cs="Times New Roman" w:hint="eastAsia"/>
        </w:rPr>
        <w:t>构建方式</w:t>
      </w:r>
      <w:bookmarkEnd w:id="0"/>
    </w:p>
    <w:p w14:paraId="533DC477" w14:textId="77777777" w:rsidR="00DD3167" w:rsidRPr="00F971D8" w:rsidRDefault="00DD3167" w:rsidP="00DD3167">
      <w:pPr>
        <w:pStyle w:val="2"/>
        <w:spacing w:line="276" w:lineRule="auto"/>
        <w:ind w:left="420"/>
        <w:rPr>
          <w:szCs w:val="21"/>
        </w:rPr>
      </w:pPr>
      <w:bookmarkStart w:id="2" w:name="_Toc14985993"/>
      <w:r>
        <w:rPr>
          <w:rFonts w:hint="eastAsia"/>
          <w:szCs w:val="21"/>
        </w:rPr>
        <w:t>(</w:t>
      </w:r>
      <w:r>
        <w:rPr>
          <w:rFonts w:hint="eastAsia"/>
          <w:szCs w:val="21"/>
        </w:rPr>
        <w:t>一</w:t>
      </w:r>
      <w:r>
        <w:rPr>
          <w:szCs w:val="21"/>
        </w:rPr>
        <w:t xml:space="preserve">) </w:t>
      </w:r>
      <w:r w:rsidRPr="00F971D8">
        <w:rPr>
          <w:rFonts w:hint="eastAsia"/>
          <w:szCs w:val="21"/>
        </w:rPr>
        <w:t>交易摩擦因子</w:t>
      </w:r>
      <w:bookmarkEnd w:id="2"/>
    </w:p>
    <w:p w14:paraId="03A6E386" w14:textId="77777777" w:rsidR="00DD3167" w:rsidRPr="00F971D8" w:rsidRDefault="00DD3167" w:rsidP="00DD3167">
      <w:pPr>
        <w:pStyle w:val="ad"/>
        <w:numPr>
          <w:ilvl w:val="0"/>
          <w:numId w:val="28"/>
        </w:numPr>
        <w:spacing w:line="276" w:lineRule="auto"/>
        <w:ind w:firstLineChars="0"/>
        <w:rPr>
          <w:rFonts w:ascii="宋体" w:eastAsia="宋体" w:hAnsi="宋体"/>
          <w:szCs w:val="21"/>
        </w:rPr>
      </w:pPr>
      <w:r w:rsidRPr="00F971D8">
        <w:rPr>
          <w:rFonts w:ascii="宋体" w:eastAsia="宋体" w:hAnsi="宋体" w:hint="eastAsia"/>
          <w:szCs w:val="21"/>
        </w:rPr>
        <w:t>市值</w:t>
      </w:r>
      <w:r w:rsidRPr="00F971D8">
        <w:rPr>
          <w:rFonts w:ascii="Times New Roman" w:eastAsia="宋体" w:hAnsi="Times New Roman" w:cs="Times New Roman"/>
          <w:szCs w:val="21"/>
        </w:rPr>
        <w:t>（</w:t>
      </w:r>
      <w:r w:rsidRPr="00F971D8">
        <w:rPr>
          <w:rFonts w:ascii="Times New Roman" w:eastAsia="宋体" w:hAnsi="Times New Roman" w:cs="Times New Roman"/>
          <w:szCs w:val="21"/>
        </w:rPr>
        <w:t>Firm size</w:t>
      </w:r>
      <w:r w:rsidRPr="00F971D8">
        <w:rPr>
          <w:rFonts w:ascii="Times New Roman" w:eastAsia="宋体" w:hAnsi="Times New Roman" w:cs="Times New Roman"/>
          <w:szCs w:val="21"/>
        </w:rPr>
        <w:t>，</w:t>
      </w:r>
      <w:r w:rsidRPr="00F971D8">
        <w:rPr>
          <w:rFonts w:ascii="Times New Roman" w:eastAsia="宋体" w:hAnsi="Times New Roman" w:cs="Times New Roman"/>
          <w:szCs w:val="21"/>
        </w:rPr>
        <w:t>size</w:t>
      </w:r>
      <w:r w:rsidRPr="00F971D8">
        <w:rPr>
          <w:rFonts w:ascii="Times New Roman" w:eastAsia="宋体" w:hAnsi="Times New Roman" w:cs="Times New Roman"/>
          <w:szCs w:val="21"/>
        </w:rPr>
        <w:t>）</w:t>
      </w:r>
    </w:p>
    <w:p w14:paraId="34733A7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NE.Ref.{6C019A66-D2CF-4A6D-A9EA-F6D990CC1153}</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Banz (1981)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计算股票市值，即每</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股流通市值。在每个月</w:t>
      </w:r>
      <w:r w:rsidRPr="00F971D8">
        <w:rPr>
          <w:rFonts w:ascii="Times New Roman" w:eastAsia="宋体" w:hAnsi="Times New Roman" w:cs="Times New Roman" w:hint="eastAsia"/>
          <w:szCs w:val="21"/>
        </w:rPr>
        <w:t>月</w:t>
      </w:r>
      <w:r w:rsidRPr="00F971D8">
        <w:rPr>
          <w:rFonts w:ascii="Times New Roman" w:eastAsia="宋体" w:hAnsi="Times New Roman" w:cs="Times New Roman"/>
          <w:szCs w:val="21"/>
        </w:rPr>
        <w:t>末</w:t>
      </w:r>
      <w:r w:rsidRPr="00F971D8">
        <w:rPr>
          <w:rFonts w:ascii="Times New Roman" w:eastAsia="宋体" w:hAnsi="Times New Roman" w:cs="Times New Roman"/>
          <w:szCs w:val="21"/>
        </w:rPr>
        <w:t>(t)</w:t>
      </w:r>
      <w:r w:rsidRPr="00F971D8">
        <w:rPr>
          <w:rFonts w:ascii="Times New Roman" w:eastAsia="宋体" w:hAnsi="Times New Roman" w:cs="Times New Roman"/>
          <w:szCs w:val="21"/>
        </w:rPr>
        <w:t>，按照月末</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股流通市值将所有股票等分为</w:t>
      </w:r>
      <w:r w:rsidRPr="00F971D8">
        <w:rPr>
          <w:rFonts w:ascii="Times New Roman" w:eastAsia="宋体" w:hAnsi="Times New Roman" w:cs="Times New Roman"/>
          <w:szCs w:val="21"/>
        </w:rPr>
        <w:t>10</w:t>
      </w:r>
      <w:r w:rsidRPr="00F971D8">
        <w:rPr>
          <w:rFonts w:ascii="Times New Roman" w:eastAsia="宋体" w:hAnsi="Times New Roman" w:cs="Times New Roman"/>
          <w:szCs w:val="21"/>
        </w:rPr>
        <w:t>组</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其中，</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股流通市值最小的</w:t>
      </w:r>
      <w:r w:rsidRPr="00F971D8">
        <w:rPr>
          <w:rFonts w:ascii="Times New Roman" w:eastAsia="宋体" w:hAnsi="Times New Roman" w:cs="Times New Roman"/>
          <w:szCs w:val="21"/>
        </w:rPr>
        <w:t xml:space="preserve">10% </w:t>
      </w:r>
      <w:r w:rsidRPr="00F971D8">
        <w:rPr>
          <w:rFonts w:ascii="Times New Roman" w:eastAsia="宋体" w:hAnsi="Times New Roman" w:cs="Times New Roman"/>
          <w:szCs w:val="21"/>
        </w:rPr>
        <w:t>的股票在第一组，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股流通市值最大的</w:t>
      </w:r>
      <w:r w:rsidRPr="00F971D8">
        <w:rPr>
          <w:rFonts w:ascii="Times New Roman" w:eastAsia="宋体" w:hAnsi="Times New Roman" w:cs="Times New Roman"/>
          <w:szCs w:val="21"/>
        </w:rPr>
        <w:t>10%</w:t>
      </w:r>
      <w:r w:rsidRPr="00F971D8">
        <w:rPr>
          <w:rFonts w:ascii="Times New Roman" w:eastAsia="宋体" w:hAnsi="Times New Roman" w:cs="Times New Roman"/>
          <w:szCs w:val="21"/>
        </w:rPr>
        <w:t>的股票在第十组。然后</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）各组流通市值加权</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等权重</w:t>
      </w:r>
      <w:r w:rsidRPr="00F971D8">
        <w:rPr>
          <w:rFonts w:ascii="Times New Roman" w:eastAsia="宋体" w:hAnsi="Times New Roman" w:cs="Times New Roman"/>
          <w:szCs w:val="21"/>
        </w:rPr>
        <w:t>的股票组合的月收益率及第十组与第一</w:t>
      </w:r>
      <w:r w:rsidRPr="00F971D8">
        <w:rPr>
          <w:rFonts w:ascii="Times New Roman" w:eastAsia="宋体" w:hAnsi="Times New Roman" w:cs="Times New Roman" w:hint="eastAsia"/>
          <w:szCs w:val="21"/>
        </w:rPr>
        <w:t>组</w:t>
      </w:r>
      <w:r w:rsidRPr="00F971D8">
        <w:rPr>
          <w:rFonts w:ascii="Times New Roman" w:eastAsia="宋体" w:hAnsi="Times New Roman" w:cs="Times New Roman"/>
          <w:szCs w:val="21"/>
        </w:rPr>
        <w:t>收益率之差即为因子收益率。以此类推，在每个月月末计算</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股流通市值并重新分组</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计算组合收益率。</w:t>
      </w:r>
    </w:p>
    <w:p w14:paraId="43959B5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行业调整市值（</w:t>
      </w:r>
      <w:r w:rsidRPr="00F971D8">
        <w:rPr>
          <w:rFonts w:ascii="Times New Roman" w:eastAsia="宋体" w:hAnsi="Times New Roman" w:cs="Times New Roman"/>
          <w:szCs w:val="21"/>
        </w:rPr>
        <w:t>Industry-adjusted size</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size_ia</w:t>
      </w:r>
      <w:r w:rsidRPr="00F971D8">
        <w:rPr>
          <w:rFonts w:ascii="Times New Roman" w:eastAsia="宋体" w:hAnsi="Times New Roman" w:cs="Times New Roman" w:hint="eastAsia"/>
          <w:szCs w:val="21"/>
        </w:rPr>
        <w:t>）</w:t>
      </w:r>
    </w:p>
    <w:p w14:paraId="5D759C2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NE.Ref.{481C57C7-D80D-4EA7-BE30-38361B89D771}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Asness, Porter and Stevens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hint="eastAsia"/>
          <w:szCs w:val="21"/>
        </w:rPr>
        <w:t>，参考证监会</w:t>
      </w:r>
      <w:r w:rsidRPr="00F971D8">
        <w:rPr>
          <w:rFonts w:ascii="Times New Roman" w:eastAsia="宋体" w:hAnsi="Times New Roman" w:cs="Times New Roman" w:hint="eastAsia"/>
          <w:szCs w:val="21"/>
        </w:rPr>
        <w:t>2</w:t>
      </w:r>
      <w:r w:rsidRPr="00F971D8">
        <w:rPr>
          <w:rFonts w:ascii="Times New Roman" w:eastAsia="宋体" w:hAnsi="Times New Roman" w:cs="Times New Roman"/>
          <w:szCs w:val="21"/>
        </w:rPr>
        <w:t>012</w:t>
      </w:r>
      <w:r w:rsidRPr="00F971D8">
        <w:rPr>
          <w:rFonts w:ascii="Times New Roman" w:eastAsia="宋体" w:hAnsi="Times New Roman" w:cs="Times New Roman" w:hint="eastAsia"/>
          <w:szCs w:val="21"/>
        </w:rPr>
        <w:t>版行业分类，去除金融类股票后共包含</w:t>
      </w:r>
      <w:r w:rsidRPr="00F971D8">
        <w:rPr>
          <w:rFonts w:ascii="Times New Roman" w:eastAsia="宋体" w:hAnsi="Times New Roman" w:cs="Times New Roman" w:hint="eastAsia"/>
          <w:szCs w:val="21"/>
        </w:rPr>
        <w:t>1</w:t>
      </w:r>
      <w:r w:rsidRPr="00F971D8">
        <w:rPr>
          <w:rFonts w:ascii="Times New Roman" w:eastAsia="宋体" w:hAnsi="Times New Roman" w:cs="Times New Roman"/>
          <w:szCs w:val="21"/>
        </w:rPr>
        <w:t>8</w:t>
      </w:r>
      <w:r w:rsidRPr="00F971D8">
        <w:rPr>
          <w:rFonts w:ascii="Times New Roman" w:eastAsia="宋体" w:hAnsi="Times New Roman" w:cs="Times New Roman" w:hint="eastAsia"/>
          <w:szCs w:val="21"/>
        </w:rPr>
        <w:t>个行业，在每个月月末（</w:t>
      </w:r>
      <w:r w:rsidRPr="00F971D8">
        <w:rPr>
          <w:rFonts w:ascii="Times New Roman" w:eastAsia="宋体" w:hAnsi="Times New Roman" w:cs="Times New Roman" w:hint="eastAsia"/>
          <w:szCs w:val="21"/>
        </w:rPr>
        <w:t>t</w:t>
      </w:r>
      <w:r w:rsidRPr="00F971D8">
        <w:rPr>
          <w:rFonts w:ascii="Times New Roman" w:eastAsia="宋体" w:hAnsi="Times New Roman" w:cs="Times New Roman" w:hint="eastAsia"/>
          <w:szCs w:val="21"/>
        </w:rPr>
        <w:t>），将每只股票的</w:t>
      </w:r>
      <w:r w:rsidRPr="00F971D8">
        <w:rPr>
          <w:rFonts w:ascii="Times New Roman" w:eastAsia="宋体" w:hAnsi="Times New Roman" w:cs="Times New Roman" w:hint="eastAsia"/>
          <w:szCs w:val="21"/>
        </w:rPr>
        <w:t>A</w:t>
      </w:r>
      <w:r w:rsidRPr="00F971D8">
        <w:rPr>
          <w:rFonts w:ascii="Times New Roman" w:eastAsia="宋体" w:hAnsi="Times New Roman" w:cs="Times New Roman" w:hint="eastAsia"/>
          <w:szCs w:val="21"/>
        </w:rPr>
        <w:t>股流通市值减去其所在行业所有股票</w:t>
      </w:r>
      <w:r w:rsidRPr="00F971D8">
        <w:rPr>
          <w:rFonts w:ascii="Times New Roman" w:eastAsia="宋体" w:hAnsi="Times New Roman" w:cs="Times New Roman" w:hint="eastAsia"/>
          <w:szCs w:val="21"/>
        </w:rPr>
        <w:t>A</w:t>
      </w:r>
      <w:r w:rsidRPr="00F971D8">
        <w:rPr>
          <w:rFonts w:ascii="Times New Roman" w:eastAsia="宋体" w:hAnsi="Times New Roman" w:cs="Times New Roman" w:hint="eastAsia"/>
          <w:szCs w:val="21"/>
        </w:rPr>
        <w:t>股流通市值均值，即为</w:t>
      </w:r>
      <w:r w:rsidRPr="00F971D8">
        <w:rPr>
          <w:rFonts w:ascii="Times New Roman" w:eastAsia="宋体" w:hAnsi="Times New Roman" w:cs="Times New Roman" w:hint="eastAsia"/>
          <w:szCs w:val="21"/>
        </w:rPr>
        <w:t>s</w:t>
      </w:r>
      <w:r w:rsidRPr="00F971D8">
        <w:rPr>
          <w:rFonts w:ascii="Times New Roman" w:eastAsia="宋体" w:hAnsi="Times New Roman" w:cs="Times New Roman"/>
          <w:szCs w:val="21"/>
        </w:rPr>
        <w:t>ize_ia</w:t>
      </w:r>
      <w:r w:rsidRPr="00F971D8">
        <w:rPr>
          <w:rFonts w:ascii="Times New Roman" w:eastAsia="宋体" w:hAnsi="Times New Roman" w:cs="Times New Roman" w:hint="eastAsia"/>
          <w:szCs w:val="21"/>
        </w:rPr>
        <w:t>因子值，按照月末</w:t>
      </w:r>
      <w:r w:rsidRPr="00F971D8">
        <w:rPr>
          <w:rFonts w:ascii="Times New Roman" w:eastAsia="宋体" w:hAnsi="Times New Roman" w:cs="Times New Roman" w:hint="eastAsia"/>
          <w:szCs w:val="21"/>
        </w:rPr>
        <w:t>s</w:t>
      </w:r>
      <w:r w:rsidRPr="00F971D8">
        <w:rPr>
          <w:rFonts w:ascii="Times New Roman" w:eastAsia="宋体" w:hAnsi="Times New Roman" w:cs="Times New Roman"/>
          <w:szCs w:val="21"/>
        </w:rPr>
        <w:t>ize_ia</w:t>
      </w:r>
      <w:r w:rsidRPr="00F971D8">
        <w:rPr>
          <w:rFonts w:ascii="Times New Roman" w:eastAsia="宋体" w:hAnsi="Times New Roman" w:cs="Times New Roman"/>
          <w:szCs w:val="21"/>
        </w:rPr>
        <w:t>将所有股票等分为</w:t>
      </w:r>
      <w:r w:rsidRPr="00F971D8">
        <w:rPr>
          <w:rFonts w:ascii="Times New Roman" w:eastAsia="宋体" w:hAnsi="Times New Roman" w:cs="Times New Roman"/>
          <w:szCs w:val="21"/>
        </w:rPr>
        <w:t>10</w:t>
      </w:r>
      <w:r w:rsidRPr="00F971D8">
        <w:rPr>
          <w:rFonts w:ascii="Times New Roman" w:eastAsia="宋体" w:hAnsi="Times New Roman" w:cs="Times New Roman"/>
          <w:szCs w:val="21"/>
        </w:rPr>
        <w:t>组</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其中，</w:t>
      </w:r>
      <w:r w:rsidRPr="00F971D8">
        <w:rPr>
          <w:rFonts w:ascii="Times New Roman" w:eastAsia="宋体" w:hAnsi="Times New Roman" w:cs="Times New Roman" w:hint="eastAsia"/>
          <w:szCs w:val="21"/>
        </w:rPr>
        <w:t>s</w:t>
      </w:r>
      <w:r w:rsidRPr="00F971D8">
        <w:rPr>
          <w:rFonts w:ascii="Times New Roman" w:eastAsia="宋体" w:hAnsi="Times New Roman" w:cs="Times New Roman"/>
          <w:szCs w:val="21"/>
        </w:rPr>
        <w:t>ize_ia</w:t>
      </w:r>
      <w:r w:rsidRPr="00F971D8">
        <w:rPr>
          <w:rFonts w:ascii="Times New Roman" w:eastAsia="宋体" w:hAnsi="Times New Roman" w:cs="Times New Roman" w:hint="eastAsia"/>
          <w:szCs w:val="21"/>
        </w:rPr>
        <w:t>最小</w:t>
      </w:r>
      <w:r w:rsidRPr="00F971D8">
        <w:rPr>
          <w:rFonts w:ascii="Times New Roman" w:eastAsia="宋体" w:hAnsi="Times New Roman" w:cs="Times New Roman"/>
          <w:szCs w:val="21"/>
        </w:rPr>
        <w:t>的</w:t>
      </w:r>
      <w:r w:rsidRPr="00F971D8">
        <w:rPr>
          <w:rFonts w:ascii="Times New Roman" w:eastAsia="宋体" w:hAnsi="Times New Roman" w:cs="Times New Roman"/>
          <w:szCs w:val="21"/>
        </w:rPr>
        <w:t xml:space="preserve">10% </w:t>
      </w:r>
      <w:r w:rsidRPr="00F971D8">
        <w:rPr>
          <w:rFonts w:ascii="Times New Roman" w:eastAsia="宋体" w:hAnsi="Times New Roman" w:cs="Times New Roman"/>
          <w:szCs w:val="21"/>
        </w:rPr>
        <w:t>的股票在第一组，</w:t>
      </w:r>
      <w:r w:rsidRPr="00F971D8">
        <w:rPr>
          <w:rFonts w:ascii="Times New Roman" w:eastAsia="宋体" w:hAnsi="Times New Roman" w:cs="Times New Roman" w:hint="eastAsia"/>
          <w:szCs w:val="21"/>
        </w:rPr>
        <w:t>s</w:t>
      </w:r>
      <w:r w:rsidRPr="00F971D8">
        <w:rPr>
          <w:rFonts w:ascii="Times New Roman" w:eastAsia="宋体" w:hAnsi="Times New Roman" w:cs="Times New Roman"/>
          <w:szCs w:val="21"/>
        </w:rPr>
        <w:t>ize_ia</w:t>
      </w:r>
      <w:r w:rsidRPr="00F971D8">
        <w:rPr>
          <w:rFonts w:ascii="Times New Roman" w:eastAsia="宋体" w:hAnsi="Times New Roman" w:cs="Times New Roman"/>
          <w:szCs w:val="21"/>
        </w:rPr>
        <w:t>最大的</w:t>
      </w:r>
      <w:r w:rsidRPr="00F971D8">
        <w:rPr>
          <w:rFonts w:ascii="Times New Roman" w:eastAsia="宋体" w:hAnsi="Times New Roman" w:cs="Times New Roman"/>
          <w:szCs w:val="21"/>
        </w:rPr>
        <w:t>10%</w:t>
      </w:r>
      <w:r w:rsidRPr="00F971D8">
        <w:rPr>
          <w:rFonts w:ascii="Times New Roman" w:eastAsia="宋体" w:hAnsi="Times New Roman" w:cs="Times New Roman"/>
          <w:szCs w:val="21"/>
        </w:rPr>
        <w:t>的股票在第十组。然后</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）各组流通市值加权</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等权重</w:t>
      </w:r>
      <w:r w:rsidRPr="00F971D8">
        <w:rPr>
          <w:rFonts w:ascii="Times New Roman" w:eastAsia="宋体" w:hAnsi="Times New Roman" w:cs="Times New Roman"/>
          <w:szCs w:val="21"/>
        </w:rPr>
        <w:t>的股票组合的月收益率及第十组与第一</w:t>
      </w:r>
      <w:r w:rsidRPr="00F971D8">
        <w:rPr>
          <w:rFonts w:ascii="Times New Roman" w:eastAsia="宋体" w:hAnsi="Times New Roman" w:cs="Times New Roman" w:hint="eastAsia"/>
          <w:szCs w:val="21"/>
        </w:rPr>
        <w:t>组</w:t>
      </w:r>
      <w:r w:rsidRPr="00F971D8">
        <w:rPr>
          <w:rFonts w:ascii="Times New Roman" w:eastAsia="宋体" w:hAnsi="Times New Roman" w:cs="Times New Roman"/>
          <w:szCs w:val="21"/>
        </w:rPr>
        <w:t>收益率之差即为因子收益率</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以此类推</w:t>
      </w:r>
      <w:r w:rsidRPr="00F971D8">
        <w:rPr>
          <w:rFonts w:ascii="Times New Roman" w:eastAsia="宋体" w:hAnsi="Times New Roman" w:cs="Times New Roman" w:hint="eastAsia"/>
          <w:szCs w:val="21"/>
        </w:rPr>
        <w:t>。</w:t>
      </w:r>
    </w:p>
    <w:p w14:paraId="03F4FA9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系统性风险（</w:t>
      </w:r>
      <w:r w:rsidRPr="00F971D8">
        <w:rPr>
          <w:rFonts w:ascii="Times New Roman" w:eastAsia="宋体" w:hAnsi="Times New Roman" w:cs="Times New Roman"/>
          <w:szCs w:val="21"/>
        </w:rPr>
        <w:t>market beta, beta</w:t>
      </w:r>
      <w:r w:rsidRPr="00F971D8">
        <w:rPr>
          <w:rFonts w:ascii="Times New Roman" w:eastAsia="宋体" w:hAnsi="Times New Roman" w:cs="Times New Roman"/>
          <w:szCs w:val="21"/>
        </w:rPr>
        <w:t>）</w:t>
      </w:r>
    </w:p>
    <w:p w14:paraId="683EF61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NE.Ref.{58031A6E-8715-42FE-BD34-6D20C1EA4D5E}</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Fama and MacBeth (1973)</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所得系统性风险计算方式为</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月末（过去一年）个股日收益率同等权重市场投资组合的日收益率回归系数，在计算系统性风险时，至少有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个交易日。</w:t>
      </w:r>
      <w:r w:rsidRPr="00F971D8">
        <w:rPr>
          <w:rFonts w:ascii="Times New Roman" w:eastAsia="宋体" w:hAnsi="Times New Roman" w:cs="Times New Roman" w:hint="eastAsia"/>
          <w:szCs w:val="21"/>
        </w:rPr>
        <w:t>在每个月的月末</w:t>
      </w:r>
      <w:r w:rsidRPr="00F971D8">
        <w:rPr>
          <w:rFonts w:ascii="Times New Roman" w:eastAsia="宋体" w:hAnsi="Times New Roman" w:cs="Times New Roman"/>
          <w:szCs w:val="21"/>
        </w:rPr>
        <w:t>(t)</w:t>
      </w:r>
      <w:r w:rsidRPr="00F971D8">
        <w:rPr>
          <w:rFonts w:ascii="Times New Roman" w:eastAsia="宋体" w:hAnsi="Times New Roman" w:cs="Times New Roman"/>
          <w:szCs w:val="21"/>
        </w:rPr>
        <w:t>，按照月末</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w:t>
      </w:r>
      <w:r w:rsidRPr="00F971D8">
        <w:rPr>
          <w:rFonts w:ascii="Times New Roman" w:eastAsia="宋体" w:hAnsi="Times New Roman" w:cs="Times New Roman"/>
          <w:szCs w:val="21"/>
        </w:rPr>
        <w:t>beta</w:t>
      </w:r>
      <w:r w:rsidRPr="00F971D8">
        <w:rPr>
          <w:rFonts w:ascii="Times New Roman" w:eastAsia="宋体" w:hAnsi="Times New Roman" w:cs="Times New Roman"/>
          <w:szCs w:val="21"/>
        </w:rPr>
        <w:t>值将所有</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股股票等分为</w:t>
      </w:r>
      <w:r w:rsidRPr="00F971D8">
        <w:rPr>
          <w:rFonts w:ascii="Times New Roman" w:eastAsia="宋体" w:hAnsi="Times New Roman" w:cs="Times New Roman"/>
          <w:szCs w:val="21"/>
        </w:rPr>
        <w:t>10</w:t>
      </w:r>
      <w:r w:rsidRPr="00F971D8">
        <w:rPr>
          <w:rFonts w:ascii="Times New Roman" w:eastAsia="宋体" w:hAnsi="Times New Roman" w:cs="Times New Roman"/>
          <w:szCs w:val="21"/>
        </w:rPr>
        <w:t>组。其中，</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股流通市值最小的</w:t>
      </w:r>
      <w:r w:rsidRPr="00F971D8">
        <w:rPr>
          <w:rFonts w:ascii="Times New Roman" w:eastAsia="宋体" w:hAnsi="Times New Roman" w:cs="Times New Roman"/>
          <w:szCs w:val="21"/>
        </w:rPr>
        <w:t>10%</w:t>
      </w:r>
      <w:r w:rsidRPr="00F971D8">
        <w:rPr>
          <w:rFonts w:ascii="Times New Roman" w:eastAsia="宋体" w:hAnsi="Times New Roman" w:cs="Times New Roman"/>
          <w:szCs w:val="21"/>
        </w:rPr>
        <w:t>的股票在第一组，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股流通市值最大的</w:t>
      </w:r>
      <w:r w:rsidRPr="00F971D8">
        <w:rPr>
          <w:rFonts w:ascii="Times New Roman" w:eastAsia="宋体" w:hAnsi="Times New Roman" w:cs="Times New Roman"/>
          <w:szCs w:val="21"/>
        </w:rPr>
        <w:t>10%</w:t>
      </w:r>
      <w:r w:rsidRPr="00F971D8">
        <w:rPr>
          <w:rFonts w:ascii="Times New Roman" w:eastAsia="宋体" w:hAnsi="Times New Roman" w:cs="Times New Roman"/>
          <w:szCs w:val="21"/>
        </w:rPr>
        <w:t>的股票在第十组。然后，计算下一个月（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）各组流通市值加权的股票组合的月收益率及第十组与第一组收益率之差（即为因子收益率）。以此类推，在每个月月末计算</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股流通市值并重新分组、计算组合收益率</w:t>
      </w:r>
      <w:r w:rsidRPr="00F971D8">
        <w:rPr>
          <w:rFonts w:ascii="Times New Roman" w:eastAsia="宋体" w:hAnsi="Times New Roman" w:cs="Times New Roman" w:hint="eastAsia"/>
          <w:szCs w:val="21"/>
        </w:rPr>
        <w:t>。</w:t>
      </w:r>
    </w:p>
    <w:p w14:paraId="527455E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系统性风险的平方（</w:t>
      </w:r>
      <w:r w:rsidRPr="00F971D8">
        <w:rPr>
          <w:rFonts w:ascii="Times New Roman" w:eastAsia="宋体" w:hAnsi="Times New Roman" w:cs="Times New Roman"/>
          <w:szCs w:val="21"/>
        </w:rPr>
        <w:t>square of market beta, betasq</w:t>
      </w:r>
      <w:r w:rsidRPr="00F971D8">
        <w:rPr>
          <w:rFonts w:ascii="Times New Roman" w:eastAsia="宋体" w:hAnsi="Times New Roman" w:cs="Times New Roman"/>
          <w:szCs w:val="21"/>
        </w:rPr>
        <w:t>）</w:t>
      </w:r>
    </w:p>
    <w:p w14:paraId="5411696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NE.Ref.{EC3A5A81-12E0-44E2-9326-CE57AAAD7A8E}</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Fama and MacBeth (1973)</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所得系统性风险的平方因子计算方式为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月系统性风险的平方。在计算出来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3B062588"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Dimson-beta</w:t>
      </w:r>
      <w:r w:rsidRPr="00F971D8">
        <w:rPr>
          <w:rFonts w:ascii="Times New Roman" w:eastAsia="宋体" w:hAnsi="Times New Roman" w:cs="Times New Roman"/>
          <w:szCs w:val="21"/>
        </w:rPr>
        <w:t>（</w:t>
      </w:r>
      <w:r w:rsidRPr="00F971D8">
        <w:rPr>
          <w:rFonts w:ascii="Times New Roman" w:eastAsia="宋体" w:hAnsi="Times New Roman" w:cs="Times New Roman"/>
          <w:szCs w:val="21"/>
        </w:rPr>
        <w:t>betad</w:t>
      </w:r>
      <w:r w:rsidRPr="00F971D8">
        <w:rPr>
          <w:rFonts w:ascii="Times New Roman" w:eastAsia="宋体" w:hAnsi="Times New Roman" w:cs="Times New Roman"/>
          <w:szCs w:val="21"/>
        </w:rPr>
        <w:t>）</w:t>
      </w:r>
    </w:p>
    <w:p w14:paraId="75DAAF5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NE.Ref.{C8ACAC9C-38FB-4427-86F4-AC21A5AC9B39}</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Dimson (1979)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w:t>
      </w:r>
      <w:r w:rsidRPr="00F971D8">
        <w:rPr>
          <w:rFonts w:ascii="Times New Roman" w:eastAsia="宋体" w:hAnsi="Times New Roman" w:cs="Times New Roman"/>
          <w:szCs w:val="21"/>
        </w:rPr>
        <w:t>Dimson-beta</w:t>
      </w:r>
      <w:r w:rsidRPr="00F971D8">
        <w:rPr>
          <w:rFonts w:ascii="Times New Roman" w:eastAsia="宋体" w:hAnsi="Times New Roman" w:cs="Times New Roman"/>
          <w:szCs w:val="21"/>
        </w:rPr>
        <w:t>计算方式为</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月末（过去一年）的个股日收益率同包含前后两天的市场投资组合的日收益率的回归系数之和。</w:t>
      </w:r>
    </w:p>
    <w:p w14:paraId="61849941" w14:textId="77777777" w:rsidR="00DD3167" w:rsidRPr="00F971D8" w:rsidRDefault="00E40C9D" w:rsidP="00DD3167">
      <w:pPr>
        <w:pStyle w:val="Default"/>
        <w:spacing w:line="276" w:lineRule="auto"/>
        <w:ind w:firstLineChars="200" w:firstLine="420"/>
        <w:rPr>
          <w:rFonts w:asciiTheme="minorEastAsia" w:eastAsiaTheme="minorEastAsia" w:hAnsiTheme="minorEastAsia"/>
          <w:sz w:val="21"/>
          <w:szCs w:val="21"/>
        </w:rPr>
      </w:pPr>
      <m:oMathPara>
        <m:oMath>
          <m:sSub>
            <m:sSubPr>
              <m:ctrlPr>
                <w:rPr>
                  <w:rFonts w:ascii="Cambria Math" w:eastAsiaTheme="minorEastAsia" w:hAnsi="Cambria Math" w:hint="eastAsia"/>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i,t</m:t>
              </m:r>
            </m:sub>
          </m:sSub>
          <m:r>
            <w:rPr>
              <w:rFonts w:ascii="Cambria Math" w:eastAsiaTheme="minorEastAsia" w:hAnsi="Cambria Math" w:hint="eastAsia"/>
              <w:sz w:val="21"/>
              <w:szCs w:val="21"/>
            </w:rPr>
            <m:t xml:space="preserve">= </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α</m:t>
              </m:r>
            </m:e>
            <m:sub>
              <m:r>
                <w:rPr>
                  <w:rFonts w:ascii="Cambria Math" w:eastAsiaTheme="minorEastAsia" w:hAnsi="Cambria Math" w:hint="eastAsia"/>
                  <w:sz w:val="21"/>
                  <w:szCs w:val="21"/>
                </w:rPr>
                <m:t>i</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i,1</m:t>
              </m:r>
            </m:sub>
          </m:sSub>
          <m:r>
            <w:rPr>
              <w:rFonts w:ascii="MS Mincho" w:eastAsia="MS Mincho" w:hAnsi="MS Mincho" w:cs="MS Mincho"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m,t</m:t>
              </m:r>
              <m:r>
                <w:rPr>
                  <w:rFonts w:ascii="微软雅黑" w:eastAsia="微软雅黑" w:hAnsi="微软雅黑" w:cs="微软雅黑" w:hint="eastAsia"/>
                  <w:sz w:val="21"/>
                  <w:szCs w:val="21"/>
                </w:rPr>
                <m:t>-</m:t>
              </m:r>
              <m:r>
                <w:rPr>
                  <w:rFonts w:ascii="Cambria Math" w:eastAsiaTheme="minorEastAsia" w:hAnsi="Cambria Math" w:hint="eastAsia"/>
                  <w:sz w:val="21"/>
                  <w:szCs w:val="21"/>
                </w:rPr>
                <m:t>1</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i,2</m:t>
              </m:r>
            </m:sub>
          </m:sSub>
          <m:r>
            <w:rPr>
              <w:rFonts w:ascii="MS Mincho" w:eastAsia="MS Mincho" w:hAnsi="MS Mincho" w:cs="MS Mincho"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m,t</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i,3</m:t>
              </m:r>
            </m:sub>
          </m:sSub>
          <m:r>
            <w:rPr>
              <w:rFonts w:ascii="MS Mincho" w:eastAsia="MS Mincho" w:hAnsi="MS Mincho" w:cs="MS Mincho"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m,t+1</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ε</m:t>
              </m:r>
            </m:e>
            <m:sub>
              <m:r>
                <w:rPr>
                  <w:rFonts w:ascii="Cambria Math" w:eastAsiaTheme="minorEastAsia" w:hAnsi="Cambria Math" w:hint="eastAsia"/>
                  <w:sz w:val="21"/>
                  <w:szCs w:val="21"/>
                </w:rPr>
                <m:t>i,t</m:t>
              </m:r>
            </m:sub>
          </m:sSub>
        </m:oMath>
      </m:oMathPara>
    </w:p>
    <w:p w14:paraId="36F842EF" w14:textId="77777777" w:rsidR="00DD3167" w:rsidRPr="00F971D8" w:rsidRDefault="00E40C9D" w:rsidP="00DD3167">
      <w:pPr>
        <w:pStyle w:val="Default"/>
        <w:spacing w:line="276" w:lineRule="auto"/>
        <w:ind w:firstLineChars="200" w:firstLine="420"/>
        <w:rPr>
          <w:rFonts w:asciiTheme="minorEastAsia" w:eastAsiaTheme="minorEastAsia" w:hAnsiTheme="minorEastAsia"/>
          <w:sz w:val="21"/>
          <w:szCs w:val="21"/>
        </w:rPr>
      </w:pPr>
      <m:oMathPara>
        <m:oMath>
          <m:sSub>
            <m:sSubPr>
              <m:ctrlPr>
                <w:rPr>
                  <w:rFonts w:ascii="Cambria Math" w:eastAsiaTheme="minorEastAsia" w:hAnsi="Cambria Math" w:hint="eastAsia"/>
                  <w:sz w:val="21"/>
                  <w:szCs w:val="21"/>
                </w:rPr>
              </m:ctrlPr>
            </m:sSubPr>
            <m:e>
              <m:sSubSup>
                <m:sSubSupPr>
                  <m:ctrlPr>
                    <w:rPr>
                      <w:rFonts w:ascii="Cambria Math" w:eastAsiaTheme="minorEastAsia" w:hAnsi="Cambria Math" w:hint="eastAsia"/>
                      <w:i/>
                      <w:sz w:val="21"/>
                      <w:szCs w:val="21"/>
                    </w:rPr>
                  </m:ctrlPr>
                </m:sSubSupPr>
                <m:e>
                  <m:r>
                    <w:rPr>
                      <w:rFonts w:ascii="Cambria Math" w:eastAsiaTheme="minorEastAsia" w:hAnsi="Cambria Math" w:hint="eastAsia"/>
                      <w:sz w:val="21"/>
                      <w:szCs w:val="21"/>
                    </w:rPr>
                    <m:t>β</m:t>
                  </m:r>
                </m:e>
                <m:sub>
                  <m:r>
                    <w:rPr>
                      <w:rFonts w:ascii="Cambria Math" w:eastAsiaTheme="minorEastAsia" w:hAnsi="Cambria Math" w:hint="eastAsia"/>
                      <w:sz w:val="21"/>
                      <w:szCs w:val="21"/>
                    </w:rPr>
                    <m:t>i,t</m:t>
                  </m:r>
                </m:sub>
                <m:sup>
                  <m:r>
                    <w:rPr>
                      <w:rFonts w:ascii="Cambria Math" w:eastAsiaTheme="minorEastAsia" w:hAnsi="Cambria Math" w:hint="eastAsia"/>
                      <w:sz w:val="21"/>
                      <w:szCs w:val="21"/>
                    </w:rPr>
                    <m:t>D</m:t>
                  </m:r>
                </m:sup>
              </m:sSubSup>
            </m:e>
            <m:sub/>
          </m:sSub>
          <m:r>
            <w:rPr>
              <w:rFonts w:ascii="Cambria Math" w:eastAsiaTheme="minorEastAsia" w:hAnsi="Cambria Math" w:hint="eastAsia"/>
              <w:sz w:val="21"/>
              <w:szCs w:val="21"/>
            </w:rPr>
            <m:t xml:space="preserve">= </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i,1</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i,2</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i,3</m:t>
              </m:r>
            </m:sub>
          </m:sSub>
        </m:oMath>
      </m:oMathPara>
    </w:p>
    <w:p w14:paraId="6D2C8903"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在每月月末按照上述方法计算出每只股票的</w:t>
      </w:r>
      <w:r w:rsidRPr="00F971D8">
        <w:rPr>
          <w:rFonts w:ascii="Times New Roman" w:eastAsia="宋体" w:hAnsi="Times New Roman" w:cs="Times New Roman"/>
          <w:szCs w:val="21"/>
        </w:rPr>
        <w:t>Dimon-beta</w:t>
      </w:r>
      <w:r w:rsidRPr="00F971D8">
        <w:rPr>
          <w:rFonts w:ascii="Times New Roman" w:eastAsia="宋体" w:hAnsi="Times New Roman" w:cs="Times New Roman"/>
          <w:szCs w:val="21"/>
        </w:rPr>
        <w:t>。在计算</w:t>
      </w:r>
      <w:r w:rsidRPr="00F971D8">
        <w:rPr>
          <w:rFonts w:ascii="Times New Roman" w:eastAsia="宋体" w:hAnsi="Times New Roman" w:cs="Times New Roman"/>
          <w:szCs w:val="21"/>
        </w:rPr>
        <w:t>Dimon-beta</w:t>
      </w:r>
      <w:r w:rsidRPr="00F971D8">
        <w:rPr>
          <w:rFonts w:ascii="Times New Roman" w:eastAsia="宋体" w:hAnsi="Times New Roman" w:cs="Times New Roman"/>
          <w:szCs w:val="21"/>
        </w:rPr>
        <w:t>时，至少有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个交易日。</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60912F26"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lastRenderedPageBreak/>
        <w:t>特定波动率（</w:t>
      </w:r>
      <w:r w:rsidRPr="00F971D8">
        <w:rPr>
          <w:rFonts w:ascii="Times New Roman" w:eastAsia="宋体" w:hAnsi="Times New Roman" w:cs="Times New Roman"/>
          <w:szCs w:val="21"/>
        </w:rPr>
        <w:t>idiosyncratic volatility, idvol</w:t>
      </w:r>
      <w:r w:rsidRPr="00F971D8">
        <w:rPr>
          <w:rFonts w:ascii="Times New Roman" w:eastAsia="宋体" w:hAnsi="Times New Roman" w:cs="Times New Roman"/>
          <w:szCs w:val="21"/>
        </w:rPr>
        <w:t>）</w:t>
      </w:r>
    </w:p>
    <w:p w14:paraId="3CCAB6C5"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NE.Ref.{4FCE41F1-2841-4ACD-B73C-E4FB84C5B07F}</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Ang, Hodrick, Xing and Zhang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所得特定波动率因子构建方式为：将股票收益率对市场等权重投资组合日收益率进行回归，所得残差的标准差即为特定波动率，计算</w:t>
      </w:r>
      <w:r w:rsidRPr="00F971D8">
        <w:rPr>
          <w:rFonts w:ascii="Times New Roman" w:eastAsia="宋体" w:hAnsi="Times New Roman" w:cs="Times New Roman"/>
          <w:szCs w:val="21"/>
        </w:rPr>
        <w:t>t</w:t>
      </w:r>
      <w:r w:rsidRPr="00F971D8">
        <w:rPr>
          <w:rFonts w:ascii="Times New Roman" w:eastAsia="宋体" w:hAnsi="Times New Roman" w:cs="Times New Roman"/>
          <w:szCs w:val="21"/>
        </w:rPr>
        <w:t>期特定波动率进行回归时所选择数据时间跨度为选择</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月末。其回归模型为：</w:t>
      </w:r>
    </w:p>
    <w:p w14:paraId="47D287F8" w14:textId="77777777" w:rsidR="00DD3167" w:rsidRPr="00F971D8" w:rsidRDefault="00E40C9D" w:rsidP="00DD3167">
      <w:pPr>
        <w:pStyle w:val="Default"/>
        <w:spacing w:line="276" w:lineRule="auto"/>
        <w:ind w:firstLineChars="200" w:firstLine="420"/>
        <w:rPr>
          <w:rFonts w:asciiTheme="minorEastAsia" w:eastAsiaTheme="minorEastAsia" w:hAnsiTheme="minorEastAsia"/>
          <w:sz w:val="21"/>
          <w:szCs w:val="21"/>
        </w:rPr>
      </w:pPr>
      <m:oMathPara>
        <m:oMath>
          <m:sSub>
            <m:sSubPr>
              <m:ctrlPr>
                <w:rPr>
                  <w:rFonts w:ascii="Cambria Math" w:eastAsiaTheme="minorEastAsia" w:hAnsi="Cambria Math" w:hint="eastAsia"/>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i,t</m:t>
              </m:r>
            </m:sub>
          </m:sSub>
          <m:r>
            <w:rPr>
              <w:rFonts w:ascii="Cambria Math" w:eastAsiaTheme="minorEastAsia" w:hAnsi="Cambria Math" w:hint="eastAsia"/>
              <w:sz w:val="21"/>
              <w:szCs w:val="21"/>
            </w:rPr>
            <m:t xml:space="preserve">= </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α</m:t>
              </m:r>
            </m:e>
            <m:sub>
              <m:r>
                <w:rPr>
                  <w:rFonts w:ascii="Cambria Math" w:eastAsiaTheme="minorEastAsia" w:hAnsi="Cambria Math" w:hint="eastAsia"/>
                  <w:sz w:val="21"/>
                  <w:szCs w:val="21"/>
                </w:rPr>
                <m:t>i</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m:t>
              </m:r>
            </m:sub>
          </m:sSub>
          <m:r>
            <w:rPr>
              <w:rFonts w:ascii="MS Mincho" w:eastAsia="MS Mincho" w:hAnsi="MS Mincho" w:cs="MS Mincho"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m,t</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ε</m:t>
              </m:r>
            </m:e>
            <m:sub>
              <m:r>
                <w:rPr>
                  <w:rFonts w:ascii="Cambria Math" w:eastAsiaTheme="minorEastAsia" w:hAnsi="Cambria Math" w:hint="eastAsia"/>
                  <w:sz w:val="21"/>
                  <w:szCs w:val="21"/>
                </w:rPr>
                <m:t>i,t</m:t>
              </m:r>
            </m:sub>
          </m:sSub>
        </m:oMath>
      </m:oMathPara>
    </w:p>
    <w:p w14:paraId="72B71E3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其中</w:t>
      </w:r>
      <m:oMath>
        <m:sSub>
          <m:sSubPr>
            <m:ctrlPr>
              <w:rPr>
                <w:rFonts w:ascii="Cambria Math" w:hAnsi="Cambria Math" w:cs="宋体" w:hint="eastAsia"/>
                <w:color w:val="000000"/>
                <w:kern w:val="0"/>
                <w:szCs w:val="21"/>
              </w:rPr>
            </m:ctrlPr>
          </m:sSubPr>
          <m:e>
            <m:r>
              <w:rPr>
                <w:rFonts w:ascii="Cambria Math" w:hAnsi="Cambria Math" w:hint="eastAsia"/>
                <w:szCs w:val="21"/>
              </w:rPr>
              <m:t>r</m:t>
            </m:r>
          </m:e>
          <m:sub>
            <m:r>
              <w:rPr>
                <w:rFonts w:ascii="Cambria Math" w:hAnsi="Cambria Math" w:hint="eastAsia"/>
                <w:szCs w:val="21"/>
              </w:rPr>
              <m:t>i</m:t>
            </m:r>
          </m:sub>
        </m:sSub>
      </m:oMath>
      <w:r w:rsidRPr="00F971D8">
        <w:rPr>
          <w:rFonts w:ascii="Times New Roman" w:eastAsia="宋体" w:hAnsi="Times New Roman" w:cs="Times New Roman"/>
          <w:szCs w:val="21"/>
        </w:rPr>
        <w:t>和</w:t>
      </w:r>
      <m:oMath>
        <m:sSub>
          <m:sSubPr>
            <m:ctrlPr>
              <w:rPr>
                <w:rFonts w:ascii="Cambria Math" w:hAnsi="Cambria Math" w:cs="宋体" w:hint="eastAsia"/>
                <w:i/>
                <w:color w:val="000000"/>
                <w:kern w:val="0"/>
                <w:szCs w:val="21"/>
              </w:rPr>
            </m:ctrlPr>
          </m:sSubPr>
          <m:e>
            <m:r>
              <w:rPr>
                <w:rFonts w:ascii="Cambria Math" w:hAnsi="Cambria Math" w:hint="eastAsia"/>
                <w:szCs w:val="21"/>
              </w:rPr>
              <m:t>r</m:t>
            </m:r>
          </m:e>
          <m:sub>
            <m:r>
              <w:rPr>
                <w:rFonts w:ascii="Cambria Math" w:hAnsi="Cambria Math" w:hint="eastAsia"/>
                <w:szCs w:val="21"/>
              </w:rPr>
              <m:t>m,t</m:t>
            </m:r>
          </m:sub>
        </m:sSub>
      </m:oMath>
      <w:r w:rsidRPr="00F971D8">
        <w:rPr>
          <w:rFonts w:ascii="Times New Roman" w:eastAsia="宋体" w:hAnsi="Times New Roman" w:cs="Times New Roman"/>
          <w:szCs w:val="21"/>
        </w:rPr>
        <w:t>分别是股票和市场大盘指数的收益率。市场投资组合为上证</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股所有股票等权重构造的股票组合的收益率。计算特定波动率时，要求至少有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个日收益率。</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760F1E1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总波动率（</w:t>
      </w:r>
      <w:r w:rsidRPr="00F971D8">
        <w:rPr>
          <w:rFonts w:ascii="Times New Roman" w:eastAsia="宋体" w:hAnsi="Times New Roman" w:cs="Times New Roman"/>
          <w:szCs w:val="21"/>
        </w:rPr>
        <w:t>total volatility, vol</w:t>
      </w:r>
      <w:r w:rsidRPr="00F971D8">
        <w:rPr>
          <w:rFonts w:ascii="Times New Roman" w:eastAsia="宋体" w:hAnsi="Times New Roman" w:cs="Times New Roman"/>
          <w:szCs w:val="21"/>
        </w:rPr>
        <w:t>）</w:t>
      </w:r>
    </w:p>
    <w:p w14:paraId="3D031B5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NE.Ref.{96922720-3F59-45D2-ACEC-2344D9479DC0}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Ang, Hodrick, Xing and Zhang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所得总波动率因子计算方式为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月月内个股日收益率的标准差，在计算总波动率时，需要至少有</w:t>
      </w:r>
      <w:r w:rsidRPr="00F971D8">
        <w:rPr>
          <w:rFonts w:ascii="Times New Roman" w:eastAsia="宋体" w:hAnsi="Times New Roman" w:cs="Times New Roman"/>
          <w:szCs w:val="21"/>
        </w:rPr>
        <w:t>10</w:t>
      </w:r>
      <w:r w:rsidRPr="00F971D8">
        <w:rPr>
          <w:rFonts w:ascii="Times New Roman" w:eastAsia="宋体" w:hAnsi="Times New Roman" w:cs="Times New Roman"/>
          <w:szCs w:val="21"/>
        </w:rPr>
        <w:t>个交易日数据。</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w:t>
      </w:r>
      <w:r w:rsidRPr="00F971D8">
        <w:rPr>
          <w:rFonts w:ascii="Times New Roman" w:eastAsia="宋体" w:hAnsi="Times New Roman" w:cs="Times New Roman"/>
          <w:szCs w:val="21"/>
        </w:rPr>
        <w:t>volatility,</w:t>
      </w:r>
      <w:r w:rsidRPr="00F971D8">
        <w:rPr>
          <w:rFonts w:ascii="Times New Roman" w:eastAsia="宋体" w:hAnsi="Times New Roman" w:cs="Times New Roman"/>
          <w:szCs w:val="21"/>
        </w:rPr>
        <w:t>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3B3DE77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特定偏态（</w:t>
      </w:r>
      <w:r w:rsidRPr="00F971D8">
        <w:rPr>
          <w:rFonts w:ascii="Times New Roman" w:eastAsia="宋体" w:hAnsi="Times New Roman" w:cs="Times New Roman"/>
          <w:szCs w:val="21"/>
        </w:rPr>
        <w:t>total skewness, idskew</w:t>
      </w:r>
      <w:r w:rsidRPr="00F971D8">
        <w:rPr>
          <w:rFonts w:ascii="Times New Roman" w:eastAsia="宋体" w:hAnsi="Times New Roman" w:cs="Times New Roman"/>
          <w:szCs w:val="21"/>
        </w:rPr>
        <w:t>）</w:t>
      </w:r>
    </w:p>
    <w:p w14:paraId="50E4FBB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NE.Ref.{16716E4C-E24D-4A2E-AE9D-616732D84C45}</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Boyer, Mitton and Vorkink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所得特定偏态因子构建方法为将股票日收益率对市场等权重投资组合日收益率进行回归，所得残差的偏度即为特定偏态，计算</w:t>
      </w:r>
      <w:r w:rsidRPr="00F971D8">
        <w:rPr>
          <w:rFonts w:ascii="Times New Roman" w:eastAsia="宋体" w:hAnsi="Times New Roman" w:cs="Times New Roman"/>
          <w:szCs w:val="21"/>
        </w:rPr>
        <w:t>t</w:t>
      </w:r>
      <w:r w:rsidRPr="00F971D8">
        <w:rPr>
          <w:rFonts w:ascii="Times New Roman" w:eastAsia="宋体" w:hAnsi="Times New Roman" w:cs="Times New Roman"/>
          <w:szCs w:val="21"/>
        </w:rPr>
        <w:t>期特定偏态进行回归时所选择数据时间跨度为选择</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月末。其回归模型为：</w:t>
      </w:r>
    </w:p>
    <w:p w14:paraId="7B9AA779" w14:textId="77777777" w:rsidR="00DD3167" w:rsidRPr="00F971D8" w:rsidRDefault="00E40C9D" w:rsidP="00DD3167">
      <w:pPr>
        <w:spacing w:line="276" w:lineRule="auto"/>
        <w:ind w:firstLineChars="200" w:firstLine="420"/>
        <w:rPr>
          <w:rFonts w:ascii="Times New Roman" w:eastAsia="宋体" w:hAnsi="Times New Roman" w:cs="Times New Roman"/>
          <w:szCs w:val="21"/>
        </w:rPr>
      </w:pPr>
      <m:oMathPara>
        <m:oMath>
          <m:sSub>
            <m:sSubPr>
              <m:ctrlPr>
                <w:rPr>
                  <w:rFonts w:ascii="Cambria Math" w:hAnsi="Cambria Math" w:hint="eastAsia"/>
                  <w:szCs w:val="21"/>
                </w:rPr>
              </m:ctrlPr>
            </m:sSubPr>
            <m:e>
              <m:r>
                <w:rPr>
                  <w:rFonts w:ascii="Cambria Math" w:hAnsi="Cambria Math" w:hint="eastAsia"/>
                  <w:szCs w:val="21"/>
                </w:rPr>
                <m:t>r</m:t>
              </m:r>
            </m:e>
            <m:sub>
              <m:r>
                <w:rPr>
                  <w:rFonts w:ascii="Cambria Math" w:hAnsi="Cambria Math" w:hint="eastAsia"/>
                  <w:szCs w:val="21"/>
                </w:rPr>
                <m:t>i,t</m:t>
              </m:r>
            </m:sub>
          </m:sSub>
          <m:r>
            <w:rPr>
              <w:rFonts w:ascii="Cambria Math" w:hAnsi="Cambria Math" w:hint="eastAsia"/>
              <w:szCs w:val="21"/>
            </w:rPr>
            <m:t xml:space="preserve">= </m:t>
          </m:r>
          <m:sSub>
            <m:sSubPr>
              <m:ctrlPr>
                <w:rPr>
                  <w:rFonts w:ascii="Cambria Math" w:hAnsi="Cambria Math" w:hint="eastAsia"/>
                  <w:i/>
                  <w:szCs w:val="21"/>
                </w:rPr>
              </m:ctrlPr>
            </m:sSubPr>
            <m:e>
              <m:r>
                <w:rPr>
                  <w:rFonts w:ascii="Cambria Math" w:hAnsi="Cambria Math" w:hint="eastAsia"/>
                  <w:szCs w:val="21"/>
                </w:rPr>
                <m:t>α</m:t>
              </m:r>
            </m:e>
            <m:sub>
              <m:r>
                <w:rPr>
                  <w:rFonts w:ascii="Cambria Math" w:hAnsi="Cambria Math" w:hint="eastAsia"/>
                  <w:szCs w:val="21"/>
                </w:rPr>
                <m:t>i</m:t>
              </m:r>
            </m:sub>
          </m:sSub>
          <m:r>
            <w:rPr>
              <w:rFonts w:ascii="Cambria Math" w:hAnsi="Cambria Math" w:hint="eastAsia"/>
              <w:szCs w:val="21"/>
            </w:rPr>
            <m:t>+</m:t>
          </m:r>
          <m:sSub>
            <m:sSubPr>
              <m:ctrlPr>
                <w:rPr>
                  <w:rFonts w:ascii="Cambria Math" w:hAnsi="Cambria Math" w:hint="eastAsia"/>
                  <w:i/>
                  <w:szCs w:val="21"/>
                </w:rPr>
              </m:ctrlPr>
            </m:sSubPr>
            <m:e>
              <m:r>
                <w:rPr>
                  <w:rFonts w:ascii="Cambria Math" w:hAnsi="Cambria Math" w:hint="eastAsia"/>
                  <w:szCs w:val="21"/>
                </w:rPr>
                <m:t>β</m:t>
              </m:r>
            </m:e>
            <m:sub>
              <m:r>
                <w:rPr>
                  <w:rFonts w:ascii="Cambria Math" w:hAnsi="Cambria Math" w:hint="eastAsia"/>
                  <w:szCs w:val="21"/>
                </w:rPr>
                <m:t>i</m:t>
              </m:r>
            </m:sub>
          </m:sSub>
          <m:r>
            <w:rPr>
              <w:rFonts w:ascii="MS Mincho" w:eastAsia="MS Mincho" w:hAnsi="MS Mincho" w:cs="MS Mincho" w:hint="eastAsia"/>
              <w:szCs w:val="21"/>
            </w:rPr>
            <m:t>*</m:t>
          </m:r>
          <m:sSub>
            <m:sSubPr>
              <m:ctrlPr>
                <w:rPr>
                  <w:rFonts w:ascii="Cambria Math" w:hAnsi="Cambria Math" w:hint="eastAsia"/>
                  <w:i/>
                  <w:szCs w:val="21"/>
                </w:rPr>
              </m:ctrlPr>
            </m:sSubPr>
            <m:e>
              <m:r>
                <w:rPr>
                  <w:rFonts w:ascii="Cambria Math" w:hAnsi="Cambria Math" w:hint="eastAsia"/>
                  <w:szCs w:val="21"/>
                </w:rPr>
                <m:t>r</m:t>
              </m:r>
            </m:e>
            <m:sub>
              <m:r>
                <w:rPr>
                  <w:rFonts w:ascii="Cambria Math" w:hAnsi="Cambria Math" w:hint="eastAsia"/>
                  <w:szCs w:val="21"/>
                </w:rPr>
                <m:t>m,t</m:t>
              </m:r>
            </m:sub>
          </m:sSub>
          <m:r>
            <w:rPr>
              <w:rFonts w:ascii="Cambria Math" w:hAnsi="Cambria Math" w:hint="eastAsia"/>
              <w:szCs w:val="21"/>
            </w:rPr>
            <m:t>+</m:t>
          </m:r>
          <m:sSub>
            <m:sSubPr>
              <m:ctrlPr>
                <w:rPr>
                  <w:rFonts w:ascii="Cambria Math" w:hAnsi="Cambria Math" w:hint="eastAsia"/>
                  <w:i/>
                  <w:szCs w:val="21"/>
                </w:rPr>
              </m:ctrlPr>
            </m:sSubPr>
            <m:e>
              <m:r>
                <w:rPr>
                  <w:rFonts w:ascii="Cambria Math" w:hAnsi="Cambria Math" w:hint="eastAsia"/>
                  <w:szCs w:val="21"/>
                </w:rPr>
                <m:t>ε</m:t>
              </m:r>
            </m:e>
            <m:sub>
              <m:r>
                <w:rPr>
                  <w:rFonts w:ascii="Cambria Math" w:hAnsi="Cambria Math" w:hint="eastAsia"/>
                  <w:szCs w:val="21"/>
                </w:rPr>
                <m:t>i,t</m:t>
              </m:r>
            </m:sub>
          </m:sSub>
        </m:oMath>
      </m:oMathPara>
    </w:p>
    <w:p w14:paraId="7717CC0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其中</w:t>
      </w:r>
      <m:oMath>
        <m:sSub>
          <m:sSubPr>
            <m:ctrlPr>
              <w:rPr>
                <w:rFonts w:ascii="Cambria Math" w:hAnsi="Cambria Math" w:cs="宋体" w:hint="eastAsia"/>
                <w:color w:val="000000"/>
                <w:kern w:val="0"/>
                <w:szCs w:val="21"/>
              </w:rPr>
            </m:ctrlPr>
          </m:sSubPr>
          <m:e>
            <m:r>
              <w:rPr>
                <w:rFonts w:ascii="Cambria Math" w:hAnsi="Cambria Math" w:hint="eastAsia"/>
                <w:szCs w:val="21"/>
              </w:rPr>
              <m:t>r</m:t>
            </m:r>
          </m:e>
          <m:sub>
            <m:r>
              <w:rPr>
                <w:rFonts w:ascii="Cambria Math" w:hAnsi="Cambria Math" w:hint="eastAsia"/>
                <w:szCs w:val="21"/>
              </w:rPr>
              <m:t>i</m:t>
            </m:r>
          </m:sub>
        </m:sSub>
      </m:oMath>
      <w:r w:rsidRPr="00F971D8">
        <w:rPr>
          <w:rFonts w:ascii="Times New Roman" w:eastAsia="宋体" w:hAnsi="Times New Roman" w:cs="Times New Roman"/>
          <w:szCs w:val="21"/>
        </w:rPr>
        <w:t>和</w:t>
      </w:r>
      <m:oMath>
        <m:sSub>
          <m:sSubPr>
            <m:ctrlPr>
              <w:rPr>
                <w:rFonts w:ascii="Cambria Math" w:hAnsi="Cambria Math" w:cs="宋体" w:hint="eastAsia"/>
                <w:i/>
                <w:color w:val="000000"/>
                <w:kern w:val="0"/>
                <w:szCs w:val="21"/>
              </w:rPr>
            </m:ctrlPr>
          </m:sSubPr>
          <m:e>
            <m:r>
              <w:rPr>
                <w:rFonts w:ascii="Cambria Math" w:hAnsi="Cambria Math" w:hint="eastAsia"/>
                <w:szCs w:val="21"/>
              </w:rPr>
              <m:t>r</m:t>
            </m:r>
          </m:e>
          <m:sub>
            <m:r>
              <w:rPr>
                <w:rFonts w:ascii="Cambria Math" w:hAnsi="Cambria Math" w:hint="eastAsia"/>
                <w:szCs w:val="21"/>
              </w:rPr>
              <m:t>m,t</m:t>
            </m:r>
          </m:sub>
        </m:sSub>
      </m:oMath>
      <w:r w:rsidRPr="00F971D8">
        <w:rPr>
          <w:rFonts w:ascii="Times New Roman" w:eastAsia="宋体" w:hAnsi="Times New Roman" w:cs="Times New Roman"/>
          <w:szCs w:val="21"/>
        </w:rPr>
        <w:t>分别是股票和市场大盘指数的收益率。市场投资组合为上证</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股所有股票等权重构造的股票组合的收益率。计算特定偏态时，要求至少有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个日收益率。</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66FB5181"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总偏态（</w:t>
      </w:r>
      <w:r w:rsidRPr="00F971D8">
        <w:rPr>
          <w:rFonts w:ascii="Times New Roman" w:eastAsia="宋体" w:hAnsi="Times New Roman" w:cs="Times New Roman"/>
          <w:szCs w:val="21"/>
        </w:rPr>
        <w:t>total skewness, skew</w:t>
      </w:r>
      <w:r w:rsidRPr="00F971D8">
        <w:rPr>
          <w:rFonts w:ascii="Times New Roman" w:eastAsia="宋体" w:hAnsi="Times New Roman" w:cs="Times New Roman"/>
          <w:szCs w:val="21"/>
        </w:rPr>
        <w:t>）</w:t>
      </w:r>
    </w:p>
    <w:p w14:paraId="5272B2C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NE.Ref.{072DBA18-5540-44F4-98B3-1F0A2229B095}</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Amaya, Christoffersen, Jacobs and Vasquez (2015)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所得总偏态构建方法为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月的总偏态为</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月份末到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月份末（即过去一年）的股票日收益率的偏态。计算总偏态时，要求至少有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个日收益率。</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1541723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共同偏态（</w:t>
      </w:r>
      <w:r w:rsidRPr="00F971D8">
        <w:rPr>
          <w:rFonts w:ascii="Times New Roman" w:eastAsia="宋体" w:hAnsi="Times New Roman" w:cs="Times New Roman"/>
          <w:szCs w:val="21"/>
        </w:rPr>
        <w:t>coskewness, coskew</w:t>
      </w:r>
      <w:r w:rsidRPr="00F971D8">
        <w:rPr>
          <w:rFonts w:ascii="Times New Roman" w:eastAsia="宋体" w:hAnsi="Times New Roman" w:cs="Times New Roman"/>
          <w:szCs w:val="21"/>
        </w:rPr>
        <w:t>）</w:t>
      </w:r>
    </w:p>
    <w:p w14:paraId="0AC8178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NE.Ref.{A8CB454A-8C54-4BAC-88C5-5AD5EE6F5B90}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Harvey and Siddique (1999)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所得共同偏态因子构建方式为：计算</w:t>
      </w:r>
      <w:r w:rsidRPr="00F971D8">
        <w:rPr>
          <w:rFonts w:ascii="Times New Roman" w:eastAsia="宋体" w:hAnsi="Times New Roman" w:cs="Times New Roman"/>
          <w:szCs w:val="21"/>
        </w:rPr>
        <w:t>t</w:t>
      </w:r>
      <w:r w:rsidRPr="00F971D8">
        <w:rPr>
          <w:rFonts w:ascii="Times New Roman" w:eastAsia="宋体" w:hAnsi="Times New Roman" w:cs="Times New Roman"/>
          <w:szCs w:val="21"/>
        </w:rPr>
        <w:t>期共同偏态因子，则对</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月末至少包含</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个交易日数据的个股日收益率以及等权重市场投资组合数据进行如下回归，其中市场投资组合收益率平方的系数即为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期共同偏态数值。</w:t>
      </w:r>
    </w:p>
    <w:p w14:paraId="393B6492" w14:textId="77777777" w:rsidR="00DD3167" w:rsidRPr="00F971D8" w:rsidRDefault="00E40C9D" w:rsidP="00DD3167">
      <w:pPr>
        <w:pStyle w:val="Default"/>
        <w:spacing w:line="276" w:lineRule="auto"/>
        <w:ind w:left="360" w:firstLineChars="200" w:firstLine="420"/>
        <w:rPr>
          <w:rFonts w:asciiTheme="minorEastAsia" w:eastAsiaTheme="minorEastAsia" w:hAnsiTheme="minorEastAsia"/>
          <w:sz w:val="21"/>
          <w:szCs w:val="21"/>
        </w:rPr>
      </w:pPr>
      <m:oMathPara>
        <m:oMath>
          <m:sSub>
            <m:sSubPr>
              <m:ctrlPr>
                <w:rPr>
                  <w:rFonts w:ascii="Cambria Math" w:eastAsiaTheme="minorEastAsia" w:hAnsi="Cambria Math" w:hint="eastAsia"/>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i,t</m:t>
              </m:r>
            </m:sub>
          </m:sSub>
          <m:r>
            <w:rPr>
              <w:rFonts w:ascii="Cambria Math" w:eastAsiaTheme="minorEastAsia" w:hAnsi="Cambria Math" w:hint="eastAsia"/>
              <w:sz w:val="21"/>
              <w:szCs w:val="21"/>
            </w:rPr>
            <m:t xml:space="preserve">= </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α</m:t>
              </m:r>
            </m:e>
            <m:sub>
              <m:r>
                <w:rPr>
                  <w:rFonts w:ascii="Cambria Math" w:eastAsiaTheme="minorEastAsia" w:hAnsi="Cambria Math" w:hint="eastAsia"/>
                  <w:sz w:val="21"/>
                  <w:szCs w:val="21"/>
                </w:rPr>
                <m:t>i</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m:t>
              </m:r>
            </m:sub>
          </m:sSub>
          <m:r>
            <w:rPr>
              <w:rFonts w:ascii="MS Mincho" w:eastAsia="MS Mincho" w:hAnsi="MS Mincho" w:cs="MS Mincho"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m,t</m:t>
              </m:r>
            </m:sub>
          </m:sSub>
          <m:r>
            <w:rPr>
              <w:rFonts w:ascii="Cambria Math" w:eastAsiaTheme="minorEastAsia" w:hAnsi="Cambria Math" w:hint="eastAsia"/>
              <w:sz w:val="21"/>
              <w:szCs w:val="21"/>
            </w:rPr>
            <m:t>+coskew</m:t>
          </m:r>
          <m:r>
            <w:rPr>
              <w:rFonts w:ascii="MS Mincho" w:eastAsia="MS Mincho" w:hAnsi="MS Mincho" w:cs="MS Mincho" w:hint="eastAsia"/>
              <w:sz w:val="21"/>
              <w:szCs w:val="21"/>
            </w:rPr>
            <m:t>*</m:t>
          </m:r>
          <m:sSubSup>
            <m:sSubSupPr>
              <m:ctrlPr>
                <w:rPr>
                  <w:rFonts w:ascii="Cambria Math" w:eastAsiaTheme="minorEastAsia" w:hAnsi="Cambria Math" w:hint="eastAsia"/>
                  <w:i/>
                  <w:sz w:val="21"/>
                  <w:szCs w:val="21"/>
                </w:rPr>
              </m:ctrlPr>
            </m:sSubSupPr>
            <m:e>
              <m:r>
                <w:rPr>
                  <w:rFonts w:ascii="Cambria Math" w:eastAsiaTheme="minorEastAsia" w:hAnsi="Cambria Math" w:hint="eastAsia"/>
                  <w:sz w:val="21"/>
                  <w:szCs w:val="21"/>
                </w:rPr>
                <m:t>r</m:t>
              </m:r>
            </m:e>
            <m:sub>
              <m:r>
                <w:rPr>
                  <w:rFonts w:ascii="Cambria Math" w:eastAsiaTheme="minorEastAsia" w:hAnsi="Cambria Math" w:hint="eastAsia"/>
                  <w:sz w:val="21"/>
                  <w:szCs w:val="21"/>
                </w:rPr>
                <m:t>m,t</m:t>
              </m:r>
            </m:sub>
            <m:sup>
              <m:r>
                <w:rPr>
                  <w:rFonts w:ascii="Cambria Math" w:eastAsiaTheme="minorEastAsia" w:hAnsi="Cambria Math" w:hint="eastAsia"/>
                  <w:sz w:val="21"/>
                  <w:szCs w:val="21"/>
                </w:rPr>
                <m:t>2</m:t>
              </m:r>
            </m:sup>
          </m:sSubSup>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ε</m:t>
              </m:r>
            </m:e>
            <m:sub>
              <m:r>
                <w:rPr>
                  <w:rFonts w:ascii="Cambria Math" w:eastAsiaTheme="minorEastAsia" w:hAnsi="Cambria Math" w:hint="eastAsia"/>
                  <w:sz w:val="21"/>
                  <w:szCs w:val="21"/>
                </w:rPr>
                <m:t>i,t</m:t>
              </m:r>
            </m:sub>
          </m:sSub>
        </m:oMath>
      </m:oMathPara>
    </w:p>
    <w:p w14:paraId="368DF64D" w14:textId="77777777" w:rsidR="00DD3167" w:rsidRPr="00F971D8" w:rsidRDefault="00DD3167" w:rsidP="00DD3167">
      <w:pPr>
        <w:spacing w:line="276" w:lineRule="auto"/>
        <w:ind w:firstLineChars="200" w:firstLine="420"/>
        <w:rPr>
          <w:rFonts w:ascii="宋体" w:eastAsia="宋体" w:hAnsi="宋体"/>
          <w:szCs w:val="21"/>
        </w:rPr>
      </w:pPr>
      <w:r w:rsidRPr="00F971D8">
        <w:rPr>
          <w:rFonts w:ascii="宋体" w:eastAsia="宋体" w:hAnsi="宋体" w:hint="eastAsia"/>
          <w:szCs w:val="21"/>
        </w:rPr>
        <w:t>其中</w:t>
      </w:r>
      <m:oMath>
        <m:sSub>
          <m:sSubPr>
            <m:ctrlPr>
              <w:rPr>
                <w:rFonts w:ascii="Cambria Math" w:eastAsia="宋体" w:hAnsi="Cambria Math" w:hint="eastAsia"/>
                <w:szCs w:val="21"/>
              </w:rPr>
            </m:ctrlPr>
          </m:sSubPr>
          <m:e>
            <m:r>
              <w:rPr>
                <w:rFonts w:ascii="Cambria Math" w:eastAsia="宋体" w:hAnsi="Cambria Math" w:hint="eastAsia"/>
                <w:szCs w:val="21"/>
              </w:rPr>
              <m:t>r</m:t>
            </m:r>
          </m:e>
          <m:sub>
            <m:r>
              <w:rPr>
                <w:rFonts w:ascii="Cambria Math" w:eastAsia="宋体" w:hAnsi="Cambria Math" w:hint="eastAsia"/>
                <w:szCs w:val="21"/>
              </w:rPr>
              <m:t>i</m:t>
            </m:r>
          </m:sub>
        </m:sSub>
      </m:oMath>
      <w:r w:rsidRPr="00F971D8">
        <w:rPr>
          <w:rFonts w:ascii="宋体" w:eastAsia="宋体" w:hAnsi="宋体" w:hint="eastAsia"/>
          <w:szCs w:val="21"/>
        </w:rPr>
        <w:t>和</w:t>
      </w:r>
      <m:oMath>
        <m:sSub>
          <m:sSubPr>
            <m:ctrlPr>
              <w:rPr>
                <w:rFonts w:ascii="Cambria Math" w:eastAsia="宋体" w:hAnsi="Cambria Math" w:hint="eastAsia"/>
                <w:i/>
                <w:szCs w:val="21"/>
              </w:rPr>
            </m:ctrlPr>
          </m:sSubPr>
          <m:e>
            <m:r>
              <w:rPr>
                <w:rFonts w:ascii="Cambria Math" w:eastAsia="宋体" w:hAnsi="Cambria Math" w:hint="eastAsia"/>
                <w:szCs w:val="21"/>
              </w:rPr>
              <m:t>r</m:t>
            </m:r>
          </m:e>
          <m:sub>
            <m:r>
              <w:rPr>
                <w:rFonts w:ascii="Cambria Math" w:eastAsia="宋体" w:hAnsi="Cambria Math" w:hint="eastAsia"/>
                <w:szCs w:val="21"/>
              </w:rPr>
              <m:t>m,t</m:t>
            </m:r>
          </m:sub>
        </m:sSub>
      </m:oMath>
      <w:r w:rsidRPr="00F971D8">
        <w:rPr>
          <w:rFonts w:ascii="宋体" w:eastAsia="宋体" w:hAnsi="宋体" w:hint="eastAsia"/>
          <w:szCs w:val="21"/>
        </w:rPr>
        <w:t>分别是股票和市场大盘指数的收益率。市场投资组合为上证</w:t>
      </w:r>
      <w:r w:rsidRPr="00F971D8">
        <w:rPr>
          <w:rFonts w:ascii="宋体" w:eastAsia="宋体" w:hAnsi="宋体"/>
          <w:szCs w:val="21"/>
        </w:rPr>
        <w:t>A股所有股票等权重构造的股票组合的收益率。</w:t>
      </w:r>
      <w:r w:rsidRPr="00F971D8">
        <w:rPr>
          <w:rFonts w:ascii="宋体" w:eastAsia="宋体" w:hAnsi="宋体" w:hint="eastAsia"/>
          <w:szCs w:val="21"/>
        </w:rPr>
        <w:t>在计算出来</w:t>
      </w:r>
      <w:r w:rsidRPr="00F971D8">
        <w:rPr>
          <w:rFonts w:ascii="宋体" w:eastAsia="宋体" w:hAnsi="宋体"/>
          <w:szCs w:val="21"/>
        </w:rPr>
        <w:t>t月的因子数据后，根据因子数据从大到小将</w:t>
      </w:r>
      <w:r w:rsidRPr="00F971D8">
        <w:rPr>
          <w:rFonts w:ascii="宋体" w:eastAsia="宋体" w:hAnsi="宋体"/>
          <w:szCs w:val="21"/>
        </w:rPr>
        <w:lastRenderedPageBreak/>
        <w:t>股票分成十组。然后计算下一个月（t+1）各组股票投资组合的月收益率以及第十组与第一组收益率之差作为因子收益率。以此类推，每月月末都进行一次投资组合的重构，进行因子检测。</w:t>
      </w:r>
    </w:p>
    <w:p w14:paraId="7F2EC9D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交易换手率（</w:t>
      </w:r>
      <w:r w:rsidRPr="00F971D8">
        <w:rPr>
          <w:rFonts w:ascii="Times New Roman" w:eastAsia="宋体" w:hAnsi="Times New Roman" w:cs="Times New Roman"/>
          <w:szCs w:val="21"/>
        </w:rPr>
        <w:t>turnover, turn</w:t>
      </w:r>
      <w:r w:rsidRPr="00F971D8">
        <w:rPr>
          <w:rFonts w:ascii="Times New Roman" w:eastAsia="宋体" w:hAnsi="Times New Roman" w:cs="Times New Roman"/>
          <w:szCs w:val="21"/>
        </w:rPr>
        <w:t>）</w:t>
      </w:r>
    </w:p>
    <w:p w14:paraId="4101AC6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NE.Ref.{0008E78B-D116-47F4-ABF2-20BA56EC1E33}</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Datar, Y. Naik and Radcliffe (1998)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所得交易换手率因子构建方式为</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月末换手率的平均值，其中换手率计算方式为日交易量除以流通股数。在计算交易换手率因子时至少有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个交易日数据。在计算出来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783F8B8F"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交易换手率的波动率（</w:t>
      </w:r>
      <w:r w:rsidRPr="00F971D8">
        <w:rPr>
          <w:rFonts w:ascii="Times New Roman" w:eastAsia="宋体" w:hAnsi="Times New Roman" w:cs="Times New Roman"/>
          <w:szCs w:val="21"/>
        </w:rPr>
        <w:t>volatility of turnover, std_turn</w:t>
      </w:r>
      <w:r w:rsidRPr="00F971D8">
        <w:rPr>
          <w:rFonts w:ascii="Times New Roman" w:eastAsia="宋体" w:hAnsi="Times New Roman" w:cs="Times New Roman"/>
          <w:szCs w:val="21"/>
        </w:rPr>
        <w:t>）</w:t>
      </w:r>
    </w:p>
    <w:p w14:paraId="38D9EA3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NE.Ref.{D36B8D72-45B7-4C8C-9C17-18CF60198BB1}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Tarun Chordia and Anshuman (2001)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所得交易换手率的波动率计算方法为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月内日换手率的标准差即为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月的交易换手率的波动率，其中计算时至少有</w:t>
      </w:r>
      <w:r w:rsidRPr="00F971D8">
        <w:rPr>
          <w:rFonts w:ascii="Times New Roman" w:eastAsia="宋体" w:hAnsi="Times New Roman" w:cs="Times New Roman"/>
          <w:szCs w:val="21"/>
        </w:rPr>
        <w:t>10</w:t>
      </w:r>
      <w:r w:rsidRPr="00F971D8">
        <w:rPr>
          <w:rFonts w:ascii="Times New Roman" w:eastAsia="宋体" w:hAnsi="Times New Roman" w:cs="Times New Roman"/>
          <w:szCs w:val="21"/>
        </w:rPr>
        <w:t>个交易日的数据。在计算出来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1AFBA7E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交易额（</w:t>
      </w:r>
      <w:r w:rsidRPr="00F971D8">
        <w:rPr>
          <w:rFonts w:ascii="Times New Roman" w:eastAsia="宋体" w:hAnsi="Times New Roman" w:cs="Times New Roman"/>
          <w:szCs w:val="21"/>
        </w:rPr>
        <w:t>volume in dollar, volumed</w:t>
      </w:r>
      <w:r w:rsidRPr="00F971D8">
        <w:rPr>
          <w:rFonts w:ascii="Times New Roman" w:eastAsia="宋体" w:hAnsi="Times New Roman" w:cs="Times New Roman"/>
          <w:szCs w:val="21"/>
        </w:rPr>
        <w:t>）</w:t>
      </w:r>
    </w:p>
    <w:p w14:paraId="436469C2"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NE.Ref.{7DC9D3CD-F0E1-4FC8-BFFD-51EE66BC5B96}</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Tarun Chordia and Anshuman (2001)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所得交易额因子计算方式为：将</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月末交易额取均值即为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期交易额因子，在计算因子时至少有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个交易日数据。在计算出来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7E3A1D7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交易额波动率（</w:t>
      </w:r>
      <w:r w:rsidRPr="00F971D8">
        <w:rPr>
          <w:rFonts w:ascii="Times New Roman" w:eastAsia="宋体" w:hAnsi="Times New Roman" w:cs="Times New Roman"/>
          <w:szCs w:val="21"/>
        </w:rPr>
        <w:t>volatility of volume in dollar, std_vol</w:t>
      </w:r>
      <w:r w:rsidRPr="00F971D8">
        <w:rPr>
          <w:rFonts w:ascii="Times New Roman" w:eastAsia="宋体" w:hAnsi="Times New Roman" w:cs="Times New Roman"/>
          <w:szCs w:val="21"/>
        </w:rPr>
        <w:t>）</w:t>
      </w:r>
    </w:p>
    <w:p w14:paraId="1688CD2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NE.Ref.{DD74B94A-6C48-4A0C-83DB-C81B7FC7AEFB}</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Tarun Chordia and Anshuman (2001)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所得交易额波动率因子计算方式为：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月月内交易额的标准差即为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期交易额波动率因子。计算该因子时要求至少有</w:t>
      </w:r>
      <w:r w:rsidRPr="00F971D8">
        <w:rPr>
          <w:rFonts w:ascii="Times New Roman" w:eastAsia="宋体" w:hAnsi="Times New Roman" w:cs="Times New Roman"/>
          <w:szCs w:val="21"/>
        </w:rPr>
        <w:t>10</w:t>
      </w:r>
      <w:r w:rsidRPr="00F971D8">
        <w:rPr>
          <w:rFonts w:ascii="Times New Roman" w:eastAsia="宋体" w:hAnsi="Times New Roman" w:cs="Times New Roman"/>
          <w:szCs w:val="21"/>
        </w:rPr>
        <w:t>个交易日数据。在计算出来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1932F4C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非流动性风险（</w:t>
      </w:r>
      <w:r w:rsidRPr="00F971D8">
        <w:rPr>
          <w:rFonts w:ascii="Times New Roman" w:eastAsia="宋体" w:hAnsi="Times New Roman" w:cs="Times New Roman"/>
          <w:szCs w:val="21"/>
        </w:rPr>
        <w:t>illiquidity, illq</w:t>
      </w:r>
      <w:r w:rsidRPr="00F971D8">
        <w:rPr>
          <w:rFonts w:ascii="Times New Roman" w:eastAsia="宋体" w:hAnsi="Times New Roman" w:cs="Times New Roman"/>
          <w:szCs w:val="21"/>
        </w:rPr>
        <w:t>）</w:t>
      </w:r>
    </w:p>
    <w:p w14:paraId="52E49B0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NE.Ref.{161FD5AA-2194-40A7-916B-6906DCDE2BF0}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Amihud (2002)</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所得非流动性风险因子计算方式为：先计算出</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月末的每日收益率的绝对值除以日交易金额，再将其做平均，最后乘以</w:t>
      </w:r>
      <m:oMath>
        <m:sSup>
          <m:sSupPr>
            <m:ctrlPr>
              <w:rPr>
                <w:rFonts w:ascii="Cambria Math" w:hAnsi="Cambria Math" w:hint="eastAsia"/>
                <w:szCs w:val="21"/>
              </w:rPr>
            </m:ctrlPr>
          </m:sSupPr>
          <m:e>
            <m:r>
              <w:rPr>
                <w:rFonts w:ascii="Cambria Math" w:hAnsi="Cambria Math" w:hint="eastAsia"/>
                <w:szCs w:val="21"/>
              </w:rPr>
              <m:t>10</m:t>
            </m:r>
          </m:e>
          <m:sup>
            <m:r>
              <w:rPr>
                <w:rFonts w:ascii="Cambria Math" w:hAnsi="Cambria Math" w:hint="eastAsia"/>
                <w:szCs w:val="21"/>
              </w:rPr>
              <m:t>6</m:t>
            </m:r>
          </m:sup>
        </m:sSup>
      </m:oMath>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271C529B"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标准化换手率（</w:t>
      </w:r>
      <w:r w:rsidRPr="00F971D8">
        <w:rPr>
          <w:rFonts w:ascii="Times New Roman" w:eastAsia="宋体" w:hAnsi="Times New Roman" w:cs="Times New Roman"/>
          <w:szCs w:val="21"/>
        </w:rPr>
        <w:t>LM</w:t>
      </w:r>
      <w:r w:rsidRPr="00F971D8">
        <w:rPr>
          <w:rFonts w:ascii="Times New Roman" w:eastAsia="宋体" w:hAnsi="Times New Roman" w:cs="Times New Roman"/>
          <w:szCs w:val="21"/>
        </w:rPr>
        <w:t>）</w:t>
      </w:r>
    </w:p>
    <w:p w14:paraId="0499CFD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NE.Ref.{1D35DA7B-3BD1-4D8E-8B68-4F795C3A4596}</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Liu (2006)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所得标准化换手率因子计算方式为：</w:t>
      </w:r>
    </w:p>
    <w:p w14:paraId="1BC7222E" w14:textId="77777777" w:rsidR="00DD3167" w:rsidRPr="00F971D8" w:rsidRDefault="00DD3167" w:rsidP="00DD3167">
      <w:pPr>
        <w:spacing w:line="276" w:lineRule="auto"/>
        <w:ind w:firstLineChars="200" w:firstLine="420"/>
        <w:rPr>
          <w:rFonts w:asciiTheme="minorEastAsia" w:hAnsiTheme="minorEastAsia"/>
          <w:szCs w:val="21"/>
        </w:rPr>
      </w:pPr>
      <m:oMathPara>
        <m:oMath>
          <m:r>
            <w:rPr>
              <w:rFonts w:ascii="Cambria Math" w:hAnsi="Cambria Math" w:hint="eastAsia"/>
              <w:szCs w:val="21"/>
            </w:rPr>
            <m:t>LM=</m:t>
          </m:r>
          <m:d>
            <m:dPr>
              <m:ctrlPr>
                <w:rPr>
                  <w:rFonts w:ascii="Cambria Math" w:hAnsi="Cambria Math" w:hint="eastAsia"/>
                  <w:i/>
                  <w:szCs w:val="21"/>
                </w:rPr>
              </m:ctrlPr>
            </m:dPr>
            <m:e>
              <m:r>
                <w:rPr>
                  <w:rFonts w:ascii="Cambria Math" w:hAnsi="Cambria Math" w:hint="eastAsia"/>
                  <w:szCs w:val="21"/>
                </w:rPr>
                <m:t>Nozd+</m:t>
              </m:r>
              <m:f>
                <m:fPr>
                  <m:ctrlPr>
                    <w:rPr>
                      <w:rFonts w:ascii="Cambria Math" w:hAnsi="Cambria Math" w:hint="eastAsia"/>
                      <w:i/>
                      <w:szCs w:val="21"/>
                    </w:rPr>
                  </m:ctrlPr>
                </m:fPr>
                <m:num>
                  <m:r>
                    <w:rPr>
                      <w:rFonts w:ascii="Cambria Math" w:hAnsi="Cambria Math" w:hint="eastAsia"/>
                      <w:szCs w:val="21"/>
                    </w:rPr>
                    <m:t>1</m:t>
                  </m:r>
                </m:num>
                <m:den>
                  <m:r>
                    <w:rPr>
                      <w:rFonts w:ascii="Cambria Math" w:hAnsi="Cambria Math" w:hint="eastAsia"/>
                      <w:szCs w:val="21"/>
                    </w:rPr>
                    <m:t>turnover</m:t>
                  </m:r>
                  <m:r>
                    <w:rPr>
                      <w:rFonts w:ascii="MS Mincho" w:eastAsia="MS Mincho" w:hAnsi="MS Mincho" w:cs="MS Mincho" w:hint="eastAsia"/>
                      <w:szCs w:val="21"/>
                    </w:rPr>
                    <m:t>*</m:t>
                  </m:r>
                  <m:r>
                    <w:rPr>
                      <w:rFonts w:ascii="Cambria Math" w:hAnsi="Cambria Math" w:hint="eastAsia"/>
                      <w:szCs w:val="21"/>
                    </w:rPr>
                    <m:t>Deflator</m:t>
                  </m:r>
                </m:den>
              </m:f>
            </m:e>
          </m:d>
          <m:r>
            <w:rPr>
              <w:rFonts w:ascii="MS Mincho" w:eastAsia="MS Mincho" w:hAnsi="MS Mincho" w:cs="MS Mincho" w:hint="eastAsia"/>
              <w:szCs w:val="21"/>
            </w:rPr>
            <m:t>*</m:t>
          </m:r>
          <m:f>
            <m:fPr>
              <m:ctrlPr>
                <w:rPr>
                  <w:rFonts w:ascii="Cambria Math" w:hAnsi="Cambria Math" w:hint="eastAsia"/>
                  <w:i/>
                  <w:szCs w:val="21"/>
                </w:rPr>
              </m:ctrlPr>
            </m:fPr>
            <m:num>
              <m:r>
                <w:rPr>
                  <w:rFonts w:ascii="Cambria Math" w:hAnsi="Cambria Math" w:hint="eastAsia"/>
                  <w:szCs w:val="21"/>
                </w:rPr>
                <m:t>21</m:t>
              </m:r>
            </m:num>
            <m:den>
              <m:r>
                <w:rPr>
                  <w:rFonts w:ascii="Cambria Math" w:hAnsi="Cambria Math" w:hint="eastAsia"/>
                  <w:szCs w:val="21"/>
                </w:rPr>
                <m:t>NoTD</m:t>
              </m:r>
            </m:den>
          </m:f>
        </m:oMath>
      </m:oMathPara>
    </w:p>
    <w:p w14:paraId="4177059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其中，</w:t>
      </w:r>
      <w:r w:rsidRPr="00F971D8">
        <w:rPr>
          <w:rFonts w:ascii="Times New Roman" w:eastAsia="宋体" w:hAnsi="Times New Roman" w:cs="Times New Roman"/>
          <w:szCs w:val="21"/>
        </w:rPr>
        <w:t>Nozd</w:t>
      </w:r>
      <w:r w:rsidRPr="00F971D8">
        <w:rPr>
          <w:rFonts w:ascii="Times New Roman" w:eastAsia="宋体" w:hAnsi="Times New Roman" w:cs="Times New Roman"/>
          <w:szCs w:val="21"/>
        </w:rPr>
        <w:t>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月交易量为</w:t>
      </w:r>
      <w:r w:rsidRPr="00F971D8">
        <w:rPr>
          <w:rFonts w:ascii="Times New Roman" w:eastAsia="宋体" w:hAnsi="Times New Roman" w:cs="Times New Roman"/>
          <w:szCs w:val="21"/>
        </w:rPr>
        <w:t>0</w:t>
      </w:r>
      <w:r w:rsidRPr="00F971D8">
        <w:rPr>
          <w:rFonts w:ascii="Times New Roman" w:eastAsia="宋体" w:hAnsi="Times New Roman" w:cs="Times New Roman"/>
          <w:szCs w:val="21"/>
        </w:rPr>
        <w:t>的交易日数目，</w:t>
      </w:r>
      <w:r w:rsidRPr="00F971D8">
        <w:rPr>
          <w:rFonts w:ascii="Times New Roman" w:eastAsia="宋体" w:hAnsi="Times New Roman" w:cs="Times New Roman"/>
          <w:szCs w:val="21"/>
        </w:rPr>
        <w:t>NoTD</w:t>
      </w:r>
      <w:r w:rsidRPr="00F971D8">
        <w:rPr>
          <w:rFonts w:ascii="Times New Roman" w:eastAsia="宋体" w:hAnsi="Times New Roman" w:cs="Times New Roman"/>
          <w:szCs w:val="21"/>
        </w:rPr>
        <w:t>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月交易日数目，</w:t>
      </w:r>
      <w:r w:rsidRPr="00F971D8">
        <w:rPr>
          <w:rFonts w:ascii="Times New Roman" w:eastAsia="宋体" w:hAnsi="Times New Roman" w:cs="Times New Roman"/>
          <w:szCs w:val="21"/>
        </w:rPr>
        <w:t>turnover</w:t>
      </w:r>
      <w:r w:rsidRPr="00F971D8">
        <w:rPr>
          <w:rFonts w:ascii="Times New Roman" w:eastAsia="宋体" w:hAnsi="Times New Roman" w:cs="Times New Roman"/>
          <w:szCs w:val="21"/>
        </w:rPr>
        <w:t>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月日交易换手率之和，</w:t>
      </w:r>
      <w:r w:rsidRPr="00F971D8">
        <w:rPr>
          <w:rFonts w:ascii="Times New Roman" w:eastAsia="宋体" w:hAnsi="Times New Roman" w:cs="Times New Roman"/>
          <w:szCs w:val="21"/>
        </w:rPr>
        <w:t>Deflator</w:t>
      </w:r>
      <w:r w:rsidRPr="00F971D8">
        <w:rPr>
          <w:rFonts w:ascii="Times New Roman" w:eastAsia="宋体" w:hAnsi="Times New Roman" w:cs="Times New Roman"/>
          <w:szCs w:val="21"/>
        </w:rPr>
        <w:t>这里选取</w:t>
      </w:r>
      <w:r w:rsidRPr="00F971D8">
        <w:rPr>
          <w:rFonts w:ascii="Times New Roman" w:eastAsia="宋体" w:hAnsi="Times New Roman" w:cs="Times New Roman"/>
          <w:szCs w:val="21"/>
        </w:rPr>
        <w:t>480,000</w:t>
      </w:r>
      <w:r w:rsidRPr="00F971D8">
        <w:rPr>
          <w:rFonts w:ascii="Times New Roman" w:eastAsia="宋体" w:hAnsi="Times New Roman" w:cs="Times New Roman"/>
          <w:szCs w:val="21"/>
        </w:rPr>
        <w:t>。所计算出来的</w:t>
      </w:r>
      <w:r w:rsidRPr="00F971D8">
        <w:rPr>
          <w:rFonts w:ascii="Times New Roman" w:eastAsia="宋体" w:hAnsi="Times New Roman" w:cs="Times New Roman"/>
          <w:szCs w:val="21"/>
        </w:rPr>
        <w:t>LM</w:t>
      </w:r>
      <w:r w:rsidRPr="00F971D8">
        <w:rPr>
          <w:rFonts w:ascii="Times New Roman" w:eastAsia="宋体" w:hAnsi="Times New Roman" w:cs="Times New Roman"/>
          <w:szCs w:val="21"/>
        </w:rPr>
        <w:t>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月标准化换手</w:t>
      </w:r>
      <w:r w:rsidRPr="00F971D8">
        <w:rPr>
          <w:rFonts w:ascii="Times New Roman" w:eastAsia="宋体" w:hAnsi="Times New Roman" w:cs="Times New Roman"/>
          <w:szCs w:val="21"/>
        </w:rPr>
        <w:lastRenderedPageBreak/>
        <w:t>率。</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0E1E6B9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最大日收益率（</w:t>
      </w:r>
      <w:r w:rsidRPr="00F971D8">
        <w:rPr>
          <w:rFonts w:ascii="Times New Roman" w:eastAsia="宋体" w:hAnsi="Times New Roman" w:cs="Times New Roman"/>
          <w:szCs w:val="21"/>
        </w:rPr>
        <w:t>maximum daily return, retnmat</w:t>
      </w:r>
      <w:r w:rsidRPr="00F971D8">
        <w:rPr>
          <w:rFonts w:ascii="Times New Roman" w:eastAsia="宋体" w:hAnsi="Times New Roman" w:cs="Times New Roman"/>
          <w:szCs w:val="21"/>
        </w:rPr>
        <w:t>）</w:t>
      </w:r>
    </w:p>
    <w:p w14:paraId="4013463E"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NE.Ref.{E198EED7-B68E-4599-BF13-4A177C1FA53E}</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Bali, Cakici and Whitelaw (2008)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所得最大日收益率因子计算方式为：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月中日收益率的最大值作为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月的最大日收益率因子数据，在计算时需要至少</w:t>
      </w:r>
      <w:r w:rsidRPr="00F971D8">
        <w:rPr>
          <w:rFonts w:ascii="Times New Roman" w:eastAsia="宋体" w:hAnsi="Times New Roman" w:cs="Times New Roman"/>
          <w:szCs w:val="21"/>
        </w:rPr>
        <w:t>10</w:t>
      </w:r>
      <w:r w:rsidRPr="00F971D8">
        <w:rPr>
          <w:rFonts w:ascii="Times New Roman" w:eastAsia="宋体" w:hAnsi="Times New Roman" w:cs="Times New Roman"/>
          <w:szCs w:val="21"/>
        </w:rPr>
        <w:t>个交易日的数据。在计算出来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3E7A9B0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股本增长率（</w:t>
      </w:r>
      <w:r w:rsidRPr="00F971D8">
        <w:rPr>
          <w:rFonts w:ascii="Times New Roman" w:eastAsia="宋体" w:hAnsi="Times New Roman" w:cs="Times New Roman"/>
          <w:szCs w:val="21"/>
        </w:rPr>
        <w:t>changes in shares outstanding, sharechg</w:t>
      </w:r>
      <w:r w:rsidRPr="00F971D8">
        <w:rPr>
          <w:rFonts w:ascii="Times New Roman" w:eastAsia="宋体" w:hAnsi="Times New Roman" w:cs="Times New Roman"/>
          <w:szCs w:val="21"/>
        </w:rPr>
        <w:t>）</w:t>
      </w:r>
    </w:p>
    <w:p w14:paraId="009B3C7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NE.Ref.{7C947236-A0CC-40C7-ABB2-6A5CFB4A4372}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Pontiff and Woodgate (2008)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所得股本增长率计算法方式为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月末的流通股本除以</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月末流通股本并同一做差。在计算出来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5E6B1C35"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公司年龄（</w:t>
      </w:r>
      <w:r w:rsidRPr="00F971D8">
        <w:rPr>
          <w:rFonts w:ascii="Times New Roman" w:eastAsia="宋体" w:hAnsi="Times New Roman" w:cs="Times New Roman"/>
          <w:szCs w:val="21"/>
        </w:rPr>
        <w:t>age</w:t>
      </w:r>
      <w:r w:rsidRPr="00F971D8">
        <w:rPr>
          <w:rFonts w:ascii="Times New Roman" w:eastAsia="宋体" w:hAnsi="Times New Roman" w:cs="Times New Roman"/>
          <w:szCs w:val="21"/>
        </w:rPr>
        <w:t>）</w:t>
      </w:r>
    </w:p>
    <w:p w14:paraId="4E2616F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NE.Ref.{82311480-84BC-47E7-B1DF-3AED95EC8EDA}</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Jiang, Lee and Yi (2005)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所得公司年龄因子计算方式为分组日（即</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月份）与公司上市（</w:t>
      </w:r>
      <w:r w:rsidRPr="00F971D8">
        <w:rPr>
          <w:rFonts w:ascii="Times New Roman" w:eastAsia="宋体" w:hAnsi="Times New Roman" w:cs="Times New Roman"/>
          <w:szCs w:val="21"/>
        </w:rPr>
        <w:t>IPO</w:t>
      </w:r>
      <w:r w:rsidRPr="00F971D8">
        <w:rPr>
          <w:rFonts w:ascii="Times New Roman" w:eastAsia="宋体" w:hAnsi="Times New Roman" w:cs="Times New Roman"/>
          <w:szCs w:val="21"/>
        </w:rPr>
        <w:t>）时间之间的年份。在计算出来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264AD9E5"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收益公告异常交易量（</w:t>
      </w:r>
      <w:r w:rsidRPr="00F971D8">
        <w:rPr>
          <w:rFonts w:ascii="Times New Roman" w:eastAsia="宋体" w:hAnsi="Times New Roman" w:cs="Times New Roman"/>
          <w:szCs w:val="21"/>
        </w:rPr>
        <w:t>Abnormal earnings announcement volume</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aeavol</w:t>
      </w:r>
      <w:r w:rsidRPr="00F971D8">
        <w:rPr>
          <w:rFonts w:ascii="Times New Roman" w:eastAsia="宋体" w:hAnsi="Times New Roman" w:cs="Times New Roman" w:hint="eastAsia"/>
          <w:szCs w:val="21"/>
        </w:rPr>
        <w:t>）</w:t>
      </w:r>
    </w:p>
    <w:p w14:paraId="2095DE7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NE.Ref.{C09DB6A4-6F02-42E9-BA16-0FE58779AE67}</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Lerman, Livnat and Mendenhall (2007)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w:t>
      </w:r>
      <w:r w:rsidRPr="00F971D8">
        <w:rPr>
          <w:rFonts w:ascii="Times New Roman" w:eastAsia="宋体" w:hAnsi="Times New Roman" w:cs="Times New Roman"/>
          <w:szCs w:val="21"/>
        </w:rPr>
        <w:t>aeavol</w:t>
      </w:r>
      <w:r w:rsidRPr="00F971D8">
        <w:rPr>
          <w:rFonts w:ascii="Times New Roman" w:eastAsia="宋体" w:hAnsi="Times New Roman" w:cs="Times New Roman"/>
          <w:szCs w:val="21"/>
        </w:rPr>
        <w:t>因子计算方式为：财务报表公布前三天的日交易额均值除以财务报表公布前两周到前六周的日交易额均值之后减去</w:t>
      </w:r>
      <w:r w:rsidRPr="00F971D8">
        <w:rPr>
          <w:rFonts w:ascii="Times New Roman" w:eastAsia="宋体" w:hAnsi="Times New Roman" w:cs="Times New Roman"/>
          <w:szCs w:val="21"/>
        </w:rPr>
        <w:t>1</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30843E84"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价格延迟（</w:t>
      </w:r>
      <w:r w:rsidRPr="00F971D8">
        <w:rPr>
          <w:rFonts w:ascii="Times New Roman" w:eastAsia="宋体" w:hAnsi="Times New Roman" w:cs="Times New Roman"/>
          <w:szCs w:val="21"/>
        </w:rPr>
        <w:t>price-delay</w:t>
      </w:r>
      <w:r w:rsidRPr="00F971D8">
        <w:rPr>
          <w:rFonts w:ascii="Times New Roman" w:eastAsia="宋体" w:hAnsi="Times New Roman" w:cs="Times New Roman"/>
          <w:szCs w:val="21"/>
        </w:rPr>
        <w:t>）</w:t>
      </w:r>
    </w:p>
    <w:p w14:paraId="5C5F2C23"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NE.Ref.{D1D397FC-5ABA-4E7B-B8A1-E84F6E5BCD87}</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Hou and Moskowitz (2005)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所得价格延迟因子计算方法为计算</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月因子时，用</w:t>
      </w:r>
      <w:r w:rsidRPr="00F971D8">
        <w:rPr>
          <w:rFonts w:ascii="Times New Roman" w:eastAsia="宋体" w:hAnsi="Times New Roman" w:cs="Times New Roman"/>
          <w:szCs w:val="21"/>
        </w:rPr>
        <w:t>t-35</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月末的周收益率同市场投资组合收益率数据进行如下两个回归，并计算相应</w:t>
      </w:r>
      <w:r w:rsidRPr="00F971D8">
        <w:rPr>
          <w:rFonts w:ascii="Times New Roman" w:eastAsia="宋体" w:hAnsi="Times New Roman" w:cs="Times New Roman"/>
          <w:szCs w:val="21"/>
        </w:rPr>
        <w:t>R2</w:t>
      </w:r>
      <w:r w:rsidRPr="00F971D8">
        <w:rPr>
          <w:rFonts w:ascii="Times New Roman" w:eastAsia="宋体" w:hAnsi="Times New Roman" w:cs="Times New Roman"/>
          <w:szCs w:val="21"/>
        </w:rPr>
        <w:t>，在安装下面公式计算因子数据。其中要求至少有</w:t>
      </w:r>
      <w:r w:rsidRPr="00F971D8">
        <w:rPr>
          <w:rFonts w:ascii="Times New Roman" w:eastAsia="宋体" w:hAnsi="Times New Roman" w:cs="Times New Roman"/>
          <w:szCs w:val="21"/>
        </w:rPr>
        <w:t>72</w:t>
      </w:r>
      <w:r w:rsidRPr="00F971D8">
        <w:rPr>
          <w:rFonts w:ascii="Times New Roman" w:eastAsia="宋体" w:hAnsi="Times New Roman" w:cs="Times New Roman"/>
          <w:szCs w:val="21"/>
        </w:rPr>
        <w:t>个交易周数据。在计算出来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4A2D20EB" w14:textId="77777777" w:rsidR="00DD3167" w:rsidRPr="00F971D8" w:rsidRDefault="00DD3167" w:rsidP="00DD3167">
      <w:pPr>
        <w:pStyle w:val="2"/>
        <w:spacing w:line="276" w:lineRule="auto"/>
        <w:ind w:left="420"/>
        <w:rPr>
          <w:szCs w:val="21"/>
        </w:rPr>
      </w:pPr>
      <w:bookmarkStart w:id="3" w:name="_Toc1225896"/>
      <w:bookmarkStart w:id="4" w:name="_Toc14985994"/>
      <w:r>
        <w:rPr>
          <w:rFonts w:hint="eastAsia"/>
          <w:szCs w:val="21"/>
        </w:rPr>
        <w:t>(</w:t>
      </w:r>
      <w:r>
        <w:rPr>
          <w:rFonts w:hint="eastAsia"/>
          <w:szCs w:val="21"/>
        </w:rPr>
        <w:t>二</w:t>
      </w:r>
      <w:r>
        <w:rPr>
          <w:szCs w:val="21"/>
        </w:rPr>
        <w:t xml:space="preserve">) </w:t>
      </w:r>
      <w:r w:rsidRPr="00F971D8">
        <w:rPr>
          <w:rFonts w:hint="eastAsia"/>
          <w:szCs w:val="21"/>
        </w:rPr>
        <w:t>动量因子</w:t>
      </w:r>
      <w:bookmarkEnd w:id="3"/>
      <w:bookmarkEnd w:id="4"/>
    </w:p>
    <w:p w14:paraId="4054A7EB"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12</w:t>
      </w:r>
      <w:r w:rsidRPr="00F971D8">
        <w:rPr>
          <w:rFonts w:ascii="Times New Roman" w:eastAsia="宋体" w:hAnsi="Times New Roman" w:cs="Times New Roman"/>
          <w:szCs w:val="21"/>
        </w:rPr>
        <w:t>个月动量</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12-month momentum</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mom12</w:t>
      </w:r>
      <w:r w:rsidRPr="00F971D8">
        <w:rPr>
          <w:rFonts w:ascii="Times New Roman" w:eastAsia="宋体" w:hAnsi="Times New Roman" w:cs="Times New Roman" w:hint="eastAsia"/>
          <w:szCs w:val="21"/>
        </w:rPr>
        <w:t>）</w:t>
      </w:r>
    </w:p>
    <w:p w14:paraId="0ABAC654"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NE.Ref.{50040868-D6CC-4402-B735-532F490D000F}</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Jegadeesh (1990)</w:t>
      </w:r>
      <w:r w:rsidRPr="00F971D8">
        <w:rPr>
          <w:rFonts w:ascii="Times New Roman" w:eastAsia="宋体" w:hAnsi="Times New Roman" w:cs="Times New Roman"/>
          <w:szCs w:val="21"/>
        </w:rPr>
        <w:fldChar w:fldCharType="end"/>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w:t>
      </w:r>
      <w:r w:rsidRPr="00F971D8">
        <w:rPr>
          <w:rFonts w:ascii="Times New Roman" w:eastAsia="宋体" w:hAnsi="Times New Roman" w:cs="Times New Roman"/>
          <w:szCs w:val="21"/>
        </w:rPr>
        <w:t>12</w:t>
      </w:r>
      <w:r w:rsidRPr="00F971D8">
        <w:rPr>
          <w:rFonts w:ascii="Times New Roman" w:eastAsia="宋体" w:hAnsi="Times New Roman" w:cs="Times New Roman"/>
          <w:szCs w:val="21"/>
        </w:rPr>
        <w:t>个月动量因子等于</w:t>
      </w:r>
      <w:r w:rsidRPr="00F971D8">
        <w:rPr>
          <w:rFonts w:ascii="Times New Roman" w:eastAsia="宋体" w:hAnsi="Times New Roman" w:cs="Times New Roman"/>
          <w:szCs w:val="21"/>
        </w:rPr>
        <w:t xml:space="preserve">t-12 </w:t>
      </w:r>
      <w:r w:rsidRPr="00F971D8">
        <w:rPr>
          <w:rFonts w:ascii="Times New Roman" w:eastAsia="宋体" w:hAnsi="Times New Roman" w:cs="Times New Roman"/>
          <w:szCs w:val="21"/>
        </w:rPr>
        <w:t>月份末到</w:t>
      </w:r>
      <w:r w:rsidRPr="00F971D8">
        <w:rPr>
          <w:rFonts w:ascii="Times New Roman" w:eastAsia="宋体" w:hAnsi="Times New Roman" w:cs="Times New Roman"/>
          <w:szCs w:val="21"/>
        </w:rPr>
        <w:t>t-1</w:t>
      </w:r>
      <w:r w:rsidRPr="00F971D8">
        <w:rPr>
          <w:rFonts w:ascii="Times New Roman" w:eastAsia="宋体" w:hAnsi="Times New Roman" w:cs="Times New Roman"/>
          <w:szCs w:val="21"/>
        </w:rPr>
        <w:t>月份末的累计日收益率。在</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月份末，我们按照</w:t>
      </w:r>
      <w:r w:rsidRPr="00F971D8">
        <w:rPr>
          <w:rFonts w:ascii="Times New Roman" w:eastAsia="宋体" w:hAnsi="Times New Roman" w:cs="Times New Roman" w:hint="eastAsia"/>
          <w:szCs w:val="21"/>
        </w:rPr>
        <w:t>mom</w:t>
      </w:r>
      <w:r w:rsidRPr="00F971D8">
        <w:rPr>
          <w:rFonts w:ascii="Times New Roman" w:eastAsia="宋体" w:hAnsi="Times New Roman" w:cs="Times New Roman"/>
          <w:szCs w:val="21"/>
        </w:rPr>
        <w:t>12</w:t>
      </w:r>
      <w:r w:rsidRPr="00F971D8">
        <w:rPr>
          <w:rFonts w:ascii="Times New Roman" w:eastAsia="宋体" w:hAnsi="Times New Roman" w:cs="Times New Roman"/>
          <w:szCs w:val="21"/>
        </w:rPr>
        <w:t>因子将股票等分为十组，再计算</w:t>
      </w:r>
      <w:r w:rsidRPr="00F971D8">
        <w:rPr>
          <w:rFonts w:ascii="Times New Roman" w:eastAsia="宋体" w:hAnsi="Times New Roman" w:cs="Times New Roman"/>
          <w:szCs w:val="21"/>
        </w:rPr>
        <w:t>t+1</w:t>
      </w:r>
      <w:r w:rsidRPr="00F971D8">
        <w:rPr>
          <w:rFonts w:ascii="Times New Roman" w:eastAsia="宋体" w:hAnsi="Times New Roman" w:cs="Times New Roman"/>
          <w:szCs w:val="21"/>
        </w:rPr>
        <w:t>月份的流通市值加权</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等权重</w:t>
      </w:r>
      <w:r w:rsidRPr="00F971D8">
        <w:rPr>
          <w:rFonts w:ascii="Times New Roman" w:eastAsia="宋体" w:hAnsi="Times New Roman" w:cs="Times New Roman"/>
          <w:szCs w:val="21"/>
        </w:rPr>
        <w:t>的各股票组合的月收益率。在每个末组合的月收益率。在每个末重新计算</w:t>
      </w:r>
      <w:r w:rsidRPr="00F971D8">
        <w:rPr>
          <w:rFonts w:ascii="Times New Roman" w:eastAsia="宋体" w:hAnsi="Times New Roman" w:cs="Times New Roman"/>
          <w:szCs w:val="21"/>
        </w:rPr>
        <w:t>12</w:t>
      </w:r>
      <w:r w:rsidRPr="00F971D8">
        <w:rPr>
          <w:rFonts w:ascii="Times New Roman" w:eastAsia="宋体" w:hAnsi="Times New Roman" w:cs="Times New Roman"/>
          <w:szCs w:val="21"/>
        </w:rPr>
        <w:t>个月的动量因子并进行股票分组。</w:t>
      </w:r>
    </w:p>
    <w:p w14:paraId="3A5743D5"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6</w:t>
      </w:r>
      <w:r w:rsidRPr="00F971D8">
        <w:rPr>
          <w:rFonts w:ascii="Times New Roman" w:eastAsia="宋体" w:hAnsi="Times New Roman" w:cs="Times New Roman"/>
          <w:szCs w:val="21"/>
        </w:rPr>
        <w:t>个月动量</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6-month momentum</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mom6</w:t>
      </w:r>
      <w:r w:rsidRPr="00F971D8">
        <w:rPr>
          <w:rFonts w:ascii="Times New Roman" w:eastAsia="宋体" w:hAnsi="Times New Roman" w:cs="Times New Roman" w:hint="eastAsia"/>
          <w:szCs w:val="21"/>
        </w:rPr>
        <w:t>）</w:t>
      </w:r>
    </w:p>
    <w:p w14:paraId="40D20883"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lastRenderedPageBreak/>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NE.Ref.{48EE193D-0092-4588-A8F7-1E04E0F97989}</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Jegadeesh and Titman (1993)</w:t>
      </w:r>
      <w:r w:rsidRPr="00F971D8">
        <w:rPr>
          <w:rFonts w:ascii="Times New Roman" w:eastAsia="宋体" w:hAnsi="Times New Roman" w:cs="Times New Roman"/>
          <w:szCs w:val="21"/>
        </w:rPr>
        <w:fldChar w:fldCharType="end"/>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w:t>
      </w:r>
      <w:r w:rsidRPr="00F971D8">
        <w:rPr>
          <w:rFonts w:ascii="Times New Roman" w:eastAsia="宋体" w:hAnsi="Times New Roman" w:cs="Times New Roman"/>
          <w:szCs w:val="21"/>
        </w:rPr>
        <w:t>6</w:t>
      </w:r>
      <w:r w:rsidRPr="00F971D8">
        <w:rPr>
          <w:rFonts w:ascii="Times New Roman" w:eastAsia="宋体" w:hAnsi="Times New Roman" w:cs="Times New Roman"/>
          <w:szCs w:val="21"/>
        </w:rPr>
        <w:t>个月动量因子等于</w:t>
      </w:r>
      <w:r w:rsidRPr="00F971D8">
        <w:rPr>
          <w:rFonts w:ascii="Times New Roman" w:eastAsia="宋体" w:hAnsi="Times New Roman" w:cs="Times New Roman"/>
          <w:szCs w:val="21"/>
        </w:rPr>
        <w:t xml:space="preserve">t-6 </w:t>
      </w:r>
      <w:r w:rsidRPr="00F971D8">
        <w:rPr>
          <w:rFonts w:ascii="Times New Roman" w:eastAsia="宋体" w:hAnsi="Times New Roman" w:cs="Times New Roman"/>
          <w:szCs w:val="21"/>
        </w:rPr>
        <w:t>月份末到</w:t>
      </w:r>
      <w:r w:rsidRPr="00F971D8">
        <w:rPr>
          <w:rFonts w:ascii="Times New Roman" w:eastAsia="宋体" w:hAnsi="Times New Roman" w:cs="Times New Roman"/>
          <w:szCs w:val="21"/>
        </w:rPr>
        <w:t>t-1</w:t>
      </w:r>
      <w:r w:rsidRPr="00F971D8">
        <w:rPr>
          <w:rFonts w:ascii="Times New Roman" w:eastAsia="宋体" w:hAnsi="Times New Roman" w:cs="Times New Roman"/>
          <w:szCs w:val="21"/>
        </w:rPr>
        <w:t>月份末的累计日收益率。在</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月份末，我们按照</w:t>
      </w:r>
      <w:r w:rsidRPr="00F971D8">
        <w:rPr>
          <w:rFonts w:ascii="Times New Roman" w:eastAsia="宋体" w:hAnsi="Times New Roman" w:cs="Times New Roman" w:hint="eastAsia"/>
          <w:szCs w:val="21"/>
        </w:rPr>
        <w:t>m</w:t>
      </w:r>
      <w:r w:rsidRPr="00F971D8">
        <w:rPr>
          <w:rFonts w:ascii="Times New Roman" w:eastAsia="宋体" w:hAnsi="Times New Roman" w:cs="Times New Roman"/>
          <w:szCs w:val="21"/>
        </w:rPr>
        <w:t>om6</w:t>
      </w:r>
      <w:r w:rsidRPr="00F971D8">
        <w:rPr>
          <w:rFonts w:ascii="Times New Roman" w:eastAsia="宋体" w:hAnsi="Times New Roman" w:cs="Times New Roman"/>
          <w:szCs w:val="21"/>
        </w:rPr>
        <w:t>因子将股票等分为十组，再计算</w:t>
      </w:r>
      <w:r w:rsidRPr="00F971D8">
        <w:rPr>
          <w:rFonts w:ascii="Times New Roman" w:eastAsia="宋体" w:hAnsi="Times New Roman" w:cs="Times New Roman"/>
          <w:szCs w:val="21"/>
        </w:rPr>
        <w:t>t+1</w:t>
      </w:r>
      <w:r w:rsidRPr="00F971D8">
        <w:rPr>
          <w:rFonts w:ascii="Times New Roman" w:eastAsia="宋体" w:hAnsi="Times New Roman" w:cs="Times New Roman"/>
          <w:szCs w:val="21"/>
        </w:rPr>
        <w:t>月份的流通市值加权</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等权重</w:t>
      </w:r>
      <w:r w:rsidRPr="00F971D8">
        <w:rPr>
          <w:rFonts w:ascii="Times New Roman" w:eastAsia="宋体" w:hAnsi="Times New Roman" w:cs="Times New Roman"/>
          <w:szCs w:val="21"/>
        </w:rPr>
        <w:t>的各股票组合的月收益率。在每个末组合的月收益率。在每个末重新计算</w:t>
      </w:r>
      <w:r w:rsidRPr="00F971D8">
        <w:rPr>
          <w:rFonts w:ascii="Times New Roman" w:eastAsia="宋体" w:hAnsi="Times New Roman" w:cs="Times New Roman"/>
          <w:szCs w:val="21"/>
        </w:rPr>
        <w:t>6</w:t>
      </w:r>
      <w:r w:rsidRPr="00F971D8">
        <w:rPr>
          <w:rFonts w:ascii="Times New Roman" w:eastAsia="宋体" w:hAnsi="Times New Roman" w:cs="Times New Roman"/>
          <w:szCs w:val="21"/>
        </w:rPr>
        <w:t>个月的动量因子并进行股票分组。</w:t>
      </w:r>
    </w:p>
    <w:p w14:paraId="549D6407"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36</w:t>
      </w:r>
      <w:r w:rsidRPr="00F971D8">
        <w:rPr>
          <w:rFonts w:ascii="Times New Roman" w:eastAsia="宋体" w:hAnsi="Times New Roman" w:cs="Times New Roman"/>
          <w:szCs w:val="21"/>
        </w:rPr>
        <w:t>个月动量</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3</w:t>
      </w:r>
      <w:r w:rsidRPr="00F971D8">
        <w:rPr>
          <w:rFonts w:ascii="Times New Roman" w:eastAsia="宋体" w:hAnsi="Times New Roman" w:cs="Times New Roman"/>
          <w:szCs w:val="21"/>
        </w:rPr>
        <w:t>6-month momentum</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mom36</w:t>
      </w:r>
      <w:r w:rsidRPr="00F971D8">
        <w:rPr>
          <w:rFonts w:ascii="Times New Roman" w:eastAsia="宋体" w:hAnsi="Times New Roman" w:cs="Times New Roman" w:hint="eastAsia"/>
          <w:szCs w:val="21"/>
        </w:rPr>
        <w:t>）</w:t>
      </w:r>
    </w:p>
    <w:p w14:paraId="35134399"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NE.Ref.{5B47A5DA-399C-4D5A-B60E-7533A5703424}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Jegadeesh and Titman (1993)</w:t>
      </w:r>
      <w:r w:rsidRPr="00F971D8">
        <w:rPr>
          <w:rFonts w:ascii="Times New Roman" w:eastAsia="宋体" w:hAnsi="Times New Roman" w:cs="Times New Roman"/>
          <w:szCs w:val="21"/>
        </w:rPr>
        <w:fldChar w:fldCharType="end"/>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w:t>
      </w:r>
      <w:r w:rsidRPr="00F971D8">
        <w:rPr>
          <w:rFonts w:ascii="Times New Roman" w:eastAsia="宋体" w:hAnsi="Times New Roman" w:cs="Times New Roman" w:hint="eastAsia"/>
          <w:szCs w:val="21"/>
        </w:rPr>
        <w:t>3</w:t>
      </w:r>
      <w:r w:rsidRPr="00F971D8">
        <w:rPr>
          <w:rFonts w:ascii="Times New Roman" w:eastAsia="宋体" w:hAnsi="Times New Roman" w:cs="Times New Roman"/>
          <w:szCs w:val="21"/>
        </w:rPr>
        <w:t>6</w:t>
      </w:r>
      <w:r w:rsidRPr="00F971D8">
        <w:rPr>
          <w:rFonts w:ascii="Times New Roman" w:eastAsia="宋体" w:hAnsi="Times New Roman" w:cs="Times New Roman"/>
          <w:szCs w:val="21"/>
        </w:rPr>
        <w:t>个月动量因子等于</w:t>
      </w:r>
      <w:r w:rsidRPr="00F971D8">
        <w:rPr>
          <w:rFonts w:ascii="Times New Roman" w:eastAsia="宋体" w:hAnsi="Times New Roman" w:cs="Times New Roman"/>
          <w:szCs w:val="21"/>
        </w:rPr>
        <w:t xml:space="preserve">t-36 </w:t>
      </w:r>
      <w:r w:rsidRPr="00F971D8">
        <w:rPr>
          <w:rFonts w:ascii="Times New Roman" w:eastAsia="宋体" w:hAnsi="Times New Roman" w:cs="Times New Roman"/>
          <w:szCs w:val="21"/>
        </w:rPr>
        <w:t>月份末到</w:t>
      </w:r>
      <w:r w:rsidRPr="00F971D8">
        <w:rPr>
          <w:rFonts w:ascii="Times New Roman" w:eastAsia="宋体" w:hAnsi="Times New Roman" w:cs="Times New Roman"/>
          <w:szCs w:val="21"/>
        </w:rPr>
        <w:t>t-13</w:t>
      </w:r>
      <w:r w:rsidRPr="00F971D8">
        <w:rPr>
          <w:rFonts w:ascii="Times New Roman" w:eastAsia="宋体" w:hAnsi="Times New Roman" w:cs="Times New Roman"/>
          <w:szCs w:val="21"/>
        </w:rPr>
        <w:t>月份末的累计日收益率。在</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月份末，我们按照</w:t>
      </w:r>
      <w:r w:rsidRPr="00F971D8">
        <w:rPr>
          <w:rFonts w:ascii="Times New Roman" w:eastAsia="宋体" w:hAnsi="Times New Roman" w:cs="Times New Roman" w:hint="eastAsia"/>
          <w:szCs w:val="21"/>
        </w:rPr>
        <w:t>m</w:t>
      </w:r>
      <w:r w:rsidRPr="00F971D8">
        <w:rPr>
          <w:rFonts w:ascii="Times New Roman" w:eastAsia="宋体" w:hAnsi="Times New Roman" w:cs="Times New Roman"/>
          <w:szCs w:val="21"/>
        </w:rPr>
        <w:t>om36</w:t>
      </w:r>
      <w:r w:rsidRPr="00F971D8">
        <w:rPr>
          <w:rFonts w:ascii="Times New Roman" w:eastAsia="宋体" w:hAnsi="Times New Roman" w:cs="Times New Roman"/>
          <w:szCs w:val="21"/>
        </w:rPr>
        <w:t>因子将股票等分为十组，再计算</w:t>
      </w:r>
      <w:r w:rsidRPr="00F971D8">
        <w:rPr>
          <w:rFonts w:ascii="Times New Roman" w:eastAsia="宋体" w:hAnsi="Times New Roman" w:cs="Times New Roman"/>
          <w:szCs w:val="21"/>
        </w:rPr>
        <w:t>t+1</w:t>
      </w:r>
      <w:r w:rsidRPr="00F971D8">
        <w:rPr>
          <w:rFonts w:ascii="Times New Roman" w:eastAsia="宋体" w:hAnsi="Times New Roman" w:cs="Times New Roman"/>
          <w:szCs w:val="21"/>
        </w:rPr>
        <w:t>月份的流通市值加权</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等权重</w:t>
      </w:r>
      <w:r w:rsidRPr="00F971D8">
        <w:rPr>
          <w:rFonts w:ascii="Times New Roman" w:eastAsia="宋体" w:hAnsi="Times New Roman" w:cs="Times New Roman"/>
          <w:szCs w:val="21"/>
        </w:rPr>
        <w:t>的各股票组合的月收益率。在每个末组合的月收益率。在每个末重新计算</w:t>
      </w:r>
      <w:r w:rsidRPr="00F971D8">
        <w:rPr>
          <w:rFonts w:ascii="Times New Roman" w:eastAsia="宋体" w:hAnsi="Times New Roman" w:cs="Times New Roman" w:hint="eastAsia"/>
          <w:szCs w:val="21"/>
        </w:rPr>
        <w:t>3</w:t>
      </w:r>
      <w:r w:rsidRPr="00F971D8">
        <w:rPr>
          <w:rFonts w:ascii="Times New Roman" w:eastAsia="宋体" w:hAnsi="Times New Roman" w:cs="Times New Roman"/>
          <w:szCs w:val="21"/>
        </w:rPr>
        <w:t>6</w:t>
      </w:r>
      <w:r w:rsidRPr="00F971D8">
        <w:rPr>
          <w:rFonts w:ascii="Times New Roman" w:eastAsia="宋体" w:hAnsi="Times New Roman" w:cs="Times New Roman"/>
          <w:szCs w:val="21"/>
        </w:rPr>
        <w:t>个月的动量因子并进行股票分组。</w:t>
      </w:r>
    </w:p>
    <w:p w14:paraId="3F15235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动量变化（</w:t>
      </w:r>
      <w:r w:rsidRPr="00F971D8">
        <w:rPr>
          <w:rFonts w:ascii="Times New Roman" w:eastAsia="宋体" w:hAnsi="Times New Roman" w:cs="Times New Roman"/>
          <w:szCs w:val="21"/>
        </w:rPr>
        <w:t>Momentum change</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momchg</w:t>
      </w:r>
      <w:r w:rsidRPr="00F971D8">
        <w:rPr>
          <w:rFonts w:ascii="Times New Roman" w:eastAsia="宋体" w:hAnsi="Times New Roman" w:cs="Times New Roman" w:hint="eastAsia"/>
          <w:szCs w:val="21"/>
        </w:rPr>
        <w:t>）</w:t>
      </w:r>
    </w:p>
    <w:p w14:paraId="28FA9E5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NE.Ref.{D3CF8109-D290-4B8B-A818-1484C4DD4205}</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Gettleman and Marks (2006)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t </w:t>
      </w:r>
      <w:r w:rsidRPr="00F971D8">
        <w:rPr>
          <w:rFonts w:ascii="Times New Roman" w:eastAsia="宋体" w:hAnsi="Times New Roman" w:cs="Times New Roman"/>
          <w:szCs w:val="21"/>
        </w:rPr>
        <w:t>月份的动量变化等于</w:t>
      </w:r>
      <w:r w:rsidRPr="00F971D8">
        <w:rPr>
          <w:rFonts w:ascii="Times New Roman" w:eastAsia="宋体" w:hAnsi="Times New Roman" w:cs="Times New Roman"/>
          <w:szCs w:val="21"/>
        </w:rPr>
        <w:t xml:space="preserve"> t-7 </w:t>
      </w:r>
      <w:r w:rsidRPr="00F971D8">
        <w:rPr>
          <w:rFonts w:ascii="Times New Roman" w:eastAsia="宋体" w:hAnsi="Times New Roman" w:cs="Times New Roman"/>
          <w:szCs w:val="21"/>
        </w:rPr>
        <w:t>月份末到</w:t>
      </w:r>
      <w:r w:rsidRPr="00F971D8">
        <w:rPr>
          <w:rFonts w:ascii="Times New Roman" w:eastAsia="宋体" w:hAnsi="Times New Roman" w:cs="Times New Roman"/>
          <w:szCs w:val="21"/>
        </w:rPr>
        <w:t xml:space="preserve"> t-1 </w:t>
      </w:r>
      <w:r w:rsidRPr="00F971D8">
        <w:rPr>
          <w:rFonts w:ascii="Times New Roman" w:eastAsia="宋体" w:hAnsi="Times New Roman" w:cs="Times New Roman"/>
          <w:szCs w:val="21"/>
        </w:rPr>
        <w:t>月份末的动量减去</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月份末到</w:t>
      </w:r>
      <w:r w:rsidRPr="00F971D8">
        <w:rPr>
          <w:rFonts w:ascii="Times New Roman" w:eastAsia="宋体" w:hAnsi="Times New Roman" w:cs="Times New Roman"/>
          <w:szCs w:val="21"/>
        </w:rPr>
        <w:t>t-7</w:t>
      </w:r>
      <w:r w:rsidRPr="00F971D8">
        <w:rPr>
          <w:rFonts w:ascii="Times New Roman" w:eastAsia="宋体" w:hAnsi="Times New Roman" w:cs="Times New Roman"/>
          <w:szCs w:val="21"/>
        </w:rPr>
        <w:t>月份末的动量。在</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月份末，按照动量变化因子将股票等分为十组，再计算</w:t>
      </w:r>
      <w:r w:rsidRPr="00F971D8">
        <w:rPr>
          <w:rFonts w:ascii="Times New Roman" w:eastAsia="宋体" w:hAnsi="Times New Roman" w:cs="Times New Roman"/>
          <w:szCs w:val="21"/>
        </w:rPr>
        <w:t>t+1</w:t>
      </w:r>
      <w:r w:rsidRPr="00F971D8">
        <w:rPr>
          <w:rFonts w:ascii="Times New Roman" w:eastAsia="宋体" w:hAnsi="Times New Roman" w:cs="Times New Roman"/>
          <w:szCs w:val="21"/>
        </w:rPr>
        <w:t>月份的流通市值加权</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等权重</w:t>
      </w:r>
      <w:r w:rsidRPr="00F971D8">
        <w:rPr>
          <w:rFonts w:ascii="Times New Roman" w:eastAsia="宋体" w:hAnsi="Times New Roman" w:cs="Times New Roman"/>
          <w:szCs w:val="21"/>
        </w:rPr>
        <w:t>的各股票组合的月收益率。在每个月末重新计算动量变化因子并进行股票分组。</w:t>
      </w:r>
    </w:p>
    <w:p w14:paraId="319A7875"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异质性动量（</w:t>
      </w:r>
      <w:r w:rsidRPr="00F971D8">
        <w:rPr>
          <w:rFonts w:ascii="Times New Roman" w:eastAsia="宋体" w:hAnsi="Times New Roman" w:cs="Times New Roman"/>
          <w:szCs w:val="21"/>
        </w:rPr>
        <w:t>idiosyncratic momentum, imom</w:t>
      </w:r>
      <w:r w:rsidRPr="00F971D8">
        <w:rPr>
          <w:rFonts w:ascii="Times New Roman" w:eastAsia="宋体" w:hAnsi="Times New Roman" w:cs="Times New Roman"/>
          <w:szCs w:val="21"/>
        </w:rPr>
        <w:t>）</w:t>
      </w:r>
    </w:p>
    <w:p w14:paraId="0E0BE11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NE.Ref.{B2D036E8-974F-4064-9CFB-A330B941EBC1}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Blitz, Huij and Martens (2011)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所得异质动量因子构建方法为将股票日收益率对市场等权重投资组合日收益率进行回归，所得残差的和即为异质性动量，计算</w:t>
      </w:r>
      <w:r w:rsidRPr="00F971D8">
        <w:rPr>
          <w:rFonts w:ascii="Times New Roman" w:eastAsia="宋体" w:hAnsi="Times New Roman" w:cs="Times New Roman"/>
          <w:szCs w:val="21"/>
        </w:rPr>
        <w:t>t</w:t>
      </w:r>
      <w:r w:rsidRPr="00F971D8">
        <w:rPr>
          <w:rFonts w:ascii="Times New Roman" w:eastAsia="宋体" w:hAnsi="Times New Roman" w:cs="Times New Roman"/>
          <w:szCs w:val="21"/>
        </w:rPr>
        <w:t>期特定偏态进行回归时所选择数据时间跨度为选择</w:t>
      </w:r>
      <w:r w:rsidRPr="00F971D8">
        <w:rPr>
          <w:rFonts w:ascii="Times New Roman" w:eastAsia="宋体" w:hAnsi="Times New Roman" w:cs="Times New Roman"/>
          <w:szCs w:val="21"/>
        </w:rPr>
        <w:t>t-11</w:t>
      </w:r>
      <w:r w:rsidRPr="00F971D8">
        <w:rPr>
          <w:rFonts w:ascii="Times New Roman" w:eastAsia="宋体" w:hAnsi="Times New Roman" w:cs="Times New Roman"/>
          <w:szCs w:val="21"/>
        </w:rPr>
        <w:t>月初到</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月末。其回归模型为：</w:t>
      </w:r>
    </w:p>
    <w:p w14:paraId="78C71F38" w14:textId="77777777" w:rsidR="00DD3167" w:rsidRPr="00F971D8" w:rsidRDefault="00E40C9D" w:rsidP="00DD3167">
      <w:pPr>
        <w:pStyle w:val="Default"/>
        <w:spacing w:line="276" w:lineRule="auto"/>
        <w:ind w:firstLineChars="200" w:firstLine="420"/>
        <w:rPr>
          <w:rFonts w:asciiTheme="minorEastAsia" w:eastAsiaTheme="minorEastAsia" w:hAnsiTheme="minorEastAsia"/>
          <w:sz w:val="21"/>
          <w:szCs w:val="21"/>
        </w:rPr>
      </w:pPr>
      <m:oMathPara>
        <m:oMath>
          <m:sSub>
            <m:sSubPr>
              <m:ctrlPr>
                <w:rPr>
                  <w:rFonts w:ascii="Cambria Math" w:eastAsiaTheme="minorEastAsia" w:hAnsi="Cambria Math" w:hint="eastAsia"/>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i,t</m:t>
              </m:r>
            </m:sub>
          </m:sSub>
          <m:r>
            <w:rPr>
              <w:rFonts w:ascii="Cambria Math" w:eastAsiaTheme="minorEastAsia" w:hAnsi="Cambria Math" w:hint="eastAsia"/>
              <w:sz w:val="21"/>
              <w:szCs w:val="21"/>
            </w:rPr>
            <m:t xml:space="preserve">= </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α</m:t>
              </m:r>
            </m:e>
            <m:sub>
              <m:r>
                <w:rPr>
                  <w:rFonts w:ascii="Cambria Math" w:eastAsiaTheme="minorEastAsia" w:hAnsi="Cambria Math" w:hint="eastAsia"/>
                  <w:sz w:val="21"/>
                  <w:szCs w:val="21"/>
                </w:rPr>
                <m:t>i</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β</m:t>
              </m:r>
            </m:e>
            <m:sub>
              <m:r>
                <w:rPr>
                  <w:rFonts w:ascii="Cambria Math" w:eastAsiaTheme="minorEastAsia" w:hAnsi="Cambria Math" w:hint="eastAsia"/>
                  <w:sz w:val="21"/>
                  <w:szCs w:val="21"/>
                </w:rPr>
                <m:t>i</m:t>
              </m:r>
            </m:sub>
          </m:sSub>
          <m:r>
            <w:rPr>
              <w:rFonts w:ascii="MS Mincho" w:eastAsia="MS Mincho" w:hAnsi="MS Mincho" w:cs="MS Mincho"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r</m:t>
              </m:r>
            </m:e>
            <m:sub>
              <m:r>
                <w:rPr>
                  <w:rFonts w:ascii="Cambria Math" w:eastAsiaTheme="minorEastAsia" w:hAnsi="Cambria Math" w:hint="eastAsia"/>
                  <w:sz w:val="21"/>
                  <w:szCs w:val="21"/>
                </w:rPr>
                <m:t>m,t</m:t>
              </m:r>
            </m:sub>
          </m:sSub>
          <m:r>
            <w:rPr>
              <w:rFonts w:ascii="Cambria Math" w:eastAsiaTheme="minorEastAsia" w:hAnsi="Cambria Math" w:hint="eastAsia"/>
              <w:sz w:val="21"/>
              <w:szCs w:val="21"/>
            </w:rPr>
            <m:t>+</m:t>
          </m:r>
          <m:sSub>
            <m:sSubPr>
              <m:ctrlPr>
                <w:rPr>
                  <w:rFonts w:ascii="Cambria Math" w:eastAsiaTheme="minorEastAsia" w:hAnsi="Cambria Math" w:hint="eastAsia"/>
                  <w:i/>
                  <w:sz w:val="21"/>
                  <w:szCs w:val="21"/>
                </w:rPr>
              </m:ctrlPr>
            </m:sSubPr>
            <m:e>
              <m:r>
                <w:rPr>
                  <w:rFonts w:ascii="Cambria Math" w:eastAsiaTheme="minorEastAsia" w:hAnsi="Cambria Math" w:hint="eastAsia"/>
                  <w:sz w:val="21"/>
                  <w:szCs w:val="21"/>
                </w:rPr>
                <m:t>ε</m:t>
              </m:r>
            </m:e>
            <m:sub>
              <m:r>
                <w:rPr>
                  <w:rFonts w:ascii="Cambria Math" w:eastAsiaTheme="minorEastAsia" w:hAnsi="Cambria Math" w:hint="eastAsia"/>
                  <w:sz w:val="21"/>
                  <w:szCs w:val="21"/>
                </w:rPr>
                <m:t>i,t</m:t>
              </m:r>
            </m:sub>
          </m:sSub>
        </m:oMath>
      </m:oMathPara>
    </w:p>
    <w:p w14:paraId="0A05AED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其中</w:t>
      </w:r>
      <w:r w:rsidRPr="00F971D8">
        <w:rPr>
          <w:rFonts w:ascii="Times New Roman" w:eastAsia="宋体" w:hAnsi="Times New Roman" w:cs="Times New Roman"/>
          <w:szCs w:val="21"/>
        </w:rPr>
        <w:t>r_i</w:t>
      </w:r>
      <w:r w:rsidRPr="00F971D8">
        <w:rPr>
          <w:rFonts w:ascii="Times New Roman" w:eastAsia="宋体" w:hAnsi="Times New Roman" w:cs="Times New Roman"/>
          <w:szCs w:val="21"/>
        </w:rPr>
        <w:t>和</w:t>
      </w:r>
      <w:r w:rsidRPr="00F971D8">
        <w:rPr>
          <w:rFonts w:ascii="Times New Roman" w:eastAsia="宋体" w:hAnsi="Times New Roman" w:cs="Times New Roman"/>
          <w:szCs w:val="21"/>
        </w:rPr>
        <w:t>r_(m,t)</w:t>
      </w:r>
      <w:r w:rsidRPr="00F971D8">
        <w:rPr>
          <w:rFonts w:ascii="Times New Roman" w:eastAsia="宋体" w:hAnsi="Times New Roman" w:cs="Times New Roman"/>
          <w:szCs w:val="21"/>
        </w:rPr>
        <w:t>分别是股票和市场大盘指数的收益率。市场投资组合为上证</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股所有股票等权重构造的股票组合的收益率。计算异质性动量时，要求至少有</w:t>
      </w:r>
      <w:r w:rsidRPr="00F971D8">
        <w:rPr>
          <w:rFonts w:ascii="Times New Roman" w:eastAsia="宋体" w:hAnsi="Times New Roman" w:cs="Times New Roman"/>
          <w:szCs w:val="21"/>
        </w:rPr>
        <w:t>120</w:t>
      </w:r>
      <w:r w:rsidRPr="00F971D8">
        <w:rPr>
          <w:rFonts w:ascii="Times New Roman" w:eastAsia="宋体" w:hAnsi="Times New Roman" w:cs="Times New Roman"/>
          <w:szCs w:val="21"/>
        </w:rPr>
        <w:t>个日收益率。</w:t>
      </w:r>
      <w:r w:rsidRPr="00F971D8">
        <w:rPr>
          <w:rFonts w:ascii="Times New Roman" w:eastAsia="宋体" w:hAnsi="Times New Roman" w:cs="Times New Roman" w:hint="eastAsia"/>
          <w:szCs w:val="21"/>
        </w:rPr>
        <w:t>在计算出来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月的因子数据后，根据因子数据从大到小将股票分成十组。然后计算下一个月（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）各组股票投资组合的月收益率以及第十组与第一组收益率之差作为因子收益率。以此类推，每月月末都进行一次投资组合的重构，进行因子检测。</w:t>
      </w:r>
    </w:p>
    <w:p w14:paraId="17104AFD"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短期反转（</w:t>
      </w:r>
      <w:r w:rsidRPr="00F971D8">
        <w:rPr>
          <w:rFonts w:ascii="Times New Roman" w:eastAsia="宋体" w:hAnsi="Times New Roman" w:cs="Times New Roman"/>
          <w:szCs w:val="21"/>
        </w:rPr>
        <w:t>short-term reversal, lagretn</w:t>
      </w:r>
      <w:r w:rsidRPr="00F971D8">
        <w:rPr>
          <w:rFonts w:ascii="Times New Roman" w:eastAsia="宋体" w:hAnsi="Times New Roman" w:cs="Times New Roman" w:hint="eastAsia"/>
          <w:szCs w:val="21"/>
        </w:rPr>
        <w:t>）</w:t>
      </w:r>
    </w:p>
    <w:p w14:paraId="6719953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NE.Ref.{57772A85-BC18-4151-BBCF-A06A5A468EBB}</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Jegadeesh and Titman (1993)</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，短期反转即为上个月的月收益率。计算</w:t>
      </w:r>
      <w:r w:rsidRPr="00F971D8">
        <w:rPr>
          <w:rFonts w:ascii="Times New Roman" w:eastAsia="宋体" w:hAnsi="Times New Roman" w:cs="Times New Roman"/>
          <w:szCs w:val="21"/>
        </w:rPr>
        <w:t xml:space="preserve">t </w:t>
      </w:r>
      <w:r w:rsidRPr="00F971D8">
        <w:rPr>
          <w:rFonts w:ascii="Times New Roman" w:eastAsia="宋体" w:hAnsi="Times New Roman" w:cs="Times New Roman"/>
          <w:szCs w:val="21"/>
        </w:rPr>
        <w:t>月份股票的月收益率，在</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月末按照此因子将股票等分为十组，再计算</w:t>
      </w:r>
      <w:r w:rsidRPr="00F971D8">
        <w:rPr>
          <w:rFonts w:ascii="Times New Roman" w:eastAsia="宋体" w:hAnsi="Times New Roman" w:cs="Times New Roman"/>
          <w:szCs w:val="21"/>
        </w:rPr>
        <w:t>t+1</w:t>
      </w:r>
      <w:r w:rsidRPr="00F971D8">
        <w:rPr>
          <w:rFonts w:ascii="Times New Roman" w:eastAsia="宋体" w:hAnsi="Times New Roman" w:cs="Times New Roman"/>
          <w:szCs w:val="21"/>
        </w:rPr>
        <w:t>月份的流通市值加权的各股票组合的月收益率。在每个月末重新计算这个月的月收益率并重新进行股票分组。</w:t>
      </w:r>
    </w:p>
    <w:p w14:paraId="5B7D4500" w14:textId="77777777" w:rsidR="00DD3167" w:rsidRPr="00F971D8" w:rsidRDefault="00DD3167" w:rsidP="00DD3167">
      <w:pPr>
        <w:pStyle w:val="2"/>
        <w:spacing w:line="276" w:lineRule="auto"/>
        <w:ind w:left="420"/>
        <w:rPr>
          <w:szCs w:val="21"/>
        </w:rPr>
      </w:pPr>
      <w:bookmarkStart w:id="5" w:name="_Toc1225897"/>
      <w:bookmarkStart w:id="6" w:name="_Toc14985995"/>
      <w:r>
        <w:rPr>
          <w:rFonts w:hint="eastAsia"/>
          <w:szCs w:val="21"/>
        </w:rPr>
        <w:t>(</w:t>
      </w:r>
      <w:r>
        <w:rPr>
          <w:rFonts w:hint="eastAsia"/>
          <w:szCs w:val="21"/>
        </w:rPr>
        <w:t>三</w:t>
      </w:r>
      <w:r>
        <w:rPr>
          <w:szCs w:val="21"/>
        </w:rPr>
        <w:t xml:space="preserve">) </w:t>
      </w:r>
      <w:r w:rsidRPr="00F971D8">
        <w:rPr>
          <w:szCs w:val="21"/>
        </w:rPr>
        <w:t>价值因子</w:t>
      </w:r>
      <w:bookmarkEnd w:id="5"/>
      <w:bookmarkEnd w:id="6"/>
      <w:r w:rsidRPr="00F971D8">
        <w:rPr>
          <w:szCs w:val="21"/>
        </w:rPr>
        <w:tab/>
      </w:r>
      <w:r w:rsidRPr="00F971D8">
        <w:rPr>
          <w:szCs w:val="21"/>
        </w:rPr>
        <w:tab/>
      </w:r>
      <w:r w:rsidRPr="00F971D8">
        <w:rPr>
          <w:szCs w:val="21"/>
        </w:rPr>
        <w:tab/>
      </w:r>
      <w:r w:rsidRPr="00F971D8">
        <w:rPr>
          <w:szCs w:val="21"/>
        </w:rPr>
        <w:tab/>
      </w:r>
      <w:r w:rsidRPr="00F971D8">
        <w:rPr>
          <w:szCs w:val="21"/>
        </w:rPr>
        <w:tab/>
      </w:r>
      <w:r w:rsidRPr="00F971D8">
        <w:rPr>
          <w:szCs w:val="21"/>
        </w:rPr>
        <w:tab/>
      </w:r>
      <w:r w:rsidRPr="00F971D8">
        <w:rPr>
          <w:szCs w:val="21"/>
        </w:rPr>
        <w:tab/>
      </w:r>
    </w:p>
    <w:p w14:paraId="6FCD06C9"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账面市值比</w:t>
      </w:r>
      <w:r w:rsidRPr="00F971D8">
        <w:rPr>
          <w:rFonts w:ascii="Times New Roman" w:eastAsia="宋体" w:hAnsi="Times New Roman" w:cs="Times New Roman"/>
          <w:szCs w:val="21"/>
        </w:rPr>
        <w:t xml:space="preserve"> (book-to-market ratio, BM) </w:t>
      </w:r>
    </w:p>
    <w:p w14:paraId="278A3B8A"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NE.Ref.{764F57F2-D50F-4F02-A3CA-03544573B20A}</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Rosenberg, Reid and Lanstein (1985)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公司账面市值比等于月末</w:t>
      </w:r>
      <w:r w:rsidRPr="00F971D8">
        <w:rPr>
          <w:rFonts w:ascii="Times New Roman" w:eastAsia="宋体" w:hAnsi="Times New Roman" w:cs="Times New Roman"/>
          <w:szCs w:val="21"/>
        </w:rPr>
        <w:t xml:space="preserve"> A </w:t>
      </w:r>
      <w:r w:rsidRPr="00F971D8">
        <w:rPr>
          <w:rFonts w:ascii="Times New Roman" w:eastAsia="宋体" w:hAnsi="Times New Roman" w:cs="Times New Roman"/>
          <w:szCs w:val="21"/>
        </w:rPr>
        <w:t>股流通股数除以总股数乘以所有者权益合计除以</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股流通市值。所有者权益合计来自国泰安的资产负债表，季度更新。</w:t>
      </w:r>
      <w:r w:rsidRPr="00F971D8">
        <w:rPr>
          <w:rFonts w:ascii="Times New Roman" w:eastAsia="宋体" w:hAnsi="Times New Roman" w:cs="Times New Roman" w:hint="eastAsia"/>
          <w:szCs w:val="21"/>
        </w:rPr>
        <w:t>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月底的所有者权益合计数据和</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月底的股本及</w:t>
      </w:r>
      <w:r w:rsidRPr="00F971D8">
        <w:rPr>
          <w:rFonts w:ascii="Times New Roman" w:eastAsia="宋体" w:hAnsi="Times New Roman" w:cs="Times New Roman" w:hint="eastAsia"/>
          <w:szCs w:val="21"/>
        </w:rPr>
        <w:t>市值数据计算公司的账面市值比，此因子用在</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7D1AF3F9"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行业调整账面市值比（</w:t>
      </w:r>
      <w:r w:rsidRPr="00F971D8">
        <w:rPr>
          <w:rFonts w:ascii="Times New Roman" w:eastAsia="宋体" w:hAnsi="Times New Roman" w:cs="Times New Roman"/>
          <w:szCs w:val="21"/>
        </w:rPr>
        <w:t>Industry adjusted book-to-market ratio</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B</w:t>
      </w:r>
      <w:r w:rsidRPr="00F971D8">
        <w:rPr>
          <w:rFonts w:ascii="Times New Roman" w:eastAsia="宋体" w:hAnsi="Times New Roman" w:cs="Times New Roman"/>
          <w:szCs w:val="21"/>
        </w:rPr>
        <w:t>M_</w:t>
      </w:r>
      <w:r w:rsidRPr="00F971D8">
        <w:rPr>
          <w:rFonts w:ascii="Times New Roman" w:eastAsia="宋体" w:hAnsi="Times New Roman" w:cs="Times New Roman" w:hint="eastAsia"/>
          <w:szCs w:val="21"/>
        </w:rPr>
        <w:t>ia</w:t>
      </w:r>
      <w:r w:rsidRPr="00F971D8">
        <w:rPr>
          <w:rFonts w:ascii="Times New Roman" w:eastAsia="宋体" w:hAnsi="Times New Roman" w:cs="Times New Roman" w:hint="eastAsia"/>
          <w:szCs w:val="21"/>
        </w:rPr>
        <w:t>）</w:t>
      </w:r>
    </w:p>
    <w:p w14:paraId="0E0E854E"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NE.Ref.{AB4A564E-454C-4BB8-8BEE-32401064DAB1}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Asness, Porter and Stevens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，参考证监会</w:t>
      </w:r>
      <w:r w:rsidRPr="00F971D8">
        <w:rPr>
          <w:rFonts w:ascii="Times New Roman" w:eastAsia="宋体" w:hAnsi="Times New Roman" w:cs="Times New Roman"/>
          <w:szCs w:val="21"/>
        </w:rPr>
        <w:t>2012</w:t>
      </w:r>
      <w:r w:rsidRPr="00F971D8">
        <w:rPr>
          <w:rFonts w:ascii="Times New Roman" w:eastAsia="宋体" w:hAnsi="Times New Roman" w:cs="Times New Roman"/>
          <w:szCs w:val="21"/>
        </w:rPr>
        <w:t>版行业分类，去除金融类股票后共包含</w:t>
      </w:r>
      <w:r w:rsidRPr="00F971D8">
        <w:rPr>
          <w:rFonts w:ascii="Times New Roman" w:eastAsia="宋体" w:hAnsi="Times New Roman" w:cs="Times New Roman"/>
          <w:szCs w:val="21"/>
        </w:rPr>
        <w:t>18</w:t>
      </w:r>
      <w:r w:rsidRPr="00F971D8">
        <w:rPr>
          <w:rFonts w:ascii="Times New Roman" w:eastAsia="宋体" w:hAnsi="Times New Roman" w:cs="Times New Roman"/>
          <w:szCs w:val="21"/>
        </w:rPr>
        <w:t>个行业，在每个月月末（</w:t>
      </w:r>
      <w:r w:rsidRPr="00F971D8">
        <w:rPr>
          <w:rFonts w:ascii="Times New Roman" w:eastAsia="宋体" w:hAnsi="Times New Roman" w:cs="Times New Roman"/>
          <w:szCs w:val="21"/>
        </w:rPr>
        <w:t>t</w:t>
      </w:r>
      <w:r w:rsidRPr="00F971D8">
        <w:rPr>
          <w:rFonts w:ascii="Times New Roman" w:eastAsia="宋体" w:hAnsi="Times New Roman" w:cs="Times New Roman"/>
          <w:szCs w:val="21"/>
        </w:rPr>
        <w:t>），将每只股票的</w:t>
      </w:r>
      <w:r w:rsidRPr="00F971D8">
        <w:rPr>
          <w:rFonts w:ascii="Times New Roman" w:eastAsia="宋体" w:hAnsi="Times New Roman" w:cs="Times New Roman"/>
          <w:szCs w:val="21"/>
        </w:rPr>
        <w:t>BM</w:t>
      </w:r>
      <w:r w:rsidRPr="00F971D8">
        <w:rPr>
          <w:rFonts w:ascii="Times New Roman" w:eastAsia="宋体" w:hAnsi="Times New Roman" w:cs="Times New Roman" w:hint="eastAsia"/>
          <w:szCs w:val="21"/>
        </w:rPr>
        <w:t>因子数据</w:t>
      </w:r>
      <w:r w:rsidRPr="00F971D8">
        <w:rPr>
          <w:rFonts w:ascii="Times New Roman" w:eastAsia="宋体" w:hAnsi="Times New Roman" w:cs="Times New Roman"/>
          <w:szCs w:val="21"/>
        </w:rPr>
        <w:t>减去其所在行业所有</w:t>
      </w:r>
      <w:r w:rsidRPr="00F971D8">
        <w:rPr>
          <w:rFonts w:ascii="Times New Roman" w:eastAsia="宋体" w:hAnsi="Times New Roman" w:cs="Times New Roman"/>
          <w:szCs w:val="21"/>
        </w:rPr>
        <w:lastRenderedPageBreak/>
        <w:t>股票</w:t>
      </w:r>
      <w:r w:rsidRPr="00F971D8">
        <w:rPr>
          <w:rFonts w:ascii="Times New Roman" w:eastAsia="宋体" w:hAnsi="Times New Roman" w:cs="Times New Roman"/>
          <w:szCs w:val="21"/>
        </w:rPr>
        <w:t>BM</w:t>
      </w:r>
      <w:r w:rsidRPr="00F971D8">
        <w:rPr>
          <w:rFonts w:ascii="Times New Roman" w:eastAsia="宋体" w:hAnsi="Times New Roman" w:cs="Times New Roman" w:hint="eastAsia"/>
          <w:szCs w:val="21"/>
        </w:rPr>
        <w:t>因子</w:t>
      </w:r>
      <w:r w:rsidRPr="00F971D8">
        <w:rPr>
          <w:rFonts w:ascii="Times New Roman" w:eastAsia="宋体" w:hAnsi="Times New Roman" w:cs="Times New Roman"/>
          <w:szCs w:val="21"/>
        </w:rPr>
        <w:t>均值，即为</w:t>
      </w:r>
      <w:r w:rsidRPr="00F971D8">
        <w:rPr>
          <w:rFonts w:ascii="Times New Roman" w:eastAsia="宋体" w:hAnsi="Times New Roman" w:cs="Times New Roman"/>
          <w:szCs w:val="21"/>
        </w:rPr>
        <w:t>BMe_ia</w:t>
      </w:r>
      <w:r w:rsidRPr="00F971D8">
        <w:rPr>
          <w:rFonts w:ascii="Times New Roman" w:eastAsia="宋体" w:hAnsi="Times New Roman" w:cs="Times New Roman"/>
          <w:szCs w:val="21"/>
        </w:rPr>
        <w:t>因子值，按照月末</w:t>
      </w:r>
      <w:r w:rsidRPr="00F971D8">
        <w:rPr>
          <w:rFonts w:ascii="Times New Roman" w:eastAsia="宋体" w:hAnsi="Times New Roman" w:cs="Times New Roman" w:hint="eastAsia"/>
          <w:szCs w:val="21"/>
        </w:rPr>
        <w:t>B</w:t>
      </w:r>
      <w:r w:rsidRPr="00F971D8">
        <w:rPr>
          <w:rFonts w:ascii="Times New Roman" w:eastAsia="宋体" w:hAnsi="Times New Roman" w:cs="Times New Roman"/>
          <w:szCs w:val="21"/>
        </w:rPr>
        <w:t>M_ia</w:t>
      </w:r>
      <w:r w:rsidRPr="00F971D8">
        <w:rPr>
          <w:rFonts w:ascii="Times New Roman" w:eastAsia="宋体" w:hAnsi="Times New Roman" w:cs="Times New Roman"/>
          <w:szCs w:val="21"/>
        </w:rPr>
        <w:t>将所有股票等分为</w:t>
      </w:r>
      <w:r w:rsidRPr="00F971D8">
        <w:rPr>
          <w:rFonts w:ascii="Times New Roman" w:eastAsia="宋体" w:hAnsi="Times New Roman" w:cs="Times New Roman"/>
          <w:szCs w:val="21"/>
        </w:rPr>
        <w:t>10</w:t>
      </w:r>
      <w:r w:rsidRPr="00F971D8">
        <w:rPr>
          <w:rFonts w:ascii="Times New Roman" w:eastAsia="宋体" w:hAnsi="Times New Roman" w:cs="Times New Roman"/>
          <w:szCs w:val="21"/>
        </w:rPr>
        <w:t>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）各组流通市值加权</w:t>
      </w:r>
      <w:r w:rsidRPr="00F971D8">
        <w:rPr>
          <w:rFonts w:ascii="Times New Roman" w:eastAsia="宋体" w:hAnsi="Times New Roman" w:cs="Times New Roman"/>
          <w:szCs w:val="21"/>
        </w:rPr>
        <w:t>/</w:t>
      </w:r>
      <w:r w:rsidRPr="00F971D8">
        <w:rPr>
          <w:rFonts w:ascii="Times New Roman" w:eastAsia="宋体" w:hAnsi="Times New Roman" w:cs="Times New Roman"/>
          <w:szCs w:val="21"/>
        </w:rPr>
        <w:t>等权重的股票组合的月收益率及第十组与第一组收益率之差即为因子收益率，以此类推。</w:t>
      </w:r>
    </w:p>
    <w:p w14:paraId="5E1CBFE6"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总资产市值比</w:t>
      </w:r>
      <w:r w:rsidRPr="00F971D8">
        <w:rPr>
          <w:rFonts w:ascii="Times New Roman" w:eastAsia="宋体" w:hAnsi="Times New Roman" w:cs="Times New Roman"/>
          <w:szCs w:val="21"/>
        </w:rPr>
        <w:t xml:space="preserve"> (asset-to-market ratio, AM) </w:t>
      </w:r>
    </w:p>
    <w:p w14:paraId="0FFACE19"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NE.Ref.{B5CCA5E2-C45C-4780-985B-E5EE54C55CB2}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Bhandari (1988)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，总资产市值比等于总资产合计除以</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月底的总资产合计除以去年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股流通市值，计算公司总资产市值比，此因子用在在今年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月份的股票分组中。以此类推，使用今年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月底的股票分组。使用今年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23C14C02"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总负债市值比</w:t>
      </w:r>
      <w:r w:rsidRPr="00F971D8">
        <w:rPr>
          <w:rFonts w:ascii="Times New Roman" w:eastAsia="宋体" w:hAnsi="Times New Roman" w:cs="Times New Roman"/>
          <w:szCs w:val="21"/>
        </w:rPr>
        <w:t xml:space="preserve"> (liabilities-to-market ratio, LEV) </w:t>
      </w:r>
    </w:p>
    <w:p w14:paraId="498DA1A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NE.Ref.{E7D798FB-6AC2-40CE-B079-8785A59E9D74}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Bhandari (1988)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，总负债市值比等于总负债除以</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月底的总负债和</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月底的市值数据，计算公司负债市值比，此因子用在今年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月底的股票分组。使用今年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59801F1F"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收益价格比</w:t>
      </w:r>
      <w:r w:rsidRPr="00F971D8">
        <w:rPr>
          <w:rFonts w:ascii="Times New Roman" w:eastAsia="宋体" w:hAnsi="Times New Roman" w:cs="Times New Roman"/>
          <w:szCs w:val="21"/>
        </w:rPr>
        <w:t xml:space="preserve"> (earnings-to-price ratio, EP) </w:t>
      </w:r>
    </w:p>
    <w:p w14:paraId="2336C7B9"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NE.Ref.{15AFA8E5-2624-4F68-8EA5-2D9D673F0F62}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Basu (1977)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，收益价格比</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等于净利润除以</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月底的净利润和</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股流通市值的数据计算</w:t>
      </w:r>
      <w:r w:rsidRPr="00F971D8">
        <w:rPr>
          <w:rFonts w:ascii="Times New Roman" w:eastAsia="宋体" w:hAnsi="Times New Roman" w:cs="Times New Roman"/>
          <w:szCs w:val="21"/>
        </w:rPr>
        <w:t xml:space="preserve"> EP</w:t>
      </w:r>
      <w:r w:rsidRPr="00F971D8">
        <w:rPr>
          <w:rFonts w:ascii="Times New Roman" w:eastAsia="宋体" w:hAnsi="Times New Roman" w:cs="Times New Roman"/>
          <w:szCs w:val="21"/>
        </w:rPr>
        <w:t>，此因子用在今年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6</w:t>
      </w:r>
      <w:r w:rsidRPr="00F971D8">
        <w:rPr>
          <w:rFonts w:ascii="Times New Roman" w:eastAsia="宋体" w:hAnsi="Times New Roman" w:cs="Times New Roman" w:hint="eastAsia"/>
          <w:szCs w:val="21"/>
        </w:rPr>
        <w:t>月底的数据构建的因子用在今年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月底的股票分组。使用今年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0798C76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现金流价格比率</w:t>
      </w:r>
      <w:r w:rsidRPr="00F971D8">
        <w:rPr>
          <w:rFonts w:ascii="Times New Roman" w:eastAsia="宋体" w:hAnsi="Times New Roman" w:cs="Times New Roman"/>
          <w:szCs w:val="21"/>
        </w:rPr>
        <w:t xml:space="preserve"> (cash-flow-to-price ratio, CFP) </w:t>
      </w:r>
    </w:p>
    <w:p w14:paraId="0B272B1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NE.Ref.{C39CF3E8-0CA6-4721-ADFC-5A8C8949DBAC}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Lakonishok, Shleifer and Vishny (1994)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，现金流价格比率等于</w:t>
      </w:r>
      <w:r w:rsidRPr="00F971D8">
        <w:rPr>
          <w:rFonts w:ascii="Times New Roman" w:eastAsia="宋体" w:hAnsi="Times New Roman" w:cs="Times New Roman"/>
          <w:szCs w:val="21"/>
        </w:rPr>
        <w:t xml:space="preserve">t </w:t>
      </w:r>
      <w:r w:rsidRPr="00F971D8">
        <w:rPr>
          <w:rFonts w:ascii="Times New Roman" w:eastAsia="宋体" w:hAnsi="Times New Roman" w:cs="Times New Roman"/>
          <w:szCs w:val="21"/>
        </w:rPr>
        <w:t>月份末的</w:t>
      </w:r>
      <w:r w:rsidRPr="00F971D8">
        <w:rPr>
          <w:rFonts w:ascii="Times New Roman" w:eastAsia="宋体" w:hAnsi="Times New Roman" w:cs="Times New Roman" w:hint="eastAsia"/>
          <w:szCs w:val="21"/>
        </w:rPr>
        <w:t>净</w:t>
      </w:r>
      <w:r w:rsidRPr="00F971D8">
        <w:rPr>
          <w:rFonts w:ascii="Times New Roman" w:eastAsia="宋体" w:hAnsi="Times New Roman" w:cs="Times New Roman"/>
          <w:szCs w:val="21"/>
        </w:rPr>
        <w:t>现金流除以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月份末的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hint="eastAsia"/>
          <w:szCs w:val="21"/>
        </w:rPr>
        <w:t>净</w:t>
      </w:r>
      <w:r w:rsidRPr="00F971D8">
        <w:rPr>
          <w:rFonts w:ascii="Times New Roman" w:eastAsia="宋体" w:hAnsi="Times New Roman" w:cs="Times New Roman"/>
          <w:szCs w:val="21"/>
        </w:rPr>
        <w:t>现金流和</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股流通市值计算现金流价格比率，此因子用在今年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月底的股票分组。使用今年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78ACD550"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行业调整现金流价格比（</w:t>
      </w:r>
      <w:r w:rsidRPr="00F971D8">
        <w:rPr>
          <w:rFonts w:ascii="Times New Roman" w:eastAsia="宋体" w:hAnsi="Times New Roman" w:cs="Times New Roman"/>
          <w:szCs w:val="21"/>
        </w:rPr>
        <w:t>Industry adjusted CFP</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C</w:t>
      </w:r>
      <w:r w:rsidRPr="00F971D8">
        <w:rPr>
          <w:rFonts w:ascii="Times New Roman" w:eastAsia="宋体" w:hAnsi="Times New Roman" w:cs="Times New Roman"/>
          <w:szCs w:val="21"/>
        </w:rPr>
        <w:t>FP_ia</w:t>
      </w:r>
      <w:r w:rsidRPr="00F971D8">
        <w:rPr>
          <w:rFonts w:ascii="Times New Roman" w:eastAsia="宋体" w:hAnsi="Times New Roman" w:cs="Times New Roman" w:hint="eastAsia"/>
          <w:szCs w:val="21"/>
        </w:rPr>
        <w:t>）</w:t>
      </w:r>
    </w:p>
    <w:p w14:paraId="1980549A"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NE.Ref.{19190ADA-5CDD-4B8E-B4F3-BE8EF85710D7}</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Asness, Porter and Stevens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，参考证监会</w:t>
      </w:r>
      <w:r w:rsidRPr="00F971D8">
        <w:rPr>
          <w:rFonts w:ascii="Times New Roman" w:eastAsia="宋体" w:hAnsi="Times New Roman" w:cs="Times New Roman"/>
          <w:szCs w:val="21"/>
        </w:rPr>
        <w:t>2012</w:t>
      </w:r>
      <w:r w:rsidRPr="00F971D8">
        <w:rPr>
          <w:rFonts w:ascii="Times New Roman" w:eastAsia="宋体" w:hAnsi="Times New Roman" w:cs="Times New Roman"/>
          <w:szCs w:val="21"/>
        </w:rPr>
        <w:t>版行业分类，去除金融类股票后共包含</w:t>
      </w:r>
      <w:r w:rsidRPr="00F971D8">
        <w:rPr>
          <w:rFonts w:ascii="Times New Roman" w:eastAsia="宋体" w:hAnsi="Times New Roman" w:cs="Times New Roman"/>
          <w:szCs w:val="21"/>
        </w:rPr>
        <w:t>18</w:t>
      </w:r>
      <w:r w:rsidRPr="00F971D8">
        <w:rPr>
          <w:rFonts w:ascii="Times New Roman" w:eastAsia="宋体" w:hAnsi="Times New Roman" w:cs="Times New Roman"/>
          <w:szCs w:val="21"/>
        </w:rPr>
        <w:t>个行业，在每个月月末（</w:t>
      </w:r>
      <w:r w:rsidRPr="00F971D8">
        <w:rPr>
          <w:rFonts w:ascii="Times New Roman" w:eastAsia="宋体" w:hAnsi="Times New Roman" w:cs="Times New Roman"/>
          <w:szCs w:val="21"/>
        </w:rPr>
        <w:t>t</w:t>
      </w:r>
      <w:r w:rsidRPr="00F971D8">
        <w:rPr>
          <w:rFonts w:ascii="Times New Roman" w:eastAsia="宋体" w:hAnsi="Times New Roman" w:cs="Times New Roman"/>
          <w:szCs w:val="21"/>
        </w:rPr>
        <w:t>），将每只股票的</w:t>
      </w:r>
      <w:r w:rsidRPr="00F971D8">
        <w:rPr>
          <w:rFonts w:ascii="Times New Roman" w:eastAsia="宋体" w:hAnsi="Times New Roman" w:cs="Times New Roman"/>
          <w:szCs w:val="21"/>
        </w:rPr>
        <w:t>CFP</w:t>
      </w:r>
      <w:r w:rsidRPr="00F971D8">
        <w:rPr>
          <w:rFonts w:ascii="Times New Roman" w:eastAsia="宋体" w:hAnsi="Times New Roman" w:cs="Times New Roman" w:hint="eastAsia"/>
          <w:szCs w:val="21"/>
        </w:rPr>
        <w:t>因子数据</w:t>
      </w:r>
      <w:r w:rsidRPr="00F971D8">
        <w:rPr>
          <w:rFonts w:ascii="Times New Roman" w:eastAsia="宋体" w:hAnsi="Times New Roman" w:cs="Times New Roman"/>
          <w:szCs w:val="21"/>
        </w:rPr>
        <w:t>减去其所在行业所有股票</w:t>
      </w:r>
      <w:r w:rsidRPr="00F971D8">
        <w:rPr>
          <w:rFonts w:ascii="Times New Roman" w:eastAsia="宋体" w:hAnsi="Times New Roman" w:cs="Times New Roman"/>
          <w:szCs w:val="21"/>
        </w:rPr>
        <w:t>CFP</w:t>
      </w:r>
      <w:r w:rsidRPr="00F971D8">
        <w:rPr>
          <w:rFonts w:ascii="Times New Roman" w:eastAsia="宋体" w:hAnsi="Times New Roman" w:cs="Times New Roman" w:hint="eastAsia"/>
          <w:szCs w:val="21"/>
        </w:rPr>
        <w:t>因子</w:t>
      </w:r>
      <w:r w:rsidRPr="00F971D8">
        <w:rPr>
          <w:rFonts w:ascii="Times New Roman" w:eastAsia="宋体" w:hAnsi="Times New Roman" w:cs="Times New Roman"/>
          <w:szCs w:val="21"/>
        </w:rPr>
        <w:t>均值，即为</w:t>
      </w:r>
      <w:r w:rsidRPr="00F971D8">
        <w:rPr>
          <w:rFonts w:ascii="Times New Roman" w:eastAsia="宋体" w:hAnsi="Times New Roman" w:cs="Times New Roman"/>
          <w:szCs w:val="21"/>
        </w:rPr>
        <w:t>CFP_ia</w:t>
      </w:r>
      <w:r w:rsidRPr="00F971D8">
        <w:rPr>
          <w:rFonts w:ascii="Times New Roman" w:eastAsia="宋体" w:hAnsi="Times New Roman" w:cs="Times New Roman"/>
          <w:szCs w:val="21"/>
        </w:rPr>
        <w:t>因子值，按照月末</w:t>
      </w:r>
      <w:r w:rsidRPr="00F971D8">
        <w:rPr>
          <w:rFonts w:ascii="Times New Roman" w:eastAsia="宋体" w:hAnsi="Times New Roman" w:cs="Times New Roman"/>
          <w:szCs w:val="21"/>
        </w:rPr>
        <w:t>CFP_ia</w:t>
      </w:r>
      <w:r w:rsidRPr="00F971D8">
        <w:rPr>
          <w:rFonts w:ascii="Times New Roman" w:eastAsia="宋体" w:hAnsi="Times New Roman" w:cs="Times New Roman"/>
          <w:szCs w:val="21"/>
        </w:rPr>
        <w:t>将所有股票等分为</w:t>
      </w:r>
      <w:r w:rsidRPr="00F971D8">
        <w:rPr>
          <w:rFonts w:ascii="Times New Roman" w:eastAsia="宋体" w:hAnsi="Times New Roman" w:cs="Times New Roman"/>
          <w:szCs w:val="21"/>
        </w:rPr>
        <w:t>10</w:t>
      </w:r>
      <w:r w:rsidRPr="00F971D8">
        <w:rPr>
          <w:rFonts w:ascii="Times New Roman" w:eastAsia="宋体" w:hAnsi="Times New Roman" w:cs="Times New Roman"/>
          <w:szCs w:val="21"/>
        </w:rPr>
        <w:t>组。然后，计算下一个月（</w:t>
      </w:r>
      <w:r w:rsidRPr="00F971D8">
        <w:rPr>
          <w:rFonts w:ascii="Times New Roman" w:eastAsia="宋体" w:hAnsi="Times New Roman" w:cs="Times New Roman"/>
          <w:szCs w:val="21"/>
        </w:rPr>
        <w:t>t+1</w:t>
      </w:r>
      <w:r w:rsidRPr="00F971D8">
        <w:rPr>
          <w:rFonts w:ascii="Times New Roman" w:eastAsia="宋体" w:hAnsi="Times New Roman" w:cs="Times New Roman"/>
          <w:szCs w:val="21"/>
        </w:rPr>
        <w:t>）各组流通市值加权</w:t>
      </w:r>
      <w:r w:rsidRPr="00F971D8">
        <w:rPr>
          <w:rFonts w:ascii="Times New Roman" w:eastAsia="宋体" w:hAnsi="Times New Roman" w:cs="Times New Roman"/>
          <w:szCs w:val="21"/>
        </w:rPr>
        <w:t>/</w:t>
      </w:r>
      <w:r w:rsidRPr="00F971D8">
        <w:rPr>
          <w:rFonts w:ascii="Times New Roman" w:eastAsia="宋体" w:hAnsi="Times New Roman" w:cs="Times New Roman"/>
          <w:szCs w:val="21"/>
        </w:rPr>
        <w:t>等权重的股票组合的月收益率及第十组与第一组收益率之差即为因子收益率，以此类推。</w:t>
      </w:r>
    </w:p>
    <w:p w14:paraId="6B3A5935"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营业现金流价格比率</w:t>
      </w:r>
      <w:r w:rsidRPr="00F971D8">
        <w:rPr>
          <w:rFonts w:ascii="Times New Roman" w:eastAsia="宋体" w:hAnsi="Times New Roman" w:cs="Times New Roman"/>
          <w:szCs w:val="21"/>
        </w:rPr>
        <w:t xml:space="preserve"> (operating cash-flow-to-price ratio, OCFP) </w:t>
      </w:r>
    </w:p>
    <w:p w14:paraId="387D281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NE.Ref.{8F445B6F-7C8D-432F-B9A2-AFCFC0660542}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Desai, Rajgopal and Venkatachalam (2004)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，营业现金流价格比率等于</w:t>
      </w:r>
      <w:r w:rsidRPr="00F971D8">
        <w:rPr>
          <w:rFonts w:ascii="Times New Roman" w:eastAsia="宋体" w:hAnsi="Times New Roman" w:cs="Times New Roman"/>
          <w:szCs w:val="21"/>
        </w:rPr>
        <w:t xml:space="preserve">t </w:t>
      </w:r>
      <w:r w:rsidRPr="00F971D8">
        <w:rPr>
          <w:rFonts w:ascii="Times New Roman" w:eastAsia="宋体" w:hAnsi="Times New Roman" w:cs="Times New Roman"/>
          <w:szCs w:val="21"/>
        </w:rPr>
        <w:t>月份末的营业现金流除以</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月份末的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月底的营业现金流和</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股流通市值计算营业现金流价格比率，此因子用在今年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w:t>
      </w:r>
      <w:r w:rsidRPr="00F971D8">
        <w:rPr>
          <w:rFonts w:ascii="Times New Roman" w:eastAsia="宋体" w:hAnsi="Times New Roman" w:cs="Times New Roman"/>
          <w:szCs w:val="21"/>
        </w:rPr>
        <w:lastRenderedPageBreak/>
        <w:t>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34789CB4"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股利价格比</w:t>
      </w:r>
      <w:r w:rsidRPr="00F971D8">
        <w:rPr>
          <w:rFonts w:ascii="Times New Roman" w:eastAsia="宋体" w:hAnsi="Times New Roman" w:cs="Times New Roman"/>
          <w:szCs w:val="21"/>
        </w:rPr>
        <w:t xml:space="preserve"> (dividend-to-price ratio, DP) </w:t>
      </w:r>
    </w:p>
    <w:p w14:paraId="122079C3"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NE.Ref.{E053CB06-6AE5-44CD-AE08-BF38CA145F10}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Litzenberger and Ramaswamy (1982)</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，股利价格比等于应付股利除以</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月底的应付股利和</w:t>
      </w:r>
      <w:r w:rsidRPr="00F971D8">
        <w:rPr>
          <w:rFonts w:ascii="Times New Roman" w:eastAsia="宋体" w:hAnsi="Times New Roman" w:cs="Times New Roman"/>
          <w:szCs w:val="21"/>
        </w:rPr>
        <w:t xml:space="preserve"> 12</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 xml:space="preserve"> A </w:t>
      </w:r>
      <w:r w:rsidRPr="00F971D8">
        <w:rPr>
          <w:rFonts w:ascii="Times New Roman" w:eastAsia="宋体" w:hAnsi="Times New Roman" w:cs="Times New Roman"/>
          <w:szCs w:val="21"/>
        </w:rPr>
        <w:t>股流通市值的数据计算股利价格比。此因子用在今年</w:t>
      </w:r>
      <w:r w:rsidRPr="00F971D8">
        <w:rPr>
          <w:rFonts w:ascii="Times New Roman" w:eastAsia="宋体" w:hAnsi="Times New Roman" w:cs="Times New Roman"/>
          <w:szCs w:val="21"/>
        </w:rPr>
        <w:t xml:space="preserve">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 xml:space="preserve">8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02EBF58D"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营业收入价格比（</w:t>
      </w:r>
      <w:r w:rsidRPr="00F971D8">
        <w:rPr>
          <w:rFonts w:ascii="Times New Roman" w:eastAsia="宋体" w:hAnsi="Times New Roman" w:cs="Times New Roman"/>
          <w:szCs w:val="21"/>
        </w:rPr>
        <w:t>sales-to-price ratio, SP</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p>
    <w:p w14:paraId="3137CF2E"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NE.Ref.{30C41729-09D9-4A82-BAC8-7ADEEC038AF0}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Jr, MukherjiSandip and Rainesgary (1996)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，营业收入价格比等于营业收入除以Ａ股流通市值。使用去年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月底的营业收入除以去年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股流通市值的数据计算得到营业收入价格比。此因子用在今年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4513F0F4" w14:textId="77777777" w:rsidR="00DD3167" w:rsidRPr="00F971D8" w:rsidRDefault="00DD3167" w:rsidP="00DD3167">
      <w:pPr>
        <w:pStyle w:val="2"/>
        <w:spacing w:line="276" w:lineRule="auto"/>
        <w:ind w:left="420"/>
        <w:rPr>
          <w:szCs w:val="21"/>
        </w:rPr>
      </w:pPr>
      <w:bookmarkStart w:id="7" w:name="_Toc1225898"/>
      <w:bookmarkStart w:id="8" w:name="_Toc14985996"/>
      <w:r>
        <w:rPr>
          <w:rFonts w:hint="eastAsia"/>
          <w:szCs w:val="21"/>
        </w:rPr>
        <w:t>(</w:t>
      </w:r>
      <w:r>
        <w:rPr>
          <w:rFonts w:hint="eastAsia"/>
          <w:szCs w:val="21"/>
        </w:rPr>
        <w:t>四</w:t>
      </w:r>
      <w:r>
        <w:rPr>
          <w:szCs w:val="21"/>
        </w:rPr>
        <w:t xml:space="preserve">) </w:t>
      </w:r>
      <w:r w:rsidRPr="00F971D8">
        <w:rPr>
          <w:szCs w:val="21"/>
        </w:rPr>
        <w:t>成长因子</w:t>
      </w:r>
      <w:bookmarkEnd w:id="7"/>
      <w:bookmarkEnd w:id="8"/>
      <w:r w:rsidRPr="00F971D8">
        <w:rPr>
          <w:szCs w:val="21"/>
        </w:rPr>
        <w:tab/>
      </w:r>
      <w:r w:rsidRPr="00F971D8">
        <w:rPr>
          <w:szCs w:val="21"/>
        </w:rPr>
        <w:tab/>
      </w:r>
      <w:r w:rsidRPr="00F971D8">
        <w:rPr>
          <w:szCs w:val="21"/>
        </w:rPr>
        <w:tab/>
      </w:r>
      <w:r w:rsidRPr="00F971D8">
        <w:rPr>
          <w:szCs w:val="21"/>
        </w:rPr>
        <w:tab/>
      </w:r>
      <w:r w:rsidRPr="00F971D8">
        <w:rPr>
          <w:szCs w:val="21"/>
        </w:rPr>
        <w:tab/>
      </w:r>
      <w:r w:rsidRPr="00F971D8">
        <w:rPr>
          <w:szCs w:val="21"/>
        </w:rPr>
        <w:tab/>
      </w:r>
      <w:r w:rsidRPr="00F971D8">
        <w:rPr>
          <w:szCs w:val="21"/>
        </w:rPr>
        <w:tab/>
      </w:r>
    </w:p>
    <w:p w14:paraId="290F97EF"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总资产增长率</w:t>
      </w:r>
      <w:r w:rsidRPr="00F971D8">
        <w:rPr>
          <w:rFonts w:ascii="Times New Roman" w:eastAsia="宋体" w:hAnsi="Times New Roman" w:cs="Times New Roman"/>
          <w:szCs w:val="21"/>
        </w:rPr>
        <w:t xml:space="preserve"> (Asset growth ratio, AG)</w:t>
      </w:r>
    </w:p>
    <w:p w14:paraId="564476C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NE.Ref.{2199E869-AD3F-40FA-AE03-FF27C8742CDF}</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Cooper, Gulen and Schill (2008)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,AG</w:t>
      </w:r>
      <w:r w:rsidRPr="00F971D8">
        <w:rPr>
          <w:rFonts w:ascii="Times New Roman" w:eastAsia="宋体" w:hAnsi="Times New Roman" w:cs="Times New Roman" w:hint="eastAsia"/>
          <w:szCs w:val="21"/>
        </w:rPr>
        <w:t>因子为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月份的总资产减去</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月份的总资产再除以</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月份的总资产。举例说明，将去年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月底的总资产减去前年</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月底的总资产，再除以前年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月底的总资产，此增长率分别用在今年</w:t>
      </w:r>
      <w:r w:rsidRPr="00F971D8">
        <w:rPr>
          <w:rFonts w:ascii="Times New Roman" w:eastAsia="宋体" w:hAnsi="Times New Roman" w:cs="Times New Roman"/>
          <w:szCs w:val="21"/>
        </w:rPr>
        <w:t xml:space="preserve">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月份的股票分组中。以此类推，用今年月</w:t>
      </w:r>
      <w:r w:rsidRPr="00F971D8">
        <w:rPr>
          <w:rFonts w:ascii="Times New Roman" w:eastAsia="宋体" w:hAnsi="Times New Roman" w:cs="Times New Roman"/>
          <w:szCs w:val="21"/>
        </w:rPr>
        <w:t>6</w:t>
      </w:r>
      <w:r w:rsidRPr="00F971D8">
        <w:rPr>
          <w:rFonts w:ascii="Times New Roman" w:eastAsia="宋体" w:hAnsi="Times New Roman" w:cs="Times New Roman"/>
          <w:szCs w:val="21"/>
        </w:rPr>
        <w:t>底的总资产减去去年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月底的总资产的差，再除以去年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月底的总资产，由此得到的增长率分别在今年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月份的股票分组中。采用今年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月底数据计算的增长率用在今年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1B8C962B"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负债增长率</w:t>
      </w:r>
      <w:r w:rsidRPr="00F971D8">
        <w:rPr>
          <w:rFonts w:ascii="Times New Roman" w:eastAsia="宋体" w:hAnsi="Times New Roman" w:cs="Times New Roman"/>
          <w:szCs w:val="21"/>
        </w:rPr>
        <w:t xml:space="preserve"> (liabilities growth, LG) </w:t>
      </w:r>
    </w:p>
    <w:p w14:paraId="7B69B11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NE.Ref.{0E46A224-E81A-4E32-A457-A562BCE8EFA7}</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Soliman (2005)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，总负债增长率等于总负债的年化增长率，也就是</w:t>
      </w:r>
      <w:r w:rsidRPr="00F971D8">
        <w:rPr>
          <w:rFonts w:ascii="Times New Roman" w:eastAsia="宋体" w:hAnsi="Times New Roman" w:cs="Times New Roman"/>
          <w:szCs w:val="21"/>
        </w:rPr>
        <w:t xml:space="preserve"> t </w:t>
      </w:r>
      <w:r w:rsidRPr="00F971D8">
        <w:rPr>
          <w:rFonts w:ascii="Times New Roman" w:eastAsia="宋体" w:hAnsi="Times New Roman" w:cs="Times New Roman"/>
          <w:szCs w:val="21"/>
        </w:rPr>
        <w:t>月份的总负债减去</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月份的总负债再除以</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月份的总负债。使用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月底的总负债减去去年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月底的总负债，除以去年</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月底的总负债，将此因子用在今年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20BC4F92"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净资产增长率</w:t>
      </w:r>
      <w:r w:rsidRPr="00F971D8">
        <w:rPr>
          <w:rFonts w:ascii="Times New Roman" w:eastAsia="宋体" w:hAnsi="Times New Roman" w:cs="Times New Roman"/>
          <w:szCs w:val="21"/>
        </w:rPr>
        <w:t xml:space="preserve"> (book market value growth, BVEG) </w:t>
      </w:r>
    </w:p>
    <w:p w14:paraId="73456A2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NE.Ref.{F16D57C9-E9C3-4917-A5A2-74A4A07E7970}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Soliman (2005)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，净资产增长率等于净资产的年化增长率</w:t>
      </w:r>
      <w:r w:rsidRPr="00F971D8">
        <w:rPr>
          <w:rFonts w:ascii="Times New Roman" w:eastAsia="宋体" w:hAnsi="Times New Roman" w:cs="Times New Roman" w:hint="eastAsia"/>
          <w:szCs w:val="21"/>
        </w:rPr>
        <w:t>，即为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月份的净资产减去</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月份的净资产再除以</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月份的净资产。使用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月底的净资产减去去年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月底的净资产，除以去年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月底的净资产，将此因子用在今年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490568E0"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营业收入增长率（</w:t>
      </w:r>
      <w:r w:rsidRPr="00F971D8">
        <w:rPr>
          <w:rFonts w:ascii="Times New Roman" w:eastAsia="宋体" w:hAnsi="Times New Roman" w:cs="Times New Roman"/>
          <w:szCs w:val="21"/>
        </w:rPr>
        <w:t>Sales growth</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S</w:t>
      </w:r>
      <w:r w:rsidRPr="00F971D8">
        <w:rPr>
          <w:rFonts w:ascii="Times New Roman" w:eastAsia="宋体" w:hAnsi="Times New Roman" w:cs="Times New Roman"/>
          <w:szCs w:val="21"/>
        </w:rPr>
        <w:t>G</w:t>
      </w:r>
      <w:r w:rsidRPr="00F971D8">
        <w:rPr>
          <w:rFonts w:ascii="Times New Roman" w:eastAsia="宋体" w:hAnsi="Times New Roman" w:cs="Times New Roman" w:hint="eastAsia"/>
          <w:szCs w:val="21"/>
        </w:rPr>
        <w:t>）</w:t>
      </w:r>
    </w:p>
    <w:p w14:paraId="6F95410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NE.Ref.{21A7EBDA-B7DB-425D-9B45-A8C3EE457199}</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Lakonishok, Shleifer and Vishny (1994)</w:t>
      </w:r>
      <w:r w:rsidRPr="00F971D8">
        <w:rPr>
          <w:rFonts w:ascii="Times New Roman" w:eastAsia="宋体" w:hAnsi="Times New Roman" w:cs="Times New Roman"/>
          <w:szCs w:val="21"/>
        </w:rPr>
        <w:fldChar w:fldCharType="end"/>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增长率等于</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的年化增长</w:t>
      </w:r>
      <w:r w:rsidRPr="00F971D8">
        <w:rPr>
          <w:rFonts w:ascii="Times New Roman" w:eastAsia="宋体" w:hAnsi="Times New Roman" w:cs="Times New Roman"/>
          <w:szCs w:val="21"/>
        </w:rPr>
        <w:lastRenderedPageBreak/>
        <w:t>率</w:t>
      </w:r>
      <w:r w:rsidRPr="00F971D8">
        <w:rPr>
          <w:rFonts w:ascii="Times New Roman" w:eastAsia="宋体" w:hAnsi="Times New Roman" w:cs="Times New Roman" w:hint="eastAsia"/>
          <w:szCs w:val="21"/>
        </w:rPr>
        <w:t>，即为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减去</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再除以</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减去去年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hint="eastAsia"/>
          <w:szCs w:val="21"/>
        </w:rPr>
        <w:t>营业收入</w:t>
      </w:r>
      <w:r w:rsidRPr="00F971D8">
        <w:rPr>
          <w:rFonts w:ascii="Times New Roman" w:eastAsia="宋体" w:hAnsi="Times New Roman" w:cs="Times New Roman"/>
          <w:szCs w:val="21"/>
        </w:rPr>
        <w:t>，将此因子用在今年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4BEB7EDB"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营业利润增长率（</w:t>
      </w:r>
      <w:r w:rsidRPr="00F971D8">
        <w:rPr>
          <w:rFonts w:ascii="Times New Roman" w:eastAsia="宋体" w:hAnsi="Times New Roman" w:cs="Times New Roman"/>
          <w:szCs w:val="21"/>
        </w:rPr>
        <w:t>Profit margin growth</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P</w:t>
      </w:r>
      <w:r w:rsidRPr="00F971D8">
        <w:rPr>
          <w:rFonts w:ascii="Times New Roman" w:eastAsia="宋体" w:hAnsi="Times New Roman" w:cs="Times New Roman"/>
          <w:szCs w:val="21"/>
        </w:rPr>
        <w:t>MG</w:t>
      </w:r>
      <w:r w:rsidRPr="00F971D8">
        <w:rPr>
          <w:rFonts w:ascii="Times New Roman" w:eastAsia="宋体" w:hAnsi="Times New Roman" w:cs="Times New Roman" w:hint="eastAsia"/>
          <w:szCs w:val="21"/>
        </w:rPr>
        <w:t>）</w:t>
      </w:r>
    </w:p>
    <w:p w14:paraId="246E7A1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NE.Ref.{0BE4D933-0F3D-4602-877E-5362E604453D}</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Bushee and Abarbanell (1997)</w:t>
      </w:r>
      <w:r w:rsidRPr="00F971D8">
        <w:rPr>
          <w:rFonts w:ascii="Times New Roman" w:eastAsia="宋体" w:hAnsi="Times New Roman" w:cs="Times New Roman"/>
          <w:szCs w:val="21"/>
        </w:rPr>
        <w:fldChar w:fldCharType="end"/>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增长率等于</w:t>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的年化增长率</w:t>
      </w:r>
      <w:r w:rsidRPr="00F971D8">
        <w:rPr>
          <w:rFonts w:ascii="Times New Roman" w:eastAsia="宋体" w:hAnsi="Times New Roman" w:cs="Times New Roman" w:hint="eastAsia"/>
          <w:szCs w:val="21"/>
        </w:rPr>
        <w:t>，即为</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w:t>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减去</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w:t>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再除以</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w:t>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减去去年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w:t>
      </w:r>
      <w:r w:rsidRPr="00F971D8">
        <w:rPr>
          <w:rFonts w:ascii="Times New Roman" w:eastAsia="宋体" w:hAnsi="Times New Roman" w:cs="Times New Roman" w:hint="eastAsia"/>
          <w:szCs w:val="21"/>
        </w:rPr>
        <w:t>营业利润</w:t>
      </w:r>
      <w:r w:rsidRPr="00F971D8">
        <w:rPr>
          <w:rFonts w:ascii="Times New Roman" w:eastAsia="宋体" w:hAnsi="Times New Roman" w:cs="Times New Roman"/>
          <w:szCs w:val="21"/>
        </w:rPr>
        <w:t>，将此因子用在今年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3D4E98B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存货增长率</w:t>
      </w:r>
      <w:r w:rsidRPr="00F971D8">
        <w:rPr>
          <w:rFonts w:ascii="Times New Roman" w:eastAsia="宋体" w:hAnsi="Times New Roman" w:cs="Times New Roman"/>
          <w:szCs w:val="21"/>
        </w:rPr>
        <w:t xml:space="preserve"> (inventory growth, INVG) </w:t>
      </w:r>
    </w:p>
    <w:p w14:paraId="0B45DF4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NE.Ref.{9D458E43-BFCB-4978-82C2-90F08D426B5B}</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Thomas and Zhang (2002)</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，存货净额的增长率等于</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月份的净存货额减去</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月份的净存货额，再除以</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月份的净存货额。使用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月底的存货净额减去去年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月底的存货净额，除以去年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月底的存货净额，将此因子用在今年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 xml:space="preserve"> 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 xml:space="preserve">9 </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 xml:space="preserve"> 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12937A1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存货变化</w:t>
      </w:r>
      <w:r w:rsidRPr="00F971D8">
        <w:rPr>
          <w:rFonts w:ascii="Times New Roman" w:eastAsia="宋体" w:hAnsi="Times New Roman" w:cs="Times New Roman"/>
          <w:szCs w:val="21"/>
        </w:rPr>
        <w:t xml:space="preserve"> (inventory change, INVchg) </w:t>
      </w:r>
    </w:p>
    <w:p w14:paraId="3EC083C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NE.Ref.{B891F3FE-38D9-4466-A8E3-76057DB347FC}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Thomas and Zhang (2002)</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，存货变化等于存货净额的增长除以平均资产合计。存货净额的增长等于</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月份的净存货额减去</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月份的净存货额。平均资产合计等于</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月份的总资产平均值。使用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月底的存货净额减去去年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月底的存货净额，除以</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月底和去年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月底的总资产的平均值，得到存货变化，将此因子用在今年</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 xml:space="preserve"> 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月底的股票分组。</w:t>
      </w:r>
    </w:p>
    <w:p w14:paraId="7A8C2994"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营业收入与存货增长率的差</w:t>
      </w:r>
      <w:r w:rsidRPr="00F971D8">
        <w:rPr>
          <w:rFonts w:ascii="Times New Roman" w:eastAsia="宋体" w:hAnsi="Times New Roman" w:cs="Times New Roman"/>
          <w:szCs w:val="21"/>
        </w:rPr>
        <w:t xml:space="preserve">(sales growth minus inventory growth, SgINVg) </w:t>
      </w:r>
    </w:p>
    <w:p w14:paraId="6E240D1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NE.Ref.{1C1ABC74-FF5B-4F1B-8F48-1F7D1C5C9165}</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Bushee and Abarbanell (1997)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，营业收入增长率与存货增长率的差等于营业收入增长率减去存货增长率。使用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月底的营业收入增长率和存货增长率得到营业收入增长率与存货增长率的差，将此因子用在今年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 xml:space="preserve">9 </w:t>
      </w:r>
      <w:r w:rsidRPr="00F971D8">
        <w:rPr>
          <w:rFonts w:ascii="Times New Roman" w:eastAsia="宋体" w:hAnsi="Times New Roman" w:cs="Times New Roman"/>
          <w:szCs w:val="21"/>
        </w:rPr>
        <w:t>月底的因子分组。使用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78184FED"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税收增长率</w:t>
      </w:r>
      <w:r w:rsidRPr="00F971D8">
        <w:rPr>
          <w:rFonts w:ascii="Times New Roman" w:eastAsia="宋体" w:hAnsi="Times New Roman" w:cs="Times New Roman"/>
          <w:szCs w:val="21"/>
        </w:rPr>
        <w:t xml:space="preserve"> (tax growth, TAXchg) </w:t>
      </w:r>
    </w:p>
    <w:p w14:paraId="57BF261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NE.Ref.{34EBF4E7-5885-4FB6-9E64-986E6A005F22}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Thomas and Zhang (2011)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月份的税收增长率等于</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月份的税收减去</w:t>
      </w:r>
      <w:r w:rsidRPr="00F971D8">
        <w:rPr>
          <w:rFonts w:ascii="Times New Roman" w:eastAsia="宋体" w:hAnsi="Times New Roman" w:cs="Times New Roman"/>
          <w:szCs w:val="21"/>
        </w:rPr>
        <w:t xml:space="preserve">t-12 </w:t>
      </w:r>
      <w:r w:rsidRPr="00F971D8">
        <w:rPr>
          <w:rFonts w:ascii="Times New Roman" w:eastAsia="宋体" w:hAnsi="Times New Roman" w:cs="Times New Roman"/>
          <w:szCs w:val="21"/>
        </w:rPr>
        <w:t>月份的税收再除以</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月份的税收。使用</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月底的税收减去去年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月底的税收的差，除以去年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月底的税收，将此因子用在今年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月底的股票分组。我们使用</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w:t>
      </w:r>
      <w:r w:rsidRPr="00F971D8">
        <w:rPr>
          <w:rFonts w:ascii="Times New Roman" w:eastAsia="宋体" w:hAnsi="Times New Roman" w:cs="Times New Roman"/>
          <w:szCs w:val="21"/>
        </w:rPr>
        <w:lastRenderedPageBreak/>
        <w:t>票分组。</w:t>
      </w:r>
    </w:p>
    <w:p w14:paraId="5B243477"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增值因子（</w:t>
      </w:r>
      <w:r w:rsidRPr="00F971D8">
        <w:rPr>
          <w:rFonts w:ascii="Times New Roman" w:eastAsia="宋体" w:hAnsi="Times New Roman" w:cs="Times New Roman"/>
          <w:szCs w:val="21"/>
        </w:rPr>
        <w:t>Accruals Component</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ACC</w:t>
      </w:r>
      <w:r w:rsidRPr="00F971D8">
        <w:rPr>
          <w:rFonts w:ascii="Times New Roman" w:eastAsia="宋体" w:hAnsi="Times New Roman" w:cs="Times New Roman"/>
          <w:szCs w:val="21"/>
        </w:rPr>
        <w:t>）</w:t>
      </w:r>
    </w:p>
    <w:p w14:paraId="16FD8E5A"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NE.Ref.{AEB4A9B9-6EA9-4685-8C43-EEE2B1DD2A41}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Sloan (1996)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，因子的计算方式为</w:t>
      </w:r>
    </w:p>
    <w:p w14:paraId="184AD35C" w14:textId="77777777" w:rsidR="00DD3167" w:rsidRPr="00F971D8" w:rsidRDefault="00DD3167" w:rsidP="00DD3167">
      <w:pPr>
        <w:spacing w:line="276" w:lineRule="auto"/>
        <w:ind w:firstLineChars="200" w:firstLine="420"/>
        <w:jc w:val="center"/>
        <w:rPr>
          <w:rFonts w:ascii="Times New Roman" w:eastAsia="宋体" w:hAnsi="Times New Roman" w:cs="Times New Roman"/>
          <w:szCs w:val="21"/>
        </w:rPr>
      </w:pPr>
      <w:r w:rsidRPr="00F971D8">
        <w:rPr>
          <w:rFonts w:ascii="Times New Roman" w:eastAsia="宋体" w:hAnsi="Times New Roman" w:cs="Times New Roman"/>
          <w:szCs w:val="21"/>
        </w:rPr>
        <w:t>Accruals = (</w:t>
      </w:r>
      <w:r w:rsidRPr="00F971D8">
        <w:rPr>
          <w:rFonts w:ascii="Cambria Math" w:eastAsia="宋体" w:hAnsi="Cambria Math" w:cs="Cambria Math"/>
          <w:szCs w:val="21"/>
        </w:rPr>
        <w:t>△</w:t>
      </w:r>
      <w:r w:rsidRPr="00F971D8">
        <w:rPr>
          <w:rFonts w:ascii="Times New Roman" w:eastAsia="宋体" w:hAnsi="Times New Roman" w:cs="Times New Roman"/>
          <w:szCs w:val="21"/>
        </w:rPr>
        <w:t xml:space="preserve">CA - </w:t>
      </w:r>
      <w:r w:rsidRPr="00F971D8">
        <w:rPr>
          <w:rFonts w:ascii="Cambria Math" w:eastAsia="宋体" w:hAnsi="Cambria Math" w:cs="Cambria Math"/>
          <w:szCs w:val="21"/>
        </w:rPr>
        <w:t>△</w:t>
      </w:r>
      <w:r w:rsidRPr="00F971D8">
        <w:rPr>
          <w:rFonts w:ascii="Times New Roman" w:eastAsia="宋体" w:hAnsi="Times New Roman" w:cs="Times New Roman"/>
          <w:szCs w:val="21"/>
        </w:rPr>
        <w:t>Cash) - (</w:t>
      </w:r>
      <w:r w:rsidRPr="00F971D8">
        <w:rPr>
          <w:rFonts w:ascii="Cambria Math" w:eastAsia="宋体" w:hAnsi="Cambria Math" w:cs="Cambria Math"/>
          <w:szCs w:val="21"/>
        </w:rPr>
        <w:t>△</w:t>
      </w:r>
      <w:r w:rsidRPr="00F971D8">
        <w:rPr>
          <w:rFonts w:ascii="Times New Roman" w:eastAsia="宋体" w:hAnsi="Times New Roman" w:cs="Times New Roman"/>
          <w:szCs w:val="21"/>
        </w:rPr>
        <w:t xml:space="preserve">CL - </w:t>
      </w:r>
      <w:r w:rsidRPr="00F971D8">
        <w:rPr>
          <w:rFonts w:ascii="Cambria Math" w:eastAsia="宋体" w:hAnsi="Cambria Math" w:cs="Cambria Math"/>
          <w:szCs w:val="21"/>
        </w:rPr>
        <w:t>△</w:t>
      </w:r>
      <w:r w:rsidRPr="00F971D8">
        <w:rPr>
          <w:rFonts w:ascii="Times New Roman" w:eastAsia="宋体" w:hAnsi="Times New Roman" w:cs="Times New Roman"/>
          <w:szCs w:val="21"/>
        </w:rPr>
        <w:t xml:space="preserve">STD - </w:t>
      </w:r>
      <w:r w:rsidRPr="00F971D8">
        <w:rPr>
          <w:rFonts w:ascii="Cambria Math" w:eastAsia="宋体" w:hAnsi="Cambria Math" w:cs="Cambria Math"/>
          <w:szCs w:val="21"/>
        </w:rPr>
        <w:t>△</w:t>
      </w:r>
      <w:r w:rsidRPr="00F971D8">
        <w:rPr>
          <w:rFonts w:ascii="Times New Roman" w:eastAsia="宋体" w:hAnsi="Times New Roman" w:cs="Times New Roman"/>
          <w:szCs w:val="21"/>
        </w:rPr>
        <w:t>TP) – Dep</w:t>
      </w:r>
    </w:p>
    <w:p w14:paraId="099B40E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增值，即除去现金及现金等价物的总资产变化减去除去债务变化和应税收入变化的总负债变化减去折旧和摊销；简化来看，即利润总额减去营业现金流</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w:t>
      </w:r>
    </w:p>
    <w:p w14:paraId="24156E2E" w14:textId="77777777" w:rsidR="00DD3167" w:rsidRPr="00F971D8" w:rsidRDefault="00DD3167" w:rsidP="00DD3167">
      <w:pPr>
        <w:spacing w:line="276" w:lineRule="auto"/>
        <w:ind w:firstLineChars="200" w:firstLine="420"/>
        <w:jc w:val="center"/>
        <w:rPr>
          <w:rFonts w:ascii="Times New Roman" w:eastAsia="宋体" w:hAnsi="Times New Roman" w:cs="Times New Roman"/>
          <w:szCs w:val="21"/>
        </w:rPr>
      </w:pPr>
      <w:r w:rsidRPr="00F971D8">
        <w:rPr>
          <w:rFonts w:ascii="Times New Roman" w:eastAsia="宋体" w:hAnsi="Times New Roman" w:cs="Times New Roman"/>
          <w:szCs w:val="21"/>
        </w:rPr>
        <w:t>Accruals Component = Accruals/Average Total Asset</w:t>
      </w:r>
    </w:p>
    <w:p w14:paraId="65309E25"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增值因子，即增值除以平均资产合计。平均资产合计等于</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t </w:t>
      </w:r>
      <w:r w:rsidRPr="00F971D8">
        <w:rPr>
          <w:rFonts w:ascii="Times New Roman" w:eastAsia="宋体" w:hAnsi="Times New Roman" w:cs="Times New Roman"/>
          <w:szCs w:val="21"/>
        </w:rPr>
        <w:t>月份的总资产平均值。</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由于财务数据的可得性有限，该因子的起始日期为</w:t>
      </w:r>
      <w:r w:rsidRPr="00F971D8">
        <w:rPr>
          <w:rFonts w:ascii="Times New Roman" w:eastAsia="宋体" w:hAnsi="Times New Roman" w:cs="Times New Roman"/>
          <w:szCs w:val="21"/>
        </w:rPr>
        <w:t>1998</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152FDD91"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增值因子的绝对值（</w:t>
      </w:r>
      <w:r w:rsidRPr="00F971D8">
        <w:rPr>
          <w:rFonts w:ascii="Times New Roman" w:eastAsia="宋体" w:hAnsi="Times New Roman" w:cs="Times New Roman"/>
          <w:szCs w:val="21"/>
        </w:rPr>
        <w:t>absolute accruals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absacc</w:t>
      </w:r>
      <w:r w:rsidRPr="00F971D8">
        <w:rPr>
          <w:rFonts w:ascii="Times New Roman" w:eastAsia="宋体" w:hAnsi="Times New Roman" w:cs="Times New Roman"/>
          <w:szCs w:val="21"/>
        </w:rPr>
        <w:t>）</w:t>
      </w:r>
    </w:p>
    <w:p w14:paraId="6853BB45"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NE.Ref.{3012C93F-DD69-4007-AA35-B0258DF0DD3C}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Bandyopadhyay, Huang and Wirjanto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的工作论文</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，增值波动性和未来股票收益之间存在强烈且持续的负相关关系。该因子直接为增值因子取绝对值，增值因子的具体计算方式见</w:t>
      </w:r>
      <w:r w:rsidRPr="00F971D8">
        <w:rPr>
          <w:rFonts w:ascii="Times New Roman" w:eastAsia="宋体" w:hAnsi="Times New Roman" w:cs="Times New Roman"/>
          <w:szCs w:val="21"/>
        </w:rPr>
        <w:t xml:space="preserve">50. </w:t>
      </w:r>
      <w:r w:rsidRPr="00F971D8">
        <w:rPr>
          <w:rFonts w:ascii="Times New Roman" w:eastAsia="宋体" w:hAnsi="Times New Roman" w:cs="Times New Roman"/>
          <w:szCs w:val="21"/>
        </w:rPr>
        <w:t>增值因子（</w:t>
      </w:r>
      <w:r w:rsidRPr="00F971D8">
        <w:rPr>
          <w:rFonts w:ascii="Times New Roman" w:eastAsia="宋体" w:hAnsi="Times New Roman" w:cs="Times New Roman"/>
          <w:szCs w:val="21"/>
        </w:rPr>
        <w:t>Accruals Component</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ACC</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由于财务数据的可得性有限以及波动率计算的特性，该因子的起始日期为</w:t>
      </w:r>
      <w:r w:rsidRPr="00F971D8">
        <w:rPr>
          <w:rFonts w:ascii="Times New Roman" w:eastAsia="宋体" w:hAnsi="Times New Roman" w:cs="Times New Roman"/>
          <w:szCs w:val="21"/>
        </w:rPr>
        <w:t>1998</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6F443DB9" w14:textId="77777777" w:rsidR="00DD3167" w:rsidRPr="00F971D8" w:rsidRDefault="00DD3167" w:rsidP="00DD3167">
      <w:pPr>
        <w:pStyle w:val="ad"/>
        <w:numPr>
          <w:ilvl w:val="0"/>
          <w:numId w:val="28"/>
        </w:numPr>
        <w:spacing w:line="276" w:lineRule="auto"/>
        <w:ind w:firstLineChars="0"/>
        <w:jc w:val="left"/>
        <w:rPr>
          <w:rFonts w:ascii="Times New Roman" w:eastAsia="宋体" w:hAnsi="Times New Roman" w:cs="Times New Roman"/>
          <w:szCs w:val="21"/>
        </w:rPr>
      </w:pPr>
      <w:r w:rsidRPr="00F971D8">
        <w:rPr>
          <w:rFonts w:ascii="Times New Roman" w:eastAsia="宋体" w:hAnsi="Times New Roman" w:cs="Times New Roman"/>
          <w:szCs w:val="21"/>
        </w:rPr>
        <w:t>增值因子的</w:t>
      </w:r>
      <w:r w:rsidRPr="00F971D8">
        <w:rPr>
          <w:rFonts w:ascii="Times New Roman" w:eastAsia="宋体" w:hAnsi="Times New Roman" w:cs="Times New Roman" w:hint="eastAsia"/>
          <w:szCs w:val="21"/>
        </w:rPr>
        <w:t>波动率</w:t>
      </w:r>
      <w:r w:rsidRPr="00F971D8">
        <w:rPr>
          <w:rFonts w:ascii="Times New Roman" w:eastAsia="宋体" w:hAnsi="Times New Roman" w:cs="Times New Roman"/>
          <w:szCs w:val="21"/>
        </w:rPr>
        <w:t>（</w:t>
      </w:r>
      <w:r w:rsidRPr="00F971D8">
        <w:rPr>
          <w:rFonts w:ascii="Times New Roman" w:eastAsia="宋体" w:hAnsi="Times New Roman" w:cs="Times New Roman"/>
          <w:szCs w:val="21"/>
        </w:rPr>
        <w:t>Accrual volatility</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stdacc</w:t>
      </w:r>
      <w:r w:rsidRPr="00F971D8">
        <w:rPr>
          <w:rFonts w:ascii="Times New Roman" w:eastAsia="宋体" w:hAnsi="Times New Roman" w:cs="Times New Roman"/>
          <w:szCs w:val="21"/>
        </w:rPr>
        <w:t>）</w:t>
      </w:r>
    </w:p>
    <w:p w14:paraId="2800E57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NE.Ref.{995C84FB-8FBD-4A26-9BE0-32322BA9C90D}</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Bandyopadhyay, Huang and Wirjanto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的工作论文，增值波动性和未来股票收益之间存在强烈且持续的负相关关系。该因子直接为增值因子取过去</w:t>
      </w:r>
      <w:r w:rsidRPr="00F971D8">
        <w:rPr>
          <w:rFonts w:ascii="Times New Roman" w:eastAsia="宋体" w:hAnsi="Times New Roman" w:cs="Times New Roman"/>
          <w:szCs w:val="21"/>
        </w:rPr>
        <w:t>4</w:t>
      </w:r>
      <w:r w:rsidRPr="00F971D8">
        <w:rPr>
          <w:rFonts w:ascii="Times New Roman" w:eastAsia="宋体" w:hAnsi="Times New Roman" w:cs="Times New Roman"/>
          <w:szCs w:val="21"/>
        </w:rPr>
        <w:t>年的波动率，增值因子的具体计算方式见</w:t>
      </w:r>
      <w:r w:rsidRPr="00F971D8">
        <w:rPr>
          <w:rFonts w:ascii="Times New Roman" w:eastAsia="宋体" w:hAnsi="Times New Roman" w:cs="Times New Roman"/>
          <w:szCs w:val="21"/>
        </w:rPr>
        <w:t xml:space="preserve">50. </w:t>
      </w:r>
      <w:r w:rsidRPr="00F971D8">
        <w:rPr>
          <w:rFonts w:ascii="Times New Roman" w:eastAsia="宋体" w:hAnsi="Times New Roman" w:cs="Times New Roman"/>
          <w:szCs w:val="21"/>
        </w:rPr>
        <w:t>增值因子（</w:t>
      </w:r>
      <w:r w:rsidRPr="00F971D8">
        <w:rPr>
          <w:rFonts w:ascii="Times New Roman" w:eastAsia="宋体" w:hAnsi="Times New Roman" w:cs="Times New Roman"/>
          <w:szCs w:val="21"/>
        </w:rPr>
        <w:t>Accruals Component</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ACC</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p>
    <w:p w14:paraId="45708284"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由于财务数据的可得性有限，该因子的起始日期为</w:t>
      </w:r>
      <w:r w:rsidRPr="00F971D8">
        <w:rPr>
          <w:rFonts w:ascii="Times New Roman" w:eastAsia="宋体" w:hAnsi="Times New Roman" w:cs="Times New Roman"/>
          <w:szCs w:val="21"/>
        </w:rPr>
        <w:t>2000</w:t>
      </w:r>
      <w:r w:rsidRPr="00F971D8">
        <w:rPr>
          <w:rFonts w:ascii="Times New Roman" w:eastAsia="宋体" w:hAnsi="Times New Roman" w:cs="Times New Roman"/>
          <w:szCs w:val="21"/>
        </w:rPr>
        <w:t>年</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084BCBD6"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现时增值因子（</w:t>
      </w:r>
      <w:r w:rsidRPr="00F971D8">
        <w:rPr>
          <w:rFonts w:ascii="Times New Roman" w:eastAsia="宋体" w:hAnsi="Times New Roman" w:cs="Times New Roman"/>
          <w:szCs w:val="21"/>
        </w:rPr>
        <w:t>Percent accruals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ACCP</w:t>
      </w:r>
      <w:r w:rsidRPr="00F971D8">
        <w:rPr>
          <w:rFonts w:ascii="Times New Roman" w:eastAsia="宋体" w:hAnsi="Times New Roman" w:cs="Times New Roman"/>
          <w:szCs w:val="21"/>
        </w:rPr>
        <w:t>）</w:t>
      </w:r>
    </w:p>
    <w:p w14:paraId="5ED787F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NE.Ref.{FD0EFEDA-A5B2-472B-AB96-58669BD788DA}</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Hafzalla and Winkle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，现时增值因子计算公式如下：</w:t>
      </w:r>
    </w:p>
    <w:p w14:paraId="0D87E38D"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szCs w:val="21"/>
        </w:rPr>
        <w:t>Percent Operating Accruals = Net Income - Cash from Operations/Net Income</w:t>
      </w:r>
    </w:p>
    <w:p w14:paraId="3131636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szCs w:val="21"/>
        </w:rPr>
        <w:t>Percent Total Accruals = (Net Income− (Net Dividends and Distributions to/from Equity</w:t>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szCs w:val="21"/>
        </w:rPr>
        <w:t>holders+ increase in the cash balance))/Net Income</w:t>
      </w:r>
    </w:p>
    <w:p w14:paraId="4EBE3AD5" w14:textId="77777777" w:rsidR="00DD3167" w:rsidRPr="00F971D8" w:rsidRDefault="00DD3167" w:rsidP="00DD3167">
      <w:pPr>
        <w:spacing w:line="276" w:lineRule="auto"/>
        <w:rPr>
          <w:rFonts w:ascii="Times New Roman" w:eastAsia="宋体" w:hAnsi="Times New Roman" w:cs="Times New Roman"/>
          <w:szCs w:val="21"/>
        </w:rPr>
      </w:pPr>
      <w:r w:rsidRPr="00F971D8">
        <w:rPr>
          <w:rFonts w:ascii="Times New Roman" w:eastAsia="宋体" w:hAnsi="Times New Roman" w:cs="Times New Roman" w:hint="eastAsia"/>
          <w:szCs w:val="21"/>
        </w:rPr>
        <w:t>简化即为利润总额减去营业现金流，再除以净利润</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由于财务数据的可得性有限，该因子的起始日期为</w:t>
      </w:r>
      <w:r w:rsidRPr="00F971D8">
        <w:rPr>
          <w:rFonts w:ascii="Times New Roman" w:eastAsia="宋体" w:hAnsi="Times New Roman" w:cs="Times New Roman"/>
          <w:szCs w:val="21"/>
        </w:rPr>
        <w:t>1998</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72E3D8DD"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资本投资（</w:t>
      </w:r>
      <w:r w:rsidRPr="00F971D8">
        <w:rPr>
          <w:rFonts w:ascii="Times New Roman" w:eastAsia="宋体" w:hAnsi="Times New Roman" w:cs="Times New Roman"/>
          <w:szCs w:val="21"/>
        </w:rPr>
        <w:t>Corporate investment</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cinvest</w:t>
      </w:r>
      <w:r w:rsidRPr="00F971D8">
        <w:rPr>
          <w:rFonts w:ascii="Times New Roman" w:eastAsia="宋体" w:hAnsi="Times New Roman" w:cs="Times New Roman"/>
          <w:szCs w:val="21"/>
        </w:rPr>
        <w:t>）</w:t>
      </w:r>
    </w:p>
    <w:p w14:paraId="2A038E2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NE.Ref.{1079C1D6-A7AC-4E42-A2B1-CF960CD8412C}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Sheridan, Wei and Xie (2004)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，资本投资因子计算公式如下：</w:t>
      </w:r>
    </w:p>
    <w:p w14:paraId="6571F96F" w14:textId="77777777" w:rsidR="00DD3167" w:rsidRPr="00F971D8" w:rsidRDefault="00E40C9D" w:rsidP="00DD3167">
      <w:pPr>
        <w:spacing w:line="276" w:lineRule="auto"/>
        <w:ind w:firstLine="440"/>
        <w:rPr>
          <w:rFonts w:ascii="Times-Roman" w:hAnsi="Times-Roman" w:hint="eastAsia"/>
          <w:color w:val="404040" w:themeColor="text1" w:themeTint="BF"/>
          <w:szCs w:val="21"/>
        </w:rPr>
      </w:pPr>
      <m:oMathPara>
        <m:oMath>
          <m:sSub>
            <m:sSubPr>
              <m:ctrlPr>
                <w:rPr>
                  <w:rFonts w:ascii="Cambria Math" w:hAnsi="Cambria Math"/>
                  <w:color w:val="404040" w:themeColor="text1" w:themeTint="BF"/>
                  <w:szCs w:val="21"/>
                </w:rPr>
              </m:ctrlPr>
            </m:sSubPr>
            <m:e>
              <m:r>
                <w:rPr>
                  <w:rFonts w:ascii="Cambria Math" w:hAnsi="Cambria Math"/>
                  <w:color w:val="404040" w:themeColor="text1" w:themeTint="BF"/>
                  <w:szCs w:val="21"/>
                </w:rPr>
                <m:t>CI</m:t>
              </m:r>
            </m:e>
            <m:sub>
              <m:r>
                <w:rPr>
                  <w:rFonts w:ascii="Cambria Math" w:hAnsi="Cambria Math" w:hint="eastAsia"/>
                  <w:color w:val="404040" w:themeColor="text1" w:themeTint="BF"/>
                  <w:szCs w:val="21"/>
                </w:rPr>
                <m:t>t</m:t>
              </m:r>
            </m:sub>
          </m:sSub>
          <m:r>
            <w:rPr>
              <w:rFonts w:ascii="Cambria Math" w:hAnsi="Cambria Math" w:hint="eastAsia"/>
              <w:color w:val="404040" w:themeColor="text1" w:themeTint="BF"/>
              <w:szCs w:val="21"/>
            </w:rPr>
            <m:t>=</m:t>
          </m:r>
          <m:f>
            <m:fPr>
              <m:ctrlPr>
                <w:rPr>
                  <w:rFonts w:ascii="Cambria Math" w:hAnsi="Cambria Math"/>
                  <w:i/>
                  <w:color w:val="404040" w:themeColor="text1" w:themeTint="BF"/>
                  <w:szCs w:val="21"/>
                </w:rPr>
              </m:ctrlPr>
            </m:fPr>
            <m:num>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CE</m:t>
                  </m:r>
                </m:e>
                <m:sub>
                  <m:r>
                    <w:rPr>
                      <w:rFonts w:ascii="Cambria Math" w:hAnsi="Cambria Math" w:hint="eastAsia"/>
                      <w:color w:val="404040" w:themeColor="text1" w:themeTint="BF"/>
                      <w:szCs w:val="21"/>
                    </w:rPr>
                    <m:t>t</m:t>
                  </m:r>
                  <m:r>
                    <w:rPr>
                      <w:rFonts w:ascii="微软雅黑" w:eastAsia="微软雅黑" w:hAnsi="微软雅黑" w:cs="微软雅黑" w:hint="eastAsia"/>
                      <w:color w:val="404040" w:themeColor="text1" w:themeTint="BF"/>
                      <w:szCs w:val="21"/>
                    </w:rPr>
                    <m:t>-</m:t>
                  </m:r>
                  <m:r>
                    <w:rPr>
                      <w:rFonts w:ascii="Cambria Math" w:hAnsi="Cambria Math"/>
                      <w:color w:val="404040" w:themeColor="text1" w:themeTint="BF"/>
                      <w:szCs w:val="21"/>
                    </w:rPr>
                    <m:t>1</m:t>
                  </m:r>
                </m:sub>
              </m:sSub>
            </m:num>
            <m:den>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CE</m:t>
                  </m:r>
                </m:e>
                <m:sub>
                  <m:r>
                    <w:rPr>
                      <w:rFonts w:ascii="Cambria Math" w:hAnsi="Cambria Math" w:hint="eastAsia"/>
                      <w:color w:val="404040" w:themeColor="text1" w:themeTint="BF"/>
                      <w:szCs w:val="21"/>
                    </w:rPr>
                    <m:t>t</m:t>
                  </m:r>
                  <m:r>
                    <w:rPr>
                      <w:rFonts w:ascii="Cambria Math" w:eastAsia="微软雅黑" w:hAnsi="Cambria Math" w:cs="微软雅黑" w:hint="eastAsia"/>
                      <w:color w:val="404040" w:themeColor="text1" w:themeTint="BF"/>
                      <w:szCs w:val="21"/>
                    </w:rPr>
                    <m:t>-</m:t>
                  </m:r>
                  <m:r>
                    <w:rPr>
                      <w:rFonts w:ascii="Cambria Math" w:hAnsi="Cambria Math"/>
                      <w:color w:val="404040" w:themeColor="text1" w:themeTint="BF"/>
                      <w:szCs w:val="21"/>
                    </w:rPr>
                    <m:t>2</m:t>
                  </m:r>
                </m:sub>
              </m:sSub>
              <m:r>
                <w:rPr>
                  <w:rFonts w:ascii="Cambria Math" w:hAnsi="Cambria Math" w:hint="eastAsia"/>
                  <w:color w:val="404040" w:themeColor="text1" w:themeTint="BF"/>
                  <w:szCs w:val="21"/>
                </w:rPr>
                <m:t>+</m:t>
              </m:r>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CE</m:t>
                  </m:r>
                </m:e>
                <m:sub>
                  <m:r>
                    <w:rPr>
                      <w:rFonts w:ascii="Cambria Math" w:hAnsi="Cambria Math" w:hint="eastAsia"/>
                      <w:color w:val="404040" w:themeColor="text1" w:themeTint="BF"/>
                      <w:szCs w:val="21"/>
                    </w:rPr>
                    <m:t>t</m:t>
                  </m:r>
                  <m:r>
                    <w:rPr>
                      <w:rFonts w:ascii="Cambria Math" w:eastAsia="微软雅黑" w:hAnsi="Cambria Math" w:cs="微软雅黑" w:hint="eastAsia"/>
                      <w:color w:val="404040" w:themeColor="text1" w:themeTint="BF"/>
                      <w:szCs w:val="21"/>
                    </w:rPr>
                    <m:t>-</m:t>
                  </m:r>
                  <m:r>
                    <w:rPr>
                      <w:rFonts w:ascii="Cambria Math" w:hAnsi="Cambria Math"/>
                      <w:color w:val="404040" w:themeColor="text1" w:themeTint="BF"/>
                      <w:szCs w:val="21"/>
                    </w:rPr>
                    <m:t>3</m:t>
                  </m:r>
                </m:sub>
              </m:sSub>
              <m:r>
                <w:rPr>
                  <w:rFonts w:ascii="Cambria Math" w:hAnsi="Cambria Math" w:hint="eastAsia"/>
                  <w:color w:val="404040" w:themeColor="text1" w:themeTint="BF"/>
                  <w:szCs w:val="21"/>
                </w:rPr>
                <m:t>+</m:t>
              </m:r>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CE</m:t>
                  </m:r>
                </m:e>
                <m:sub>
                  <m:r>
                    <w:rPr>
                      <w:rFonts w:ascii="Cambria Math" w:hAnsi="Cambria Math" w:hint="eastAsia"/>
                      <w:color w:val="404040" w:themeColor="text1" w:themeTint="BF"/>
                      <w:szCs w:val="21"/>
                    </w:rPr>
                    <m:t>t</m:t>
                  </m:r>
                  <m:r>
                    <w:rPr>
                      <w:rFonts w:ascii="Cambria Math" w:eastAsia="微软雅黑" w:hAnsi="Cambria Math" w:cs="微软雅黑" w:hint="eastAsia"/>
                      <w:color w:val="404040" w:themeColor="text1" w:themeTint="BF"/>
                      <w:szCs w:val="21"/>
                    </w:rPr>
                    <m:t>-</m:t>
                  </m:r>
                  <m:r>
                    <w:rPr>
                      <w:rFonts w:ascii="Cambria Math" w:hAnsi="Cambria Math"/>
                      <w:color w:val="404040" w:themeColor="text1" w:themeTint="BF"/>
                      <w:szCs w:val="21"/>
                    </w:rPr>
                    <m:t>4</m:t>
                  </m:r>
                </m:sub>
              </m:sSub>
            </m:den>
          </m:f>
          <m:r>
            <m:rPr>
              <m:sty m:val="p"/>
            </m:rPr>
            <w:rPr>
              <w:rFonts w:ascii="微软雅黑" w:eastAsia="微软雅黑" w:hAnsi="微软雅黑" w:cs="微软雅黑" w:hint="eastAsia"/>
              <w:color w:val="404040" w:themeColor="text1" w:themeTint="BF"/>
              <w:szCs w:val="21"/>
            </w:rPr>
            <m:t>-</m:t>
          </m:r>
          <m:r>
            <m:rPr>
              <m:sty m:val="p"/>
            </m:rPr>
            <w:rPr>
              <w:rFonts w:ascii="Cambria Math" w:hAnsi="Cambria Math"/>
              <w:color w:val="404040" w:themeColor="text1" w:themeTint="BF"/>
              <w:szCs w:val="21"/>
            </w:rPr>
            <m:t>1</m:t>
          </m:r>
        </m:oMath>
      </m:oMathPara>
    </w:p>
    <w:p w14:paraId="607B142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szCs w:val="21"/>
        </w:rPr>
        <w:t>t-1</w:t>
      </w:r>
      <w:r w:rsidRPr="00F971D8">
        <w:rPr>
          <w:rFonts w:ascii="Times New Roman" w:eastAsia="宋体" w:hAnsi="Times New Roman" w:cs="Times New Roman"/>
          <w:szCs w:val="21"/>
        </w:rPr>
        <w:t>期资本费用率</w:t>
      </w:r>
      <m:oMath>
        <m:sSub>
          <m:sSubPr>
            <m:ctrlPr>
              <w:rPr>
                <w:rFonts w:ascii="Cambria Math" w:hAnsi="Cambria Math"/>
                <w:color w:val="404040" w:themeColor="text1" w:themeTint="BF"/>
                <w:szCs w:val="21"/>
              </w:rPr>
            </m:ctrlPr>
          </m:sSubPr>
          <m:e>
            <m:r>
              <w:rPr>
                <w:rFonts w:ascii="Cambria Math" w:hAnsi="Cambria Math"/>
                <w:color w:val="404040" w:themeColor="text1" w:themeTint="BF"/>
                <w:szCs w:val="21"/>
              </w:rPr>
              <m:t>CE</m:t>
            </m:r>
          </m:e>
          <m:sub>
            <m:r>
              <w:rPr>
                <w:rFonts w:ascii="Cambria Math" w:hAnsi="Cambria Math" w:hint="eastAsia"/>
                <w:color w:val="404040" w:themeColor="text1" w:themeTint="BF"/>
                <w:szCs w:val="21"/>
              </w:rPr>
              <m:t>t</m:t>
            </m:r>
            <m:r>
              <w:rPr>
                <w:rFonts w:ascii="微软雅黑" w:eastAsia="微软雅黑" w:hAnsi="微软雅黑" w:cs="微软雅黑" w:hint="eastAsia"/>
                <w:color w:val="404040" w:themeColor="text1" w:themeTint="BF"/>
                <w:szCs w:val="21"/>
              </w:rPr>
              <m:t>-</m:t>
            </m:r>
            <m:r>
              <w:rPr>
                <w:rFonts w:ascii="Cambria Math" w:hAnsi="Cambria Math"/>
                <w:color w:val="404040" w:themeColor="text1" w:themeTint="BF"/>
                <w:szCs w:val="21"/>
              </w:rPr>
              <m:t>1</m:t>
            </m:r>
          </m:sub>
        </m:sSub>
      </m:oMath>
      <w:r w:rsidRPr="00F971D8">
        <w:rPr>
          <w:rFonts w:ascii="Times New Roman" w:eastAsia="宋体" w:hAnsi="Times New Roman" w:cs="Times New Roman"/>
          <w:szCs w:val="21"/>
        </w:rPr>
        <w:t>为资本支出除以销售收入</w:t>
      </w:r>
    </w:p>
    <w:p w14:paraId="6CC10D8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简化来看，该因子的计算为固定资产净值除以营业收入，取三个季度的平均。</w:t>
      </w:r>
    </w:p>
    <w:p w14:paraId="453113CA" w14:textId="77777777" w:rsidR="00DD3167" w:rsidRPr="00F971D8" w:rsidRDefault="00DD3167" w:rsidP="00DD3167">
      <w:pPr>
        <w:spacing w:line="276" w:lineRule="auto"/>
        <w:rPr>
          <w:rFonts w:ascii="Times New Roman" w:eastAsia="宋体" w:hAnsi="Times New Roman" w:cs="Times New Roman"/>
          <w:szCs w:val="21"/>
        </w:rPr>
      </w:pP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由于财务数据的可得性有限，认为资本支出当期固定资产净值，认为销售收入为营业总收入；且该因子的起始日期为</w:t>
      </w:r>
      <w:r w:rsidRPr="00F971D8">
        <w:rPr>
          <w:rFonts w:ascii="Times New Roman" w:eastAsia="宋体" w:hAnsi="Times New Roman" w:cs="Times New Roman"/>
          <w:szCs w:val="21"/>
        </w:rPr>
        <w:t>1998</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06D1101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折旧率（</w:t>
      </w:r>
      <w:r w:rsidRPr="00F971D8">
        <w:rPr>
          <w:rFonts w:ascii="Times New Roman" w:eastAsia="宋体" w:hAnsi="Times New Roman" w:cs="Times New Roman"/>
          <w:szCs w:val="21"/>
        </w:rPr>
        <w:t>Depreciation / PP&amp;E</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depr</w:t>
      </w:r>
      <w:r w:rsidRPr="00F971D8">
        <w:rPr>
          <w:rFonts w:ascii="Times New Roman" w:eastAsia="宋体" w:hAnsi="Times New Roman" w:cs="Times New Roman"/>
          <w:szCs w:val="21"/>
        </w:rPr>
        <w:t>）</w:t>
      </w:r>
    </w:p>
    <w:p w14:paraId="1D63F94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NE.Ref.{B2304B96-E20B-46B1-8BB6-D52A3AEB1CDD}</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Holthausen and Larcker (1992)</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，折旧率因子为折旧率等于固定资产折旧除以固定资产净值。</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由于财务数据的可得性有限，该因子的起始日期为</w:t>
      </w:r>
      <w:r w:rsidRPr="00F971D8">
        <w:rPr>
          <w:rFonts w:ascii="Times New Roman" w:eastAsia="宋体" w:hAnsi="Times New Roman" w:cs="Times New Roman"/>
          <w:szCs w:val="21"/>
        </w:rPr>
        <w:t>1998</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1F601E3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折旧变化（</w:t>
      </w:r>
      <w:r w:rsidRPr="00F971D8">
        <w:rPr>
          <w:rFonts w:ascii="Times New Roman" w:eastAsia="宋体" w:hAnsi="Times New Roman" w:cs="Times New Roman"/>
          <w:szCs w:val="21"/>
        </w:rPr>
        <w:t>% change in depreciation</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pchdepr</w:t>
      </w:r>
      <w:r w:rsidRPr="00F971D8">
        <w:rPr>
          <w:rFonts w:ascii="Times New Roman" w:eastAsia="宋体" w:hAnsi="Times New Roman" w:cs="Times New Roman"/>
          <w:szCs w:val="21"/>
        </w:rPr>
        <w:t>）</w:t>
      </w:r>
    </w:p>
    <w:p w14:paraId="45733D7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NE.Ref.{0E628659-72CF-47C9-96F1-27AB1FFBAA89}</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Holthausen and Larcker (1992)</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，折旧率变化因子为固定资产折旧环比变化率。</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710A5EF0"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股东权益变化（</w:t>
      </w:r>
      <w:r w:rsidRPr="00F971D8">
        <w:rPr>
          <w:rFonts w:ascii="Times New Roman" w:eastAsia="宋体" w:hAnsi="Times New Roman" w:cs="Times New Roman"/>
          <w:szCs w:val="21"/>
        </w:rPr>
        <w:t>Change in shareholders’ equity</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egr</w:t>
      </w:r>
      <w:r w:rsidRPr="00F971D8">
        <w:rPr>
          <w:rFonts w:ascii="Times New Roman" w:eastAsia="宋体" w:hAnsi="Times New Roman" w:cs="Times New Roman"/>
          <w:szCs w:val="21"/>
        </w:rPr>
        <w:t>）</w:t>
      </w:r>
    </w:p>
    <w:p w14:paraId="35E9136D"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NE.Ref.{ED08DE60-C9CB-4A84-AC89-B7014F86F569}</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Richardson, Sloan, Soliman and Tuna (2005)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，该因子的计算为股东权益的同比变化。</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w:t>
      </w:r>
      <w:r w:rsidRPr="00F971D8">
        <w:rPr>
          <w:rFonts w:ascii="Times New Roman" w:eastAsia="宋体" w:hAnsi="Times New Roman" w:cs="Times New Roman" w:hint="eastAsia"/>
          <w:szCs w:val="21"/>
        </w:rPr>
        <w:t>失季报数据，则延用上一期的年报或半年报数据。该因子的起始日期为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499B085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分析师预测每股收益（</w:t>
      </w:r>
      <w:r w:rsidRPr="00F971D8">
        <w:rPr>
          <w:rFonts w:ascii="Times New Roman" w:eastAsia="宋体" w:hAnsi="Times New Roman" w:cs="Times New Roman"/>
          <w:szCs w:val="21"/>
        </w:rPr>
        <w:t>Forecasted growth in 5-year EPS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fgr5yr</w:t>
      </w:r>
      <w:r w:rsidRPr="00F971D8">
        <w:rPr>
          <w:rFonts w:ascii="Times New Roman" w:eastAsia="宋体" w:hAnsi="Times New Roman" w:cs="Times New Roman"/>
          <w:szCs w:val="21"/>
        </w:rPr>
        <w:t>）</w:t>
      </w:r>
    </w:p>
    <w:p w14:paraId="5B9C30A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NE.Ref.{D07FD77C-7001-47AC-916A-8ABF331F8990}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Dowen (1988)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，该因子的计算为最近可以的分析师预测</w:t>
      </w:r>
      <w:r w:rsidRPr="00F971D8">
        <w:rPr>
          <w:rFonts w:ascii="Times New Roman" w:eastAsia="宋体" w:hAnsi="Times New Roman" w:cs="Times New Roman"/>
          <w:szCs w:val="21"/>
        </w:rPr>
        <w:t>5</w:t>
      </w:r>
      <w:r w:rsidRPr="00F971D8">
        <w:rPr>
          <w:rFonts w:ascii="Times New Roman" w:eastAsia="宋体" w:hAnsi="Times New Roman" w:cs="Times New Roman"/>
          <w:szCs w:val="21"/>
        </w:rPr>
        <w:t>年内每股收益的增长率。</w:t>
      </w:r>
      <w:r w:rsidRPr="00F971D8">
        <w:rPr>
          <w:rFonts w:ascii="Times New Roman" w:eastAsia="宋体" w:hAnsi="Times New Roman" w:cs="Times New Roman" w:hint="eastAsia"/>
          <w:szCs w:val="21"/>
        </w:rPr>
        <w:t>由于国泰安数据库中数据的可得性有限，该因子的起始日期为</w:t>
      </w:r>
      <w:r w:rsidRPr="00F971D8">
        <w:rPr>
          <w:rFonts w:ascii="Times New Roman" w:eastAsia="宋体" w:hAnsi="Times New Roman" w:cs="Times New Roman"/>
          <w:szCs w:val="21"/>
        </w:rPr>
        <w:t>2000</w:t>
      </w:r>
      <w:r w:rsidRPr="00F971D8">
        <w:rPr>
          <w:rFonts w:ascii="Times New Roman" w:eastAsia="宋体" w:hAnsi="Times New Roman" w:cs="Times New Roman"/>
          <w:szCs w:val="21"/>
        </w:rPr>
        <w:t>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1204175F"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资本支出变化（</w:t>
      </w:r>
      <w:r w:rsidRPr="00F971D8">
        <w:rPr>
          <w:rFonts w:ascii="Times New Roman" w:eastAsia="宋体" w:hAnsi="Times New Roman" w:cs="Times New Roman"/>
          <w:szCs w:val="21"/>
        </w:rPr>
        <w:t>Percent change in capital expenditures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grCAPX</w:t>
      </w:r>
      <w:r w:rsidRPr="00F971D8">
        <w:rPr>
          <w:rFonts w:ascii="Times New Roman" w:eastAsia="宋体" w:hAnsi="Times New Roman" w:cs="Times New Roman"/>
          <w:szCs w:val="21"/>
        </w:rPr>
        <w:t>）</w:t>
      </w:r>
    </w:p>
    <w:p w14:paraId="420145A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NE.Ref.{A95D4002-8DE3-4BE9-A39B-1A85AB9ADC54}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Anderson and Garcia-Feijóo (2006)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，该因子的计算为当期与前年当期资本支出的百分比变化。</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由于财务数据的可得性有限，该因子的起始日期为</w:t>
      </w:r>
      <w:r w:rsidRPr="00F971D8">
        <w:rPr>
          <w:rFonts w:ascii="Times New Roman" w:eastAsia="宋体" w:hAnsi="Times New Roman" w:cs="Times New Roman"/>
          <w:szCs w:val="21"/>
        </w:rPr>
        <w:t>2000</w:t>
      </w:r>
      <w:r w:rsidRPr="00F971D8">
        <w:rPr>
          <w:rFonts w:ascii="Times New Roman" w:eastAsia="宋体" w:hAnsi="Times New Roman" w:cs="Times New Roman"/>
          <w:szCs w:val="21"/>
        </w:rPr>
        <w:t>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45DA86C4"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行业调整的资本支出变化（</w:t>
      </w:r>
      <w:r w:rsidRPr="00F971D8">
        <w:rPr>
          <w:rFonts w:ascii="Times New Roman" w:eastAsia="宋体" w:hAnsi="Times New Roman" w:cs="Times New Roman"/>
          <w:szCs w:val="21"/>
        </w:rPr>
        <w:t>Industry adjusted % change in capital expenditures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pchcapx_ia</w:t>
      </w:r>
      <w:r w:rsidRPr="00F971D8">
        <w:rPr>
          <w:rFonts w:ascii="Times New Roman" w:eastAsia="宋体" w:hAnsi="Times New Roman" w:cs="Times New Roman"/>
          <w:szCs w:val="21"/>
        </w:rPr>
        <w:t>）</w:t>
      </w:r>
    </w:p>
    <w:p w14:paraId="6B70D84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NE.Ref.{23A79512-41C5-4E94-BAE0-B781C5B6BF08}</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Bushee and Abarbanell (1997)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，该因子的计算为改上市公司资本支出变化减去公司所在行业资本支出变化。行业分类标准按照国泰安数据库中股票代码筛选中的选项</w:t>
      </w:r>
      <w:r w:rsidRPr="00F971D8">
        <w:rPr>
          <w:rFonts w:ascii="Times New Roman" w:eastAsia="宋体" w:hAnsi="Times New Roman" w:cs="Times New Roman"/>
          <w:szCs w:val="21"/>
        </w:rPr>
        <w:t>“</w:t>
      </w:r>
      <w:r w:rsidRPr="00F971D8">
        <w:rPr>
          <w:rFonts w:ascii="Times New Roman" w:eastAsia="宋体" w:hAnsi="Times New Roman" w:cs="Times New Roman"/>
          <w:szCs w:val="21"/>
        </w:rPr>
        <w:t>证监会行业分类</w:t>
      </w:r>
      <w:r w:rsidRPr="00F971D8">
        <w:rPr>
          <w:rFonts w:ascii="Times New Roman" w:eastAsia="宋体" w:hAnsi="Times New Roman" w:cs="Times New Roman"/>
          <w:szCs w:val="21"/>
        </w:rPr>
        <w:t>-2010</w:t>
      </w:r>
      <w:r w:rsidRPr="00F971D8">
        <w:rPr>
          <w:rFonts w:ascii="Times New Roman" w:eastAsia="宋体" w:hAnsi="Times New Roman" w:cs="Times New Roman"/>
          <w:szCs w:val="21"/>
        </w:rPr>
        <w:t>年版本</w:t>
      </w:r>
      <w:r w:rsidRPr="00F971D8">
        <w:rPr>
          <w:rFonts w:ascii="Times New Roman" w:eastAsia="宋体" w:hAnsi="Times New Roman" w:cs="Times New Roman"/>
          <w:szCs w:val="21"/>
        </w:rPr>
        <w:t>”</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p>
    <w:p w14:paraId="63261C25"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lastRenderedPageBreak/>
        <w:t>由于财务数据的可得性有限，该因子的起始日期为</w:t>
      </w:r>
      <w:r w:rsidRPr="00F971D8">
        <w:rPr>
          <w:rFonts w:ascii="Times New Roman" w:eastAsia="宋体" w:hAnsi="Times New Roman" w:cs="Times New Roman"/>
          <w:szCs w:val="21"/>
        </w:rPr>
        <w:t>2000</w:t>
      </w:r>
      <w:r w:rsidRPr="00F971D8">
        <w:rPr>
          <w:rFonts w:ascii="Times New Roman" w:eastAsia="宋体" w:hAnsi="Times New Roman" w:cs="Times New Roman"/>
          <w:szCs w:val="21"/>
        </w:rPr>
        <w:t>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48129720"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净经营性资产的增长率（</w:t>
      </w:r>
      <w:r w:rsidRPr="00F971D8">
        <w:rPr>
          <w:rFonts w:ascii="Times New Roman" w:eastAsia="宋体" w:hAnsi="Times New Roman" w:cs="Times New Roman"/>
          <w:szCs w:val="21"/>
        </w:rPr>
        <w:t>Growth in long-term net operating assets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grltnoa</w:t>
      </w:r>
      <w:r w:rsidRPr="00F971D8">
        <w:rPr>
          <w:rFonts w:ascii="Times New Roman" w:eastAsia="宋体" w:hAnsi="Times New Roman" w:cs="Times New Roman"/>
          <w:szCs w:val="21"/>
        </w:rPr>
        <w:t>）</w:t>
      </w:r>
    </w:p>
    <w:p w14:paraId="0C3C7EB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NE.Ref.{5525D11A-0DB4-4F5C-9BC9-31F5666440CD}</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Fairfield, Whisenant and Yohn (2003)</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，该因子的计算为长期净经营性资产的增长率。净经营性资产的计算见</w:t>
      </w:r>
      <w:r w:rsidRPr="00F971D8">
        <w:rPr>
          <w:rFonts w:ascii="Times New Roman" w:eastAsia="宋体" w:hAnsi="Times New Roman" w:cs="Times New Roman"/>
          <w:szCs w:val="21"/>
        </w:rPr>
        <w:t xml:space="preserve">68. </w:t>
      </w:r>
      <w:r w:rsidRPr="00F971D8">
        <w:rPr>
          <w:rFonts w:ascii="Times New Roman" w:eastAsia="宋体" w:hAnsi="Times New Roman" w:cs="Times New Roman"/>
          <w:szCs w:val="21"/>
        </w:rPr>
        <w:t>净经营性资产（</w:t>
      </w:r>
      <w:r w:rsidRPr="00F971D8">
        <w:rPr>
          <w:rFonts w:ascii="Times New Roman" w:eastAsia="宋体" w:hAnsi="Times New Roman" w:cs="Times New Roman"/>
          <w:szCs w:val="21"/>
        </w:rPr>
        <w:t>NOA</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07D709E1"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投资（</w:t>
      </w:r>
      <w:r w:rsidRPr="00F971D8">
        <w:rPr>
          <w:rFonts w:ascii="Times New Roman" w:eastAsia="宋体" w:hAnsi="Times New Roman" w:cs="Times New Roman"/>
          <w:szCs w:val="21"/>
        </w:rPr>
        <w:t>Capital expenditures and inventory</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invest</w:t>
      </w:r>
      <w:r w:rsidRPr="00F971D8">
        <w:rPr>
          <w:rFonts w:ascii="Times New Roman" w:eastAsia="宋体" w:hAnsi="Times New Roman" w:cs="Times New Roman"/>
          <w:szCs w:val="21"/>
        </w:rPr>
        <w:t>）</w:t>
      </w:r>
    </w:p>
    <w:p w14:paraId="5FA2C1D2"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NE.Ref.{B2FC28F0-298B-4CA2-A5D9-B1C3CAFCC5BF}</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Chen and Zhang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，该因子的计算公式为资本支出变化加上存货变化</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由于财务数据的可得性有限，该因子的起始日期为</w:t>
      </w:r>
      <w:r w:rsidRPr="00F971D8">
        <w:rPr>
          <w:rFonts w:ascii="Times New Roman" w:eastAsia="宋体" w:hAnsi="Times New Roman" w:cs="Times New Roman"/>
          <w:szCs w:val="21"/>
        </w:rPr>
        <w:t>2000</w:t>
      </w:r>
      <w:r w:rsidRPr="00F971D8">
        <w:rPr>
          <w:rFonts w:ascii="Times New Roman" w:eastAsia="宋体" w:hAnsi="Times New Roman" w:cs="Times New Roman"/>
          <w:szCs w:val="21"/>
        </w:rPr>
        <w:t>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01F28144"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销售收入变化减去存货变化（</w:t>
      </w:r>
      <w:r w:rsidRPr="00F971D8">
        <w:rPr>
          <w:rFonts w:ascii="Times New Roman" w:eastAsia="宋体" w:hAnsi="Times New Roman" w:cs="Times New Roman"/>
          <w:szCs w:val="21"/>
        </w:rPr>
        <w:t>% change in sales - % change in</w:t>
      </w:r>
    </w:p>
    <w:p w14:paraId="4F55B75D" w14:textId="77777777" w:rsidR="00DD3167" w:rsidRPr="00F971D8" w:rsidRDefault="00DD3167" w:rsidP="00DD3167">
      <w:pPr>
        <w:spacing w:line="276" w:lineRule="auto"/>
        <w:rPr>
          <w:rFonts w:ascii="Times New Roman" w:eastAsia="宋体" w:hAnsi="Times New Roman" w:cs="Times New Roman"/>
          <w:szCs w:val="21"/>
        </w:rPr>
      </w:pPr>
      <w:r w:rsidRPr="00F971D8">
        <w:rPr>
          <w:rFonts w:ascii="Times New Roman" w:eastAsia="宋体" w:hAnsi="Times New Roman" w:cs="Times New Roman"/>
          <w:szCs w:val="21"/>
        </w:rPr>
        <w:t>inventory</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pchsale_pchinvt</w:t>
      </w:r>
      <w:r w:rsidRPr="00F971D8">
        <w:rPr>
          <w:rFonts w:ascii="Times New Roman" w:eastAsia="宋体" w:hAnsi="Times New Roman" w:cs="Times New Roman"/>
          <w:szCs w:val="21"/>
        </w:rPr>
        <w:t>）</w:t>
      </w:r>
    </w:p>
    <w:p w14:paraId="26684454"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NE.Ref.{1269646D-0457-437B-A1AE-A8EC05127DFC}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Bushee and Abarbanell (1997)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，该因子的计算方式为销售收入变化减去存货变化。</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09121752"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销售收入变化减去应收账款变化（</w:t>
      </w:r>
      <w:r w:rsidRPr="00F971D8">
        <w:rPr>
          <w:rFonts w:ascii="Times New Roman" w:eastAsia="宋体" w:hAnsi="Times New Roman" w:cs="Times New Roman"/>
          <w:szCs w:val="21"/>
        </w:rPr>
        <w:t>"% change in sales - % change in</w:t>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szCs w:val="21"/>
        </w:rPr>
        <w:t>A/R"</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pchsale_pchrect</w:t>
      </w:r>
      <w:r w:rsidRPr="00F971D8">
        <w:rPr>
          <w:rFonts w:ascii="Times New Roman" w:eastAsia="宋体" w:hAnsi="Times New Roman" w:cs="Times New Roman"/>
          <w:szCs w:val="21"/>
        </w:rPr>
        <w:t>）</w:t>
      </w:r>
    </w:p>
    <w:p w14:paraId="16155F3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NE.Ref.{0FC18984-A30E-436C-918D-2ADA8C61D112}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Bushee and Abarbanell (1997)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，该因子的计算方式为销售收入变化减去应收账款变化。</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4CF34E59"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销售收入变化减去三费变化（</w:t>
      </w:r>
      <w:r w:rsidRPr="00F971D8">
        <w:rPr>
          <w:rFonts w:ascii="Times New Roman" w:eastAsia="宋体" w:hAnsi="Times New Roman" w:cs="Times New Roman"/>
          <w:szCs w:val="21"/>
        </w:rPr>
        <w:t>% change in sales - % change in</w:t>
      </w:r>
      <w:r w:rsidRPr="00F971D8">
        <w:rPr>
          <w:rFonts w:ascii="Times New Roman" w:eastAsia="宋体" w:hAnsi="Times New Roman" w:cs="Times New Roman" w:hint="eastAsia"/>
          <w:szCs w:val="21"/>
        </w:rPr>
        <w:t xml:space="preserve"> </w:t>
      </w:r>
      <w:r w:rsidRPr="00F971D8">
        <w:rPr>
          <w:rFonts w:ascii="Times New Roman" w:eastAsia="宋体" w:hAnsi="Times New Roman" w:cs="Times New Roman"/>
          <w:szCs w:val="21"/>
        </w:rPr>
        <w:t>SG&amp;A</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pchsale_pchxsga</w:t>
      </w:r>
      <w:r w:rsidRPr="00F971D8">
        <w:rPr>
          <w:rFonts w:ascii="Times New Roman" w:eastAsia="宋体" w:hAnsi="Times New Roman" w:cs="Times New Roman"/>
          <w:szCs w:val="21"/>
        </w:rPr>
        <w:t>）</w:t>
      </w:r>
    </w:p>
    <w:p w14:paraId="2D118619"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NE.Ref.{B9ABD56F-F496-4C3A-ABF6-59C4D1B11292}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Bushee and Abarbanell (1997)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，该因子的计算方式为销售收入变化减去管理费用、销售费用和财务费用总和的变化。</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145237C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不动产（</w:t>
      </w:r>
      <w:r w:rsidRPr="00F971D8">
        <w:rPr>
          <w:rFonts w:ascii="Times New Roman" w:eastAsia="宋体" w:hAnsi="Times New Roman" w:cs="Times New Roman"/>
          <w:szCs w:val="21"/>
        </w:rPr>
        <w:t>Real estate holdings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realestate</w:t>
      </w:r>
      <w:r w:rsidRPr="00F971D8">
        <w:rPr>
          <w:rFonts w:ascii="Times New Roman" w:eastAsia="宋体" w:hAnsi="Times New Roman" w:cs="Times New Roman"/>
          <w:szCs w:val="21"/>
        </w:rPr>
        <w:t>）</w:t>
      </w:r>
    </w:p>
    <w:p w14:paraId="3132F78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NE.Ref.{745449DB-C2CD-4B98-B9AE-0BB308F74605}</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Tuzel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，该因子直接用固定资产代替。</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0B4EEA4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销售增长（</w:t>
      </w:r>
      <w:r w:rsidRPr="00F971D8">
        <w:rPr>
          <w:rFonts w:ascii="Times New Roman" w:eastAsia="宋体" w:hAnsi="Times New Roman" w:cs="Times New Roman"/>
          <w:szCs w:val="21"/>
        </w:rPr>
        <w:t>Sales growth</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sgr</w:t>
      </w:r>
      <w:r w:rsidRPr="00F971D8">
        <w:rPr>
          <w:rFonts w:ascii="Times New Roman" w:eastAsia="宋体" w:hAnsi="Times New Roman" w:cs="Times New Roman"/>
          <w:szCs w:val="21"/>
        </w:rPr>
        <w:t>）</w:t>
      </w:r>
    </w:p>
    <w:p w14:paraId="6D7DB54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NE.Ref.{B73F1DF9-7D88-4BE8-AA57-C82377B3EEF2}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Lakonishok, Shleifer and Vishny (1994)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，该因子计算方式为销售收入的年同比增长率。销售收入用营业总收入代替。</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w:t>
      </w:r>
      <w:r w:rsidRPr="00F971D8">
        <w:rPr>
          <w:rFonts w:ascii="Times New Roman" w:eastAsia="宋体" w:hAnsi="Times New Roman" w:cs="Times New Roman"/>
          <w:szCs w:val="21"/>
        </w:rPr>
        <w:lastRenderedPageBreak/>
        <w:t>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0A9F38D6"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净经营性资产</w:t>
      </w:r>
      <w:r w:rsidRPr="00F971D8">
        <w:rPr>
          <w:rFonts w:ascii="Times New Roman" w:eastAsia="宋体" w:hAnsi="Times New Roman" w:cs="Times New Roman"/>
          <w:szCs w:val="21"/>
        </w:rPr>
        <w:t>(Net operating assets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NOA)</w:t>
      </w:r>
    </w:p>
    <w:p w14:paraId="1954227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NE.Ref.{E773BF0D-9A26-4F0B-A72B-DE3D63419F49}</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Hirshleifer, Hou, Teoh and Zhang (2004)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，该因子的计算公式为：</w:t>
      </w:r>
    </w:p>
    <w:p w14:paraId="4BBAF5F6" w14:textId="77777777" w:rsidR="00DD3167" w:rsidRPr="00F971D8" w:rsidRDefault="00E40C9D" w:rsidP="00DD3167">
      <w:pPr>
        <w:spacing w:line="276" w:lineRule="auto"/>
        <w:ind w:firstLine="440"/>
        <w:jc w:val="center"/>
        <w:rPr>
          <w:color w:val="404040" w:themeColor="text1" w:themeTint="BF"/>
          <w:szCs w:val="21"/>
        </w:rPr>
      </w:pPr>
      <m:oMathPara>
        <m:oMath>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Net Operating Assets</m:t>
              </m:r>
            </m:e>
            <m:sub>
              <m:r>
                <w:rPr>
                  <w:rFonts w:ascii="Cambria Math" w:hAnsi="Cambria Math"/>
                  <w:color w:val="404040" w:themeColor="text1" w:themeTint="BF"/>
                  <w:szCs w:val="21"/>
                </w:rPr>
                <m:t>T</m:t>
              </m:r>
            </m:sub>
          </m:sSub>
          <m:r>
            <w:rPr>
              <w:rFonts w:ascii="Cambria Math" w:hAnsi="Cambria Math"/>
              <w:color w:val="404040" w:themeColor="text1" w:themeTint="BF"/>
              <w:szCs w:val="21"/>
            </w:rPr>
            <m:t>=</m:t>
          </m:r>
          <m:nary>
            <m:naryPr>
              <m:chr m:val="∑"/>
              <m:limLoc m:val="undOvr"/>
              <m:ctrlPr>
                <w:rPr>
                  <w:rFonts w:ascii="Cambria Math" w:hAnsi="Cambria Math"/>
                  <w:color w:val="404040" w:themeColor="text1" w:themeTint="BF"/>
                  <w:szCs w:val="21"/>
                </w:rPr>
              </m:ctrlPr>
            </m:naryPr>
            <m:sub>
              <m:r>
                <w:rPr>
                  <w:rFonts w:ascii="Cambria Math" w:hAnsi="Cambria Math"/>
                  <w:color w:val="404040" w:themeColor="text1" w:themeTint="BF"/>
                  <w:szCs w:val="21"/>
                </w:rPr>
                <m:t>0</m:t>
              </m:r>
            </m:sub>
            <m:sup>
              <m:r>
                <w:rPr>
                  <w:rFonts w:ascii="Cambria Math" w:hAnsi="Cambria Math"/>
                  <w:color w:val="404040" w:themeColor="text1" w:themeTint="BF"/>
                  <w:szCs w:val="21"/>
                </w:rPr>
                <m:t>T</m:t>
              </m:r>
            </m:sup>
            <m:e>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 xml:space="preserve">Operating Income </m:t>
                  </m:r>
                </m:e>
                <m:sub>
                  <m:r>
                    <w:rPr>
                      <w:rFonts w:ascii="Cambria Math" w:hAnsi="Cambria Math"/>
                      <w:color w:val="404040" w:themeColor="text1" w:themeTint="BF"/>
                      <w:szCs w:val="21"/>
                    </w:rPr>
                    <m:t>T</m:t>
                  </m:r>
                </m:sub>
              </m:sSub>
            </m:e>
          </m:nary>
          <m:r>
            <w:rPr>
              <w:rFonts w:ascii="微软雅黑" w:eastAsia="微软雅黑" w:hAnsi="微软雅黑" w:cs="微软雅黑" w:hint="eastAsia"/>
              <w:color w:val="404040" w:themeColor="text1" w:themeTint="BF"/>
              <w:szCs w:val="21"/>
            </w:rPr>
            <m:t>-</m:t>
          </m:r>
          <m:nary>
            <m:naryPr>
              <m:chr m:val="∑"/>
              <m:limLoc m:val="undOvr"/>
              <m:ctrlPr>
                <w:rPr>
                  <w:rFonts w:ascii="Cambria Math" w:hAnsi="Cambria Math"/>
                  <w:color w:val="404040" w:themeColor="text1" w:themeTint="BF"/>
                  <w:szCs w:val="21"/>
                </w:rPr>
              </m:ctrlPr>
            </m:naryPr>
            <m:sub>
              <m:r>
                <w:rPr>
                  <w:rFonts w:ascii="Cambria Math" w:hAnsi="Cambria Math"/>
                  <w:color w:val="404040" w:themeColor="text1" w:themeTint="BF"/>
                  <w:szCs w:val="21"/>
                </w:rPr>
                <m:t>0</m:t>
              </m:r>
            </m:sub>
            <m:sup>
              <m:r>
                <w:rPr>
                  <w:rFonts w:ascii="Cambria Math" w:hAnsi="Cambria Math"/>
                  <w:color w:val="404040" w:themeColor="text1" w:themeTint="BF"/>
                  <w:szCs w:val="21"/>
                </w:rPr>
                <m:t>T</m:t>
              </m:r>
            </m:sup>
            <m:e>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 xml:space="preserve">Free Cash Flow </m:t>
                  </m:r>
                </m:e>
                <m:sub>
                  <m:r>
                    <w:rPr>
                      <w:rFonts w:ascii="Cambria Math" w:hAnsi="Cambria Math"/>
                      <w:color w:val="404040" w:themeColor="text1" w:themeTint="BF"/>
                      <w:szCs w:val="21"/>
                    </w:rPr>
                    <m:t>T</m:t>
                  </m:r>
                </m:sub>
              </m:sSub>
            </m:e>
          </m:nary>
        </m:oMath>
      </m:oMathPara>
    </w:p>
    <w:p w14:paraId="5E7ACA30" w14:textId="77777777" w:rsidR="00DD3167" w:rsidRPr="00F971D8" w:rsidRDefault="00DD3167" w:rsidP="00DD3167">
      <w:pPr>
        <w:spacing w:line="276" w:lineRule="auto"/>
        <w:ind w:firstLine="440"/>
        <w:jc w:val="center"/>
        <w:rPr>
          <w:color w:val="404040" w:themeColor="text1" w:themeTint="BF"/>
          <w:szCs w:val="21"/>
        </w:rPr>
      </w:pPr>
      <m:oMathPara>
        <m:oMath>
          <m:r>
            <m:rPr>
              <m:sty m:val="p"/>
            </m:rPr>
            <w:rPr>
              <w:rFonts w:ascii="Cambria Math" w:hAnsi="Cambria Math" w:hint="eastAsia"/>
              <w:color w:val="404040" w:themeColor="text1" w:themeTint="BF"/>
              <w:szCs w:val="21"/>
            </w:rPr>
            <m:t>=</m:t>
          </m:r>
          <m:nary>
            <m:naryPr>
              <m:chr m:val="∑"/>
              <m:limLoc m:val="undOvr"/>
              <m:ctrlPr>
                <w:rPr>
                  <w:rFonts w:ascii="Cambria Math" w:hAnsi="Cambria Math"/>
                  <w:color w:val="404040" w:themeColor="text1" w:themeTint="BF"/>
                  <w:szCs w:val="21"/>
                </w:rPr>
              </m:ctrlPr>
            </m:naryPr>
            <m:sub>
              <m:r>
                <w:rPr>
                  <w:rFonts w:ascii="Cambria Math" w:hAnsi="Cambria Math"/>
                  <w:color w:val="404040" w:themeColor="text1" w:themeTint="BF"/>
                  <w:szCs w:val="21"/>
                </w:rPr>
                <m:t>0</m:t>
              </m:r>
            </m:sub>
            <m:sup>
              <m:r>
                <w:rPr>
                  <w:rFonts w:ascii="Cambria Math" w:hAnsi="Cambria Math"/>
                  <w:color w:val="404040" w:themeColor="text1" w:themeTint="BF"/>
                  <w:szCs w:val="21"/>
                </w:rPr>
                <m:t>T</m:t>
              </m:r>
            </m:sup>
            <m:e>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 xml:space="preserve">Operating Income </m:t>
                  </m:r>
                </m:e>
                <m:sub>
                  <m:r>
                    <w:rPr>
                      <w:rFonts w:ascii="Cambria Math" w:hAnsi="Cambria Math"/>
                      <w:color w:val="404040" w:themeColor="text1" w:themeTint="BF"/>
                      <w:szCs w:val="21"/>
                    </w:rPr>
                    <m:t>T</m:t>
                  </m:r>
                </m:sub>
              </m:sSub>
            </m:e>
          </m:nary>
          <m:r>
            <w:rPr>
              <w:rFonts w:ascii="微软雅黑" w:eastAsia="微软雅黑" w:hAnsi="微软雅黑" w:cs="微软雅黑" w:hint="eastAsia"/>
              <w:color w:val="404040" w:themeColor="text1" w:themeTint="BF"/>
              <w:szCs w:val="21"/>
            </w:rPr>
            <m:t>-</m:t>
          </m:r>
          <m:nary>
            <m:naryPr>
              <m:chr m:val="∑"/>
              <m:limLoc m:val="undOvr"/>
              <m:ctrlPr>
                <w:rPr>
                  <w:rFonts w:ascii="Cambria Math" w:hAnsi="Cambria Math"/>
                  <w:color w:val="404040" w:themeColor="text1" w:themeTint="BF"/>
                  <w:szCs w:val="21"/>
                </w:rPr>
              </m:ctrlPr>
            </m:naryPr>
            <m:sub>
              <m:r>
                <w:rPr>
                  <w:rFonts w:ascii="Cambria Math" w:hAnsi="Cambria Math"/>
                  <w:color w:val="404040" w:themeColor="text1" w:themeTint="BF"/>
                  <w:szCs w:val="21"/>
                </w:rPr>
                <m:t>0</m:t>
              </m:r>
            </m:sub>
            <m:sup>
              <m:r>
                <w:rPr>
                  <w:rFonts w:ascii="Cambria Math" w:hAnsi="Cambria Math"/>
                  <w:color w:val="404040" w:themeColor="text1" w:themeTint="BF"/>
                  <w:szCs w:val="21"/>
                </w:rPr>
                <m:t>T</m:t>
              </m:r>
            </m:sup>
            <m:e>
              <m:sSub>
                <m:sSubPr>
                  <m:ctrlPr>
                    <w:rPr>
                      <w:rFonts w:ascii="Cambria Math" w:hAnsi="Cambria Math"/>
                      <w:i/>
                      <w:color w:val="404040" w:themeColor="text1" w:themeTint="BF"/>
                      <w:szCs w:val="21"/>
                    </w:rPr>
                  </m:ctrlPr>
                </m:sSubPr>
                <m:e>
                  <m:r>
                    <w:rPr>
                      <w:rFonts w:ascii="Cambria Math" w:hAnsi="Cambria Math"/>
                      <w:color w:val="404040" w:themeColor="text1" w:themeTint="BF"/>
                      <w:szCs w:val="21"/>
                    </w:rPr>
                    <m:t>O</m:t>
                  </m:r>
                  <m:r>
                    <w:rPr>
                      <w:rFonts w:ascii="Cambria Math" w:hAnsi="Cambria Math" w:hint="eastAsia"/>
                      <w:color w:val="404040" w:themeColor="text1" w:themeTint="BF"/>
                      <w:szCs w:val="21"/>
                    </w:rPr>
                    <m:t>perating</m:t>
                  </m:r>
                  <m:r>
                    <w:rPr>
                      <w:rFonts w:ascii="Cambria Math" w:hAnsi="Cambria Math"/>
                      <w:color w:val="404040" w:themeColor="text1" w:themeTint="BF"/>
                      <w:szCs w:val="21"/>
                    </w:rPr>
                    <m:t xml:space="preserve"> Cash Flow </m:t>
                  </m:r>
                </m:e>
                <m:sub>
                  <m:r>
                    <w:rPr>
                      <w:rFonts w:ascii="Cambria Math" w:hAnsi="Cambria Math"/>
                      <w:color w:val="404040" w:themeColor="text1" w:themeTint="BF"/>
                      <w:szCs w:val="21"/>
                    </w:rPr>
                    <m:t>T</m:t>
                  </m:r>
                </m:sub>
              </m:sSub>
            </m:e>
          </m:nary>
          <m:r>
            <w:rPr>
              <w:rFonts w:ascii="微软雅黑" w:eastAsia="微软雅黑" w:hAnsi="微软雅黑" w:cs="微软雅黑" w:hint="eastAsia"/>
              <w:color w:val="404040" w:themeColor="text1" w:themeTint="BF"/>
              <w:szCs w:val="21"/>
            </w:rPr>
            <m:t>-</m:t>
          </m:r>
          <m:sSub>
            <m:sSubPr>
              <m:ctrlPr>
                <w:rPr>
                  <w:rFonts w:ascii="Cambria Math" w:eastAsia="微软雅黑" w:hAnsi="Cambria Math" w:cs="微软雅黑"/>
                  <w:i/>
                  <w:color w:val="404040" w:themeColor="text1" w:themeTint="BF"/>
                  <w:szCs w:val="21"/>
                </w:rPr>
              </m:ctrlPr>
            </m:sSubPr>
            <m:e>
              <m:r>
                <w:rPr>
                  <w:rFonts w:ascii="Cambria Math" w:hAnsi="Cambria Math" w:hint="eastAsia"/>
                  <w:color w:val="404040" w:themeColor="text1" w:themeTint="BF"/>
                  <w:szCs w:val="21"/>
                </w:rPr>
                <m:t>investment</m:t>
              </m:r>
            </m:e>
            <m:sub>
              <m:r>
                <w:rPr>
                  <w:rFonts w:ascii="Cambria Math" w:eastAsia="微软雅黑" w:hAnsi="Cambria Math" w:cs="微软雅黑"/>
                  <w:color w:val="404040" w:themeColor="text1" w:themeTint="BF"/>
                  <w:szCs w:val="21"/>
                </w:rPr>
                <m:t>T</m:t>
              </m:r>
            </m:sub>
          </m:sSub>
        </m:oMath>
      </m:oMathPara>
    </w:p>
    <w:p w14:paraId="27AB7BE4" w14:textId="77777777" w:rsidR="00DD3167" w:rsidRPr="00F971D8" w:rsidRDefault="00DD3167" w:rsidP="00DD3167">
      <w:pPr>
        <w:spacing w:line="276" w:lineRule="auto"/>
        <w:ind w:firstLine="440"/>
        <w:jc w:val="center"/>
        <w:rPr>
          <w:color w:val="404040" w:themeColor="text1" w:themeTint="BF"/>
          <w:szCs w:val="21"/>
        </w:rPr>
      </w:pPr>
      <m:oMathPara>
        <m:oMath>
          <m:r>
            <m:rPr>
              <m:sty m:val="p"/>
            </m:rPr>
            <w:rPr>
              <w:rFonts w:ascii="Cambria Math" w:hAnsi="Cambria Math" w:hint="eastAsia"/>
              <w:color w:val="404040" w:themeColor="text1" w:themeTint="BF"/>
              <w:szCs w:val="21"/>
            </w:rPr>
            <m:t>=</m:t>
          </m:r>
          <m:f>
            <m:fPr>
              <m:ctrlPr>
                <w:rPr>
                  <w:rFonts w:ascii="Cambria Math" w:hAnsi="Cambria Math"/>
                  <w:color w:val="404040" w:themeColor="text1" w:themeTint="BF"/>
                  <w:szCs w:val="21"/>
                </w:rPr>
              </m:ctrlPr>
            </m:fPr>
            <m:num>
              <m:r>
                <m:rPr>
                  <m:sty m:val="p"/>
                </m:rPr>
                <w:rPr>
                  <w:rFonts w:ascii="Cambria Math" w:hAnsi="Cambria Math"/>
                  <w:color w:val="404040" w:themeColor="text1" w:themeTint="BF"/>
                  <w:szCs w:val="21"/>
                </w:rPr>
                <m:t xml:space="preserve"> (</m:t>
              </m:r>
              <m:sSub>
                <m:sSubPr>
                  <m:ctrlPr>
                    <w:rPr>
                      <w:rFonts w:ascii="Cambria Math" w:hAnsi="Cambria Math"/>
                      <w:color w:val="404040" w:themeColor="text1" w:themeTint="BF"/>
                      <w:szCs w:val="21"/>
                    </w:rPr>
                  </m:ctrlPr>
                </m:sSubPr>
                <m:e>
                  <m:r>
                    <m:rPr>
                      <m:sty m:val="p"/>
                    </m:rPr>
                    <w:rPr>
                      <w:rFonts w:ascii="Cambria Math" w:hAnsi="Cambria Math"/>
                      <w:color w:val="404040" w:themeColor="text1" w:themeTint="BF"/>
                      <w:szCs w:val="21"/>
                    </w:rPr>
                    <m:t>Operating Assets</m:t>
                  </m:r>
                </m:e>
                <m:sub>
                  <m:r>
                    <w:rPr>
                      <w:rFonts w:ascii="Cambria Math" w:hAnsi="Cambria Math"/>
                      <w:color w:val="404040" w:themeColor="text1" w:themeTint="BF"/>
                      <w:szCs w:val="21"/>
                    </w:rPr>
                    <m:t>T</m:t>
                  </m:r>
                </m:sub>
              </m:sSub>
              <m:r>
                <m:rPr>
                  <m:sty m:val="p"/>
                </m:rPr>
                <w:rPr>
                  <w:rFonts w:ascii="Cambria Math" w:hAnsi="Cambria Math"/>
                  <w:color w:val="404040" w:themeColor="text1" w:themeTint="BF"/>
                  <w:szCs w:val="21"/>
                </w:rPr>
                <m:t xml:space="preserve"> - </m:t>
              </m:r>
              <m:sSub>
                <m:sSubPr>
                  <m:ctrlPr>
                    <w:rPr>
                      <w:rFonts w:ascii="Cambria Math" w:hAnsi="Cambria Math"/>
                      <w:color w:val="404040" w:themeColor="text1" w:themeTint="BF"/>
                      <w:szCs w:val="21"/>
                    </w:rPr>
                  </m:ctrlPr>
                </m:sSubPr>
                <m:e>
                  <m:r>
                    <m:rPr>
                      <m:sty m:val="p"/>
                    </m:rPr>
                    <w:rPr>
                      <w:rFonts w:ascii="Cambria Math" w:hAnsi="Cambria Math"/>
                      <w:color w:val="404040" w:themeColor="text1" w:themeTint="BF"/>
                      <w:szCs w:val="21"/>
                    </w:rPr>
                    <m:t>Operating Liabilities</m:t>
                  </m:r>
                </m:e>
                <m:sub>
                  <m:r>
                    <w:rPr>
                      <w:rFonts w:ascii="Cambria Math" w:hAnsi="Cambria Math"/>
                      <w:color w:val="404040" w:themeColor="text1" w:themeTint="BF"/>
                      <w:szCs w:val="21"/>
                    </w:rPr>
                    <m:t>T</m:t>
                  </m:r>
                </m:sub>
              </m:sSub>
              <m:r>
                <m:rPr>
                  <m:sty m:val="p"/>
                </m:rPr>
                <w:rPr>
                  <w:rFonts w:ascii="Cambria Math" w:hAnsi="Cambria Math"/>
                  <w:color w:val="404040" w:themeColor="text1" w:themeTint="BF"/>
                  <w:szCs w:val="21"/>
                </w:rPr>
                <m:t>)</m:t>
              </m:r>
            </m:num>
            <m:den>
              <m:sSub>
                <m:sSubPr>
                  <m:ctrlPr>
                    <w:rPr>
                      <w:rFonts w:ascii="Cambria Math" w:hAnsi="Cambria Math"/>
                      <w:color w:val="404040" w:themeColor="text1" w:themeTint="BF"/>
                      <w:szCs w:val="21"/>
                    </w:rPr>
                  </m:ctrlPr>
                </m:sSubPr>
                <m:e>
                  <m:r>
                    <m:rPr>
                      <m:sty m:val="p"/>
                    </m:rPr>
                    <w:rPr>
                      <w:rFonts w:ascii="Cambria Math" w:hAnsi="Cambria Math"/>
                      <w:color w:val="404040" w:themeColor="text1" w:themeTint="BF"/>
                      <w:szCs w:val="21"/>
                    </w:rPr>
                    <m:t xml:space="preserve"> Total Assets</m:t>
                  </m:r>
                </m:e>
                <m:sub>
                  <m:r>
                    <w:rPr>
                      <w:rFonts w:ascii="Cambria Math" w:hAnsi="Cambria Math"/>
                      <w:color w:val="404040" w:themeColor="text1" w:themeTint="BF"/>
                      <w:szCs w:val="21"/>
                    </w:rPr>
                    <m:t>T</m:t>
                  </m:r>
                </m:sub>
              </m:sSub>
            </m:den>
          </m:f>
          <m:r>
            <m:rPr>
              <m:sty m:val="p"/>
            </m:rPr>
            <w:rPr>
              <w:rFonts w:ascii="Cambria Math" w:hAnsi="Cambria Math"/>
              <w:color w:val="404040" w:themeColor="text1" w:themeTint="BF"/>
              <w:szCs w:val="21"/>
            </w:rPr>
            <m:t xml:space="preserve"> -1</m:t>
          </m:r>
        </m:oMath>
      </m:oMathPara>
    </w:p>
    <w:p w14:paraId="78BC953E" w14:textId="77777777" w:rsidR="00DD3167" w:rsidRPr="00F971D8" w:rsidRDefault="00E40C9D" w:rsidP="00DD3167">
      <w:pPr>
        <w:spacing w:line="276" w:lineRule="auto"/>
        <w:ind w:firstLine="440"/>
        <w:jc w:val="center"/>
        <w:rPr>
          <w:rFonts w:ascii="TimesNewRomanPSMT" w:hAnsi="TimesNewRomanPSMT" w:cs="宋体" w:hint="eastAsia"/>
          <w:color w:val="404040" w:themeColor="text1" w:themeTint="BF"/>
          <w:kern w:val="0"/>
          <w:szCs w:val="21"/>
        </w:rPr>
      </w:pPr>
      <m:oMath>
        <m:sSub>
          <m:sSubPr>
            <m:ctrlPr>
              <w:rPr>
                <w:rFonts w:ascii="Cambria Math" w:hAnsi="Cambria Math"/>
                <w:color w:val="404040" w:themeColor="text1" w:themeTint="BF"/>
                <w:szCs w:val="21"/>
              </w:rPr>
            </m:ctrlPr>
          </m:sSubPr>
          <m:e>
            <m:r>
              <m:rPr>
                <m:sty m:val="p"/>
              </m:rPr>
              <w:rPr>
                <w:rFonts w:ascii="Cambria Math" w:hAnsi="Cambria Math"/>
                <w:color w:val="404040" w:themeColor="text1" w:themeTint="BF"/>
                <w:szCs w:val="21"/>
              </w:rPr>
              <m:t>Operating Assets</m:t>
            </m:r>
          </m:e>
          <m:sub>
            <m:r>
              <w:rPr>
                <w:rFonts w:ascii="Cambria Math" w:hAnsi="Cambria Math"/>
                <w:color w:val="404040" w:themeColor="text1" w:themeTint="BF"/>
                <w:szCs w:val="21"/>
              </w:rPr>
              <m:t>T</m:t>
            </m:r>
          </m:sub>
        </m:sSub>
      </m:oMath>
      <w:r w:rsidR="00DD3167" w:rsidRPr="00F971D8">
        <w:rPr>
          <w:rFonts w:ascii="TimesNewRomanPS-ItalicMT" w:hAnsi="TimesNewRomanPS-ItalicMT" w:cs="宋体"/>
          <w:i/>
          <w:iCs/>
          <w:color w:val="404040" w:themeColor="text1" w:themeTint="BF"/>
          <w:kern w:val="0"/>
          <w:szCs w:val="21"/>
        </w:rPr>
        <w:t>=</w:t>
      </w:r>
      <m:oMath>
        <m:sSub>
          <m:sSubPr>
            <m:ctrlPr>
              <w:rPr>
                <w:rFonts w:ascii="Cambria Math" w:hAnsi="Cambria Math"/>
                <w:color w:val="404040" w:themeColor="text1" w:themeTint="BF"/>
                <w:szCs w:val="21"/>
              </w:rPr>
            </m:ctrlPr>
          </m:sSubPr>
          <m:e>
            <m:r>
              <m:rPr>
                <m:sty m:val="p"/>
              </m:rPr>
              <w:rPr>
                <w:rFonts w:ascii="Cambria Math" w:hAnsi="Cambria Math"/>
                <w:color w:val="404040" w:themeColor="text1" w:themeTint="BF"/>
                <w:szCs w:val="21"/>
              </w:rPr>
              <m:t>T</m:t>
            </m:r>
            <m:r>
              <m:rPr>
                <m:sty m:val="p"/>
              </m:rPr>
              <w:rPr>
                <w:rFonts w:ascii="Cambria Math" w:hAnsi="Cambria Math" w:hint="eastAsia"/>
                <w:color w:val="404040" w:themeColor="text1" w:themeTint="BF"/>
                <w:szCs w:val="21"/>
              </w:rPr>
              <m:t>otal</m:t>
            </m:r>
            <m:r>
              <m:rPr>
                <m:sty m:val="p"/>
              </m:rPr>
              <w:rPr>
                <w:rFonts w:ascii="Cambria Math" w:hAnsi="Cambria Math"/>
                <w:color w:val="404040" w:themeColor="text1" w:themeTint="BF"/>
                <w:szCs w:val="21"/>
              </w:rPr>
              <m:t xml:space="preserve"> Assets</m:t>
            </m:r>
          </m:e>
          <m:sub>
            <m:r>
              <w:rPr>
                <w:rFonts w:ascii="Cambria Math" w:hAnsi="Cambria Math"/>
                <w:color w:val="404040" w:themeColor="text1" w:themeTint="BF"/>
                <w:szCs w:val="21"/>
              </w:rPr>
              <m:t>T</m:t>
            </m:r>
          </m:sub>
        </m:sSub>
        <m:r>
          <m:rPr>
            <m:sty m:val="p"/>
          </m:rPr>
          <w:rPr>
            <w:rFonts w:ascii="Cambria Math" w:hAnsi="Cambria Math"/>
            <w:color w:val="404040" w:themeColor="text1" w:themeTint="BF"/>
            <w:szCs w:val="21"/>
          </w:rPr>
          <m:t>-</m:t>
        </m:r>
        <m:sSub>
          <m:sSubPr>
            <m:ctrlPr>
              <w:rPr>
                <w:rFonts w:ascii="Cambria Math" w:hAnsi="Cambria Math" w:cs="宋体"/>
                <w:color w:val="404040" w:themeColor="text1" w:themeTint="BF"/>
                <w:szCs w:val="21"/>
              </w:rPr>
            </m:ctrlPr>
          </m:sSubPr>
          <m:e>
            <m:r>
              <w:rPr>
                <w:rFonts w:ascii="Cambria Math" w:hAnsi="Cambria Math" w:cs="宋体"/>
                <w:color w:val="404040" w:themeColor="text1" w:themeTint="BF"/>
                <w:kern w:val="0"/>
                <w:szCs w:val="21"/>
              </w:rPr>
              <m:t>Cash and Short-Term Investment</m:t>
            </m:r>
          </m:e>
          <m:sub>
            <m:r>
              <w:rPr>
                <w:rFonts w:ascii="Cambria Math" w:hAnsi="Cambria Math" w:cs="宋体"/>
                <w:color w:val="404040" w:themeColor="text1" w:themeTint="BF"/>
                <w:szCs w:val="21"/>
              </w:rPr>
              <m:t>T</m:t>
            </m:r>
          </m:sub>
        </m:sSub>
      </m:oMath>
    </w:p>
    <w:p w14:paraId="75B66D4C" w14:textId="77777777" w:rsidR="00DD3167" w:rsidRPr="00F971D8" w:rsidRDefault="00E40C9D" w:rsidP="00DD3167">
      <w:pPr>
        <w:spacing w:line="276" w:lineRule="auto"/>
        <w:ind w:firstLineChars="200" w:firstLine="420"/>
        <w:jc w:val="center"/>
        <w:rPr>
          <w:rFonts w:ascii="Times New Roman" w:eastAsia="宋体" w:hAnsi="Times New Roman" w:cs="Times New Roman"/>
          <w:szCs w:val="21"/>
        </w:rPr>
      </w:pPr>
      <m:oMath>
        <m:sSub>
          <m:sSubPr>
            <m:ctrlPr>
              <w:rPr>
                <w:rFonts w:ascii="Cambria Math" w:hAnsi="Cambria Math"/>
                <w:color w:val="404040" w:themeColor="text1" w:themeTint="BF"/>
                <w:szCs w:val="21"/>
              </w:rPr>
            </m:ctrlPr>
          </m:sSubPr>
          <m:e>
            <m:r>
              <m:rPr>
                <m:sty m:val="p"/>
              </m:rPr>
              <w:rPr>
                <w:rFonts w:ascii="Cambria Math" w:hAnsi="Cambria Math"/>
                <w:color w:val="404040" w:themeColor="text1" w:themeTint="BF"/>
                <w:szCs w:val="21"/>
              </w:rPr>
              <m:t>Operating L</m:t>
            </m:r>
            <m:r>
              <m:rPr>
                <m:sty m:val="p"/>
              </m:rPr>
              <w:rPr>
                <w:rFonts w:ascii="Cambria Math" w:hAnsi="Cambria Math" w:hint="eastAsia"/>
                <w:color w:val="404040" w:themeColor="text1" w:themeTint="BF"/>
                <w:szCs w:val="21"/>
              </w:rPr>
              <m:t>iability</m:t>
            </m:r>
          </m:e>
          <m:sub>
            <m:r>
              <w:rPr>
                <w:rFonts w:ascii="Cambria Math" w:hAnsi="Cambria Math"/>
                <w:color w:val="404040" w:themeColor="text1" w:themeTint="BF"/>
                <w:szCs w:val="21"/>
              </w:rPr>
              <m:t>T</m:t>
            </m:r>
          </m:sub>
        </m:sSub>
      </m:oMath>
      <w:r w:rsidR="00DD3167" w:rsidRPr="00F971D8">
        <w:rPr>
          <w:rFonts w:ascii="TimesNewRomanPS-ItalicMT" w:hAnsi="TimesNewRomanPS-ItalicMT" w:cs="宋体"/>
          <w:i/>
          <w:iCs/>
          <w:color w:val="404040" w:themeColor="text1" w:themeTint="BF"/>
          <w:kern w:val="0"/>
          <w:szCs w:val="21"/>
        </w:rPr>
        <w:t>=</w:t>
      </w:r>
      <m:oMath>
        <m:sSub>
          <m:sSubPr>
            <m:ctrlPr>
              <w:rPr>
                <w:rFonts w:ascii="Cambria Math" w:hAnsi="Cambria Math"/>
                <w:color w:val="404040" w:themeColor="text1" w:themeTint="BF"/>
                <w:szCs w:val="21"/>
              </w:rPr>
            </m:ctrlPr>
          </m:sSubPr>
          <m:e>
            <m:r>
              <m:rPr>
                <m:sty m:val="p"/>
              </m:rPr>
              <w:rPr>
                <w:rFonts w:ascii="Cambria Math" w:hAnsi="Cambria Math"/>
                <w:color w:val="404040" w:themeColor="text1" w:themeTint="BF"/>
                <w:szCs w:val="21"/>
              </w:rPr>
              <m:t>T</m:t>
            </m:r>
            <m:r>
              <m:rPr>
                <m:sty m:val="p"/>
              </m:rPr>
              <w:rPr>
                <w:rFonts w:ascii="Cambria Math" w:hAnsi="Cambria Math" w:hint="eastAsia"/>
                <w:color w:val="404040" w:themeColor="text1" w:themeTint="BF"/>
                <w:szCs w:val="21"/>
              </w:rPr>
              <m:t>otal</m:t>
            </m:r>
            <m:r>
              <m:rPr>
                <m:sty m:val="p"/>
              </m:rPr>
              <w:rPr>
                <w:rFonts w:ascii="Cambria Math" w:hAnsi="Cambria Math"/>
                <w:color w:val="404040" w:themeColor="text1" w:themeTint="BF"/>
                <w:szCs w:val="21"/>
              </w:rPr>
              <m:t xml:space="preserve"> Assets</m:t>
            </m:r>
          </m:e>
          <m:sub>
            <m:r>
              <w:rPr>
                <w:rFonts w:ascii="Cambria Math" w:hAnsi="Cambria Math"/>
                <w:color w:val="404040" w:themeColor="text1" w:themeTint="BF"/>
                <w:szCs w:val="21"/>
              </w:rPr>
              <m:t>T</m:t>
            </m:r>
          </m:sub>
        </m:sSub>
        <m:r>
          <m:rPr>
            <m:sty m:val="p"/>
          </m:rPr>
          <w:rPr>
            <w:rFonts w:ascii="微软雅黑" w:eastAsia="微软雅黑" w:hAnsi="微软雅黑" w:cs="微软雅黑" w:hint="eastAsia"/>
            <w:color w:val="404040" w:themeColor="text1" w:themeTint="BF"/>
            <w:szCs w:val="21"/>
          </w:rPr>
          <m:t>-</m:t>
        </m:r>
        <m:sSub>
          <m:sSubPr>
            <m:ctrlPr>
              <w:rPr>
                <w:rFonts w:ascii="Cambria Math" w:hAnsi="Cambria Math" w:cs="宋体"/>
                <w:color w:val="404040" w:themeColor="text1" w:themeTint="BF"/>
                <w:szCs w:val="21"/>
              </w:rPr>
            </m:ctrlPr>
          </m:sSubPr>
          <m:e>
            <m:r>
              <w:rPr>
                <w:rFonts w:ascii="Cambria Math" w:hAnsi="Cambria Math" w:cs="宋体"/>
                <w:color w:val="404040" w:themeColor="text1" w:themeTint="BF"/>
                <w:kern w:val="0"/>
                <w:szCs w:val="21"/>
              </w:rPr>
              <m:t>Short-Term Debt</m:t>
            </m:r>
          </m:e>
          <m:sub>
            <m:r>
              <w:rPr>
                <w:rFonts w:ascii="Cambria Math" w:hAnsi="Cambria Math" w:cs="宋体"/>
                <w:color w:val="404040" w:themeColor="text1" w:themeTint="BF"/>
                <w:szCs w:val="21"/>
              </w:rPr>
              <m:t>T</m:t>
            </m:r>
          </m:sub>
        </m:sSub>
        <m:r>
          <m:rPr>
            <m:sty m:val="p"/>
          </m:rPr>
          <w:rPr>
            <w:rFonts w:ascii="微软雅黑" w:eastAsia="微软雅黑" w:hAnsi="微软雅黑" w:cs="微软雅黑" w:hint="eastAsia"/>
            <w:color w:val="404040" w:themeColor="text1" w:themeTint="BF"/>
            <w:szCs w:val="21"/>
          </w:rPr>
          <m:t>-</m:t>
        </m:r>
        <m:sSub>
          <m:sSubPr>
            <m:ctrlPr>
              <w:rPr>
                <w:rFonts w:ascii="Cambria Math" w:hAnsi="Cambria Math" w:cs="宋体"/>
                <w:color w:val="404040" w:themeColor="text1" w:themeTint="BF"/>
                <w:szCs w:val="21"/>
              </w:rPr>
            </m:ctrlPr>
          </m:sSubPr>
          <m:e>
            <m:r>
              <w:rPr>
                <w:rFonts w:ascii="Cambria Math" w:hAnsi="Cambria Math" w:cs="宋体"/>
                <w:color w:val="404040" w:themeColor="text1" w:themeTint="BF"/>
                <w:kern w:val="0"/>
                <w:szCs w:val="21"/>
              </w:rPr>
              <m:t>Long-Term Debt</m:t>
            </m:r>
          </m:e>
          <m:sub>
            <m:r>
              <w:rPr>
                <w:rFonts w:ascii="Cambria Math" w:hAnsi="Cambria Math" w:cs="宋体"/>
                <w:color w:val="404040" w:themeColor="text1" w:themeTint="BF"/>
                <w:szCs w:val="21"/>
              </w:rPr>
              <m:t>T</m:t>
            </m:r>
          </m:sub>
        </m:sSub>
        <m:r>
          <w:rPr>
            <w:rFonts w:ascii="微软雅黑" w:eastAsia="微软雅黑" w:hAnsi="微软雅黑" w:cs="微软雅黑" w:hint="eastAsia"/>
            <w:color w:val="404040" w:themeColor="text1" w:themeTint="BF"/>
            <w:szCs w:val="21"/>
          </w:rPr>
          <m:t>-</m:t>
        </m:r>
        <m:sSub>
          <m:sSubPr>
            <m:ctrlPr>
              <w:rPr>
                <w:rFonts w:ascii="Cambria Math" w:hAnsi="Cambria Math" w:cs="宋体"/>
                <w:i/>
                <w:color w:val="404040" w:themeColor="text1" w:themeTint="BF"/>
                <w:szCs w:val="21"/>
              </w:rPr>
            </m:ctrlPr>
          </m:sSubPr>
          <m:e>
            <m:r>
              <w:rPr>
                <w:rFonts w:ascii="Cambria Math" w:hAnsi="Cambria Math" w:cs="宋体"/>
                <w:color w:val="404040" w:themeColor="text1" w:themeTint="BF"/>
                <w:kern w:val="0"/>
                <w:szCs w:val="21"/>
              </w:rPr>
              <m:t>Minority Interest</m:t>
            </m:r>
          </m:e>
          <m:sub>
            <m:r>
              <w:rPr>
                <w:rFonts w:ascii="Cambria Math" w:hAnsi="Cambria Math" w:cs="宋体"/>
                <w:color w:val="404040" w:themeColor="text1" w:themeTint="BF"/>
                <w:szCs w:val="21"/>
              </w:rPr>
              <m:t>T</m:t>
            </m:r>
          </m:sub>
        </m:sSub>
        <m:r>
          <w:rPr>
            <w:rFonts w:ascii="微软雅黑" w:eastAsia="微软雅黑" w:hAnsi="微软雅黑" w:cs="微软雅黑" w:hint="eastAsia"/>
            <w:color w:val="404040" w:themeColor="text1" w:themeTint="BF"/>
            <w:szCs w:val="21"/>
          </w:rPr>
          <m:t>-</m:t>
        </m:r>
        <m:sSub>
          <m:sSubPr>
            <m:ctrlPr>
              <w:rPr>
                <w:rFonts w:ascii="Cambria Math" w:hAnsi="Cambria Math" w:cs="宋体"/>
                <w:i/>
                <w:color w:val="404040" w:themeColor="text1" w:themeTint="BF"/>
                <w:szCs w:val="21"/>
              </w:rPr>
            </m:ctrlPr>
          </m:sSubPr>
          <m:e>
            <m:r>
              <w:rPr>
                <w:rFonts w:ascii="Cambria Math" w:hAnsi="Cambria Math" w:cs="宋体"/>
                <w:color w:val="404040" w:themeColor="text1" w:themeTint="BF"/>
                <w:kern w:val="0"/>
                <w:szCs w:val="21"/>
              </w:rPr>
              <m:t xml:space="preserve"> Common Equity</m:t>
            </m:r>
          </m:e>
          <m:sub>
            <m:r>
              <w:rPr>
                <w:rFonts w:ascii="Cambria Math" w:hAnsi="Cambria Math" w:cs="宋体"/>
                <w:color w:val="404040" w:themeColor="text1" w:themeTint="BF"/>
                <w:szCs w:val="21"/>
              </w:rPr>
              <m:t>T</m:t>
            </m:r>
          </m:sub>
        </m:sSub>
      </m:oMath>
    </w:p>
    <w:p w14:paraId="728BED8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即，经营性资产减去经营性负债，除以总资产。经营性资产等于总资产减去货币资金减去短期投资净额。经营性负债等于总资产减去短期借款减去长期借款减去归属于母公司所有者权益合计减去少数股东权益。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7D2423B0"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员工人数（</w:t>
      </w:r>
      <w:r w:rsidRPr="00F971D8">
        <w:rPr>
          <w:rFonts w:ascii="Times New Roman" w:eastAsia="宋体" w:hAnsi="Times New Roman" w:cs="Times New Roman"/>
          <w:szCs w:val="21"/>
        </w:rPr>
        <w:t>hire</w:t>
      </w:r>
      <w:r w:rsidRPr="00F971D8">
        <w:rPr>
          <w:rFonts w:ascii="Times New Roman" w:eastAsia="宋体" w:hAnsi="Times New Roman" w:cs="Times New Roman"/>
          <w:szCs w:val="21"/>
        </w:rPr>
        <w:t>）</w:t>
      </w:r>
    </w:p>
    <w:p w14:paraId="6E7A1A6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NE.Ref.{C163DD3F-450A-46BB-B89F-C19270141861}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Belo, Lin and Bazdresch (2014)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，该因子为上市公司员工人数。</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由于数据的可得性有限，该因子的起始日期为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5D550C22"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行业调整的员工人数（</w:t>
      </w:r>
      <w:r w:rsidRPr="00F971D8">
        <w:rPr>
          <w:rFonts w:ascii="Times New Roman" w:eastAsia="宋体" w:hAnsi="Times New Roman" w:cs="Times New Roman"/>
          <w:szCs w:val="21"/>
        </w:rPr>
        <w:t>change in number of employees</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chempia</w:t>
      </w:r>
      <w:r w:rsidRPr="00F971D8">
        <w:rPr>
          <w:rFonts w:ascii="Times New Roman" w:eastAsia="宋体" w:hAnsi="Times New Roman" w:cs="Times New Roman"/>
          <w:szCs w:val="21"/>
        </w:rPr>
        <w:t>）</w:t>
      </w:r>
    </w:p>
    <w:p w14:paraId="22BF5F4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NE.Ref.{CEC3C7BB-9C2E-40A0-A8D7-DC29ABF88C61}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Asness, Porter and Stevens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，该因子为按照行业调整的上市公司员工人数。行业分类标准按照国泰安数据库中股票代码筛选中的选项</w:t>
      </w:r>
      <w:r w:rsidRPr="00F971D8">
        <w:rPr>
          <w:rFonts w:ascii="Times New Roman" w:eastAsia="宋体" w:hAnsi="Times New Roman" w:cs="Times New Roman"/>
          <w:szCs w:val="21"/>
        </w:rPr>
        <w:t>“</w:t>
      </w:r>
      <w:r w:rsidRPr="00F971D8">
        <w:rPr>
          <w:rFonts w:ascii="Times New Roman" w:eastAsia="宋体" w:hAnsi="Times New Roman" w:cs="Times New Roman"/>
          <w:szCs w:val="21"/>
        </w:rPr>
        <w:t>证监会行业分类</w:t>
      </w:r>
      <w:r w:rsidRPr="00F971D8">
        <w:rPr>
          <w:rFonts w:ascii="Times New Roman" w:eastAsia="宋体" w:hAnsi="Times New Roman" w:cs="Times New Roman"/>
          <w:szCs w:val="21"/>
        </w:rPr>
        <w:t>-2010</w:t>
      </w:r>
      <w:r w:rsidRPr="00F971D8">
        <w:rPr>
          <w:rFonts w:ascii="Times New Roman" w:eastAsia="宋体" w:hAnsi="Times New Roman" w:cs="Times New Roman"/>
          <w:szCs w:val="21"/>
        </w:rPr>
        <w:t>年版本</w:t>
      </w:r>
      <w:r w:rsidRPr="00F971D8">
        <w:rPr>
          <w:rFonts w:ascii="Times New Roman" w:eastAsia="宋体" w:hAnsi="Times New Roman" w:cs="Times New Roman"/>
          <w:szCs w:val="21"/>
        </w:rPr>
        <w:t>”</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由于数据的可得性有限，该因子的起始日期为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22B6E1FD"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研发成本（</w:t>
      </w:r>
      <w:r w:rsidRPr="00F971D8">
        <w:rPr>
          <w:rFonts w:ascii="Times New Roman" w:eastAsia="宋体" w:hAnsi="Times New Roman" w:cs="Times New Roman"/>
          <w:szCs w:val="21"/>
        </w:rPr>
        <w:t>research and development, RD</w:t>
      </w:r>
      <w:r w:rsidRPr="00F971D8">
        <w:rPr>
          <w:rFonts w:ascii="Times New Roman" w:eastAsia="宋体" w:hAnsi="Times New Roman" w:cs="Times New Roman"/>
          <w:szCs w:val="21"/>
        </w:rPr>
        <w:t>）</w:t>
      </w:r>
    </w:p>
    <w:p w14:paraId="5D086D6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NE.Ref.{5AE0EBDB-EEDC-475C-A4DD-5786D0B16338}</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Guo, Lev and Shi (2006)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，研发成本等于</w:t>
      </w:r>
      <w:r w:rsidRPr="00F971D8">
        <w:rPr>
          <w:rFonts w:ascii="Times New Roman" w:eastAsia="宋体" w:hAnsi="Times New Roman" w:cs="Times New Roman" w:hint="eastAsia"/>
          <w:szCs w:val="21"/>
        </w:rPr>
        <w:t>管理费用中的研发支出项目</w:t>
      </w:r>
      <w:r w:rsidRPr="00F971D8">
        <w:rPr>
          <w:rFonts w:ascii="Times New Roman" w:eastAsia="宋体" w:hAnsi="Times New Roman" w:cs="Times New Roman"/>
          <w:szCs w:val="21"/>
        </w:rPr>
        <w:t>。中国上市公司的财务报表中没有研发</w:t>
      </w:r>
      <w:r w:rsidRPr="00F971D8">
        <w:rPr>
          <w:rFonts w:ascii="Times New Roman" w:eastAsia="宋体" w:hAnsi="Times New Roman" w:cs="Times New Roman" w:hint="eastAsia"/>
          <w:szCs w:val="21"/>
        </w:rPr>
        <w:t>支出</w:t>
      </w:r>
      <w:r w:rsidRPr="00F971D8">
        <w:rPr>
          <w:rFonts w:ascii="Times New Roman" w:eastAsia="宋体" w:hAnsi="Times New Roman" w:cs="Times New Roman"/>
          <w:szCs w:val="21"/>
        </w:rPr>
        <w:t>，</w:t>
      </w:r>
      <w:r w:rsidRPr="00F971D8">
        <w:rPr>
          <w:rFonts w:ascii="Times New Roman" w:eastAsia="宋体" w:hAnsi="Times New Roman" w:cs="Times New Roman" w:hint="eastAsia"/>
          <w:szCs w:val="21"/>
        </w:rPr>
        <w:t>故这里</w:t>
      </w:r>
      <w:r w:rsidRPr="00F971D8">
        <w:rPr>
          <w:rFonts w:ascii="Times New Roman" w:eastAsia="宋体" w:hAnsi="Times New Roman" w:cs="Times New Roman"/>
          <w:szCs w:val="21"/>
        </w:rPr>
        <w:t>以管理费用代替。使用去年</w:t>
      </w:r>
      <w:r w:rsidRPr="00F971D8">
        <w:rPr>
          <w:rFonts w:ascii="Times New Roman" w:eastAsia="宋体" w:hAnsi="Times New Roman" w:cs="Times New Roman"/>
          <w:szCs w:val="21"/>
        </w:rPr>
        <w:t xml:space="preserve"> 12</w:t>
      </w:r>
      <w:r w:rsidRPr="00F971D8">
        <w:rPr>
          <w:rFonts w:ascii="Times New Roman" w:eastAsia="宋体" w:hAnsi="Times New Roman" w:cs="Times New Roman"/>
          <w:szCs w:val="21"/>
        </w:rPr>
        <w:t>月底的管理费用除用在今年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月底的数据计算得到</w:t>
      </w:r>
      <w:r w:rsidRPr="00F971D8">
        <w:rPr>
          <w:rFonts w:ascii="Times New Roman" w:eastAsia="宋体" w:hAnsi="Times New Roman" w:cs="Times New Roman"/>
          <w:szCs w:val="21"/>
        </w:rPr>
        <w:t xml:space="preserve"> R&amp;D</w:t>
      </w:r>
      <w:r w:rsidRPr="00F971D8">
        <w:rPr>
          <w:rFonts w:ascii="Times New Roman" w:eastAsia="宋体" w:hAnsi="Times New Roman" w:cs="Times New Roman"/>
          <w:szCs w:val="21"/>
        </w:rPr>
        <w:t>，将此因子用在同年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275A78C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研发支出市值比（</w:t>
      </w:r>
      <w:r w:rsidRPr="00F971D8">
        <w:rPr>
          <w:rFonts w:ascii="Times New Roman" w:eastAsia="宋体" w:hAnsi="Times New Roman" w:cs="Times New Roman"/>
          <w:szCs w:val="21"/>
        </w:rPr>
        <w:t>R&amp;D to market capitalization</w:t>
      </w:r>
      <w:r w:rsidRPr="00F971D8">
        <w:rPr>
          <w:rFonts w:ascii="Times New Roman" w:eastAsia="宋体" w:hAnsi="Times New Roman" w:cs="Times New Roman" w:hint="eastAsia"/>
          <w:szCs w:val="21"/>
        </w:rPr>
        <w:t>，</w:t>
      </w:r>
      <w:r w:rsidRPr="00F971D8">
        <w:rPr>
          <w:rFonts w:ascii="Times New Roman" w:eastAsia="宋体" w:hAnsi="Times New Roman" w:cs="Times New Roman" w:hint="eastAsia"/>
          <w:szCs w:val="21"/>
        </w:rPr>
        <w:t>rd</w:t>
      </w:r>
      <w:r w:rsidRPr="00F971D8">
        <w:rPr>
          <w:rFonts w:ascii="Times New Roman" w:eastAsia="宋体" w:hAnsi="Times New Roman" w:cs="Times New Roman"/>
          <w:szCs w:val="21"/>
        </w:rPr>
        <w:t>_mve</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p>
    <w:p w14:paraId="54D8ABD5"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lastRenderedPageBreak/>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NE.Ref.{9E5668C6-46E4-423C-80E5-1C75CCD17071}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Guo, Lev and Shi (2006)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，研发成本</w:t>
      </w:r>
      <w:r w:rsidRPr="00F971D8">
        <w:rPr>
          <w:rFonts w:ascii="Times New Roman" w:eastAsia="宋体" w:hAnsi="Times New Roman" w:cs="Times New Roman" w:hint="eastAsia"/>
          <w:szCs w:val="21"/>
        </w:rPr>
        <w:t>市值比</w:t>
      </w:r>
      <w:r w:rsidRPr="00F971D8">
        <w:rPr>
          <w:rFonts w:ascii="Times New Roman" w:eastAsia="宋体" w:hAnsi="Times New Roman" w:cs="Times New Roman"/>
          <w:szCs w:val="21"/>
        </w:rPr>
        <w:t>等于管理费用除以</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股流通市值。中国上市公司的财务报表中没有研发费用，本研究以管理费用来代替。使用去年</w:t>
      </w:r>
      <w:r w:rsidRPr="00F971D8">
        <w:rPr>
          <w:rFonts w:ascii="Times New Roman" w:eastAsia="宋体" w:hAnsi="Times New Roman" w:cs="Times New Roman"/>
          <w:szCs w:val="21"/>
        </w:rPr>
        <w:t xml:space="preserve"> 12</w:t>
      </w:r>
      <w:r w:rsidRPr="00F971D8">
        <w:rPr>
          <w:rFonts w:ascii="Times New Roman" w:eastAsia="宋体" w:hAnsi="Times New Roman" w:cs="Times New Roman"/>
          <w:szCs w:val="21"/>
        </w:rPr>
        <w:t>月底的管理费用除以去年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月份的</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股流通市值，得到</w:t>
      </w:r>
      <w:r w:rsidRPr="00F971D8">
        <w:rPr>
          <w:rFonts w:ascii="Times New Roman" w:eastAsia="宋体" w:hAnsi="Times New Roman" w:cs="Times New Roman"/>
          <w:szCs w:val="21"/>
        </w:rPr>
        <w:t>rd_mve</w:t>
      </w:r>
      <w:r w:rsidRPr="00F971D8">
        <w:rPr>
          <w:rFonts w:ascii="Times New Roman" w:eastAsia="宋体" w:hAnsi="Times New Roman" w:cs="Times New Roman"/>
          <w:szCs w:val="21"/>
        </w:rPr>
        <w:t>，将此因子用在今年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月底的数据计算得到</w:t>
      </w:r>
      <w:r w:rsidRPr="00F971D8">
        <w:rPr>
          <w:rFonts w:ascii="Times New Roman" w:eastAsia="宋体" w:hAnsi="Times New Roman" w:cs="Times New Roman"/>
          <w:szCs w:val="21"/>
        </w:rPr>
        <w:t xml:space="preserve"> rd_mve</w:t>
      </w:r>
      <w:r w:rsidRPr="00F971D8">
        <w:rPr>
          <w:rFonts w:ascii="Times New Roman" w:eastAsia="宋体" w:hAnsi="Times New Roman" w:cs="Times New Roman"/>
          <w:szCs w:val="21"/>
        </w:rPr>
        <w:t>，将此因子用在同年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月底以及下一年的</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1744EB0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研发成本收入比（</w:t>
      </w:r>
      <w:r w:rsidRPr="00F971D8">
        <w:rPr>
          <w:rFonts w:ascii="Times New Roman" w:eastAsia="宋体" w:hAnsi="Times New Roman" w:cs="Times New Roman"/>
          <w:szCs w:val="21"/>
        </w:rPr>
        <w:t>R&amp;D to sale, RDsale</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p>
    <w:p w14:paraId="49F99E3F" w14:textId="77777777" w:rsidR="00DD3167"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NE.Ref.{DF2B2765-5119-4DD9-826E-D32E4D70D654}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Guo, Lev and Shi (2006)</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，研发成本收入比等于管理费用除以营业收入。中国上市公司的财务报表中没有研发费用，本研究以管理费用来代替。使用去年</w:t>
      </w:r>
      <w:r w:rsidRPr="00F971D8">
        <w:rPr>
          <w:rFonts w:ascii="Times New Roman" w:eastAsia="宋体" w:hAnsi="Times New Roman" w:cs="Times New Roman"/>
          <w:szCs w:val="21"/>
        </w:rPr>
        <w:t xml:space="preserve"> 12</w:t>
      </w:r>
      <w:r w:rsidRPr="00F971D8">
        <w:rPr>
          <w:rFonts w:ascii="Times New Roman" w:eastAsia="宋体" w:hAnsi="Times New Roman" w:cs="Times New Roman"/>
          <w:szCs w:val="21"/>
        </w:rPr>
        <w:t>月底的管理费用除以去年</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月份的营业收入，得到</w:t>
      </w:r>
      <w:r w:rsidRPr="00F971D8">
        <w:rPr>
          <w:rFonts w:ascii="Times New Roman" w:eastAsia="宋体" w:hAnsi="Times New Roman" w:cs="Times New Roman"/>
          <w:szCs w:val="21"/>
        </w:rPr>
        <w:t>R&amp;D</w:t>
      </w:r>
      <w:r w:rsidRPr="00F971D8">
        <w:rPr>
          <w:rFonts w:ascii="Times New Roman" w:eastAsia="宋体" w:hAnsi="Times New Roman" w:cs="Times New Roman"/>
          <w:szCs w:val="21"/>
        </w:rPr>
        <w:t>营业收入比，将此因子用在</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7</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6</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月份的股票分组。使用</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月底的数据构建的因子用在同年</w:t>
      </w:r>
      <w:r w:rsidRPr="00F971D8">
        <w:rPr>
          <w:rFonts w:ascii="Times New Roman" w:eastAsia="宋体" w:hAnsi="Times New Roman" w:cs="Times New Roman"/>
          <w:szCs w:val="21"/>
        </w:rPr>
        <w:t>10</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12</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2</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w:t>
      </w:r>
      <w:r w:rsidRPr="00F971D8">
        <w:rPr>
          <w:rFonts w:ascii="Times New Roman" w:eastAsia="宋体" w:hAnsi="Times New Roman" w:cs="Times New Roman"/>
          <w:szCs w:val="21"/>
        </w:rPr>
        <w:t>3</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和</w:t>
      </w:r>
      <w:r w:rsidRPr="00F971D8">
        <w:rPr>
          <w:rFonts w:ascii="Times New Roman" w:eastAsia="宋体" w:hAnsi="Times New Roman" w:cs="Times New Roman" w:hint="eastAsia"/>
          <w:szCs w:val="21"/>
        </w:rPr>
        <w:t>4</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的股票分组。</w:t>
      </w:r>
    </w:p>
    <w:p w14:paraId="0838B8E6"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分析师人数变化</w:t>
      </w:r>
      <w:r w:rsidRPr="00F971D8">
        <w:rPr>
          <w:rFonts w:ascii="Times New Roman" w:eastAsia="宋体" w:hAnsi="Times New Roman" w:cs="Times New Roman"/>
          <w:szCs w:val="21"/>
        </w:rPr>
        <w:t xml:space="preserve"> (Change in number of analysts, chnanalyst) </w:t>
      </w:r>
    </w:p>
    <w:p w14:paraId="0319F32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NE.Ref.{76002AA7-CFDF-4E7A-B14E-9838441202C4}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Scherbina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，分析师人数变化用本月分析师人数减去三个月之前的人数作为变化值。空缺值填充为</w:t>
      </w:r>
      <w:r w:rsidRPr="00F971D8">
        <w:rPr>
          <w:rFonts w:ascii="Times New Roman" w:eastAsia="宋体" w:hAnsi="Times New Roman" w:cs="Times New Roman"/>
          <w:szCs w:val="21"/>
        </w:rPr>
        <w:t>0.</w:t>
      </w:r>
    </w:p>
    <w:p w14:paraId="1591B700"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hint="eastAsia"/>
          <w:szCs w:val="21"/>
        </w:rPr>
        <w:t>涉及股票的分析师人数</w:t>
      </w:r>
      <w:r w:rsidRPr="00F971D8">
        <w:rPr>
          <w:rFonts w:ascii="Times New Roman" w:eastAsia="宋体" w:hAnsi="Times New Roman" w:cs="Times New Roman"/>
          <w:szCs w:val="21"/>
        </w:rPr>
        <w:t xml:space="preserve"> (Number of analysts covering stock, nanalyst) </w:t>
      </w:r>
    </w:p>
    <w:p w14:paraId="1226255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NE.Ref.{B48FEB7E-A94E-4DA6-8A8B-2C29C2D30453}</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Elgers, Lo and Jr (2001)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，使用国泰安数据库中的分析师预测指标文件获得参与预测的分析师人数。空缺值填充为</w:t>
      </w:r>
      <w:r w:rsidRPr="00F971D8">
        <w:rPr>
          <w:rFonts w:ascii="Times New Roman" w:eastAsia="宋体" w:hAnsi="Times New Roman" w:cs="Times New Roman"/>
          <w:szCs w:val="21"/>
        </w:rPr>
        <w:t>0.</w:t>
      </w:r>
    </w:p>
    <w:p w14:paraId="5C7336C5" w14:textId="77777777" w:rsidR="00DD3167" w:rsidRPr="00F971D8" w:rsidRDefault="00DD3167" w:rsidP="00DD3167">
      <w:pPr>
        <w:spacing w:line="276" w:lineRule="auto"/>
        <w:rPr>
          <w:rFonts w:ascii="Times New Roman" w:eastAsia="宋体" w:hAnsi="Times New Roman" w:cs="Times New Roman"/>
          <w:szCs w:val="21"/>
        </w:rPr>
      </w:pPr>
    </w:p>
    <w:p w14:paraId="4B091E4C" w14:textId="77777777" w:rsidR="00DD3167" w:rsidRPr="00F971D8" w:rsidRDefault="00DD3167" w:rsidP="00DD3167">
      <w:pPr>
        <w:pStyle w:val="2"/>
        <w:spacing w:line="276" w:lineRule="auto"/>
        <w:ind w:left="420"/>
        <w:rPr>
          <w:szCs w:val="21"/>
        </w:rPr>
      </w:pPr>
      <w:bookmarkStart w:id="9" w:name="_Toc1225899"/>
      <w:bookmarkStart w:id="10" w:name="_Toc14985997"/>
      <w:r>
        <w:rPr>
          <w:rFonts w:hint="eastAsia"/>
          <w:szCs w:val="21"/>
        </w:rPr>
        <w:t>(</w:t>
      </w:r>
      <w:r>
        <w:rPr>
          <w:rFonts w:hint="eastAsia"/>
          <w:szCs w:val="21"/>
        </w:rPr>
        <w:t>五</w:t>
      </w:r>
      <w:r>
        <w:rPr>
          <w:szCs w:val="21"/>
        </w:rPr>
        <w:t xml:space="preserve">) </w:t>
      </w:r>
      <w:r w:rsidRPr="00F971D8">
        <w:rPr>
          <w:rFonts w:hint="eastAsia"/>
          <w:szCs w:val="21"/>
        </w:rPr>
        <w:t>盈利因子</w:t>
      </w:r>
      <w:bookmarkEnd w:id="9"/>
      <w:bookmarkEnd w:id="10"/>
    </w:p>
    <w:p w14:paraId="37DC37A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净资产收益率（</w:t>
      </w:r>
      <w:r w:rsidRPr="00F971D8">
        <w:rPr>
          <w:rFonts w:ascii="Times New Roman" w:eastAsia="宋体" w:hAnsi="Times New Roman" w:cs="Times New Roman"/>
          <w:szCs w:val="21"/>
        </w:rPr>
        <w:t>ROE</w:t>
      </w:r>
      <w:r w:rsidRPr="00F971D8">
        <w:rPr>
          <w:rFonts w:ascii="Times New Roman" w:eastAsia="宋体" w:hAnsi="Times New Roman" w:cs="Times New Roman"/>
          <w:szCs w:val="21"/>
        </w:rPr>
        <w:t>）</w:t>
      </w:r>
    </w:p>
    <w:p w14:paraId="1650E189"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NE.Ref.{659854BF-8020-42B2-B301-2D283CC11AF3}</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Hou, Xue and Zhang (2015)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，资本收益率等于净利润除以总资本。</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37E8F7A6"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总资产收益率（</w:t>
      </w:r>
      <w:r w:rsidRPr="00F971D8">
        <w:rPr>
          <w:rFonts w:ascii="Times New Roman" w:eastAsia="宋体" w:hAnsi="Times New Roman" w:cs="Times New Roman"/>
          <w:szCs w:val="21"/>
        </w:rPr>
        <w:t>ROA</w:t>
      </w:r>
      <w:r w:rsidRPr="00F971D8">
        <w:rPr>
          <w:rFonts w:ascii="Times New Roman" w:eastAsia="宋体" w:hAnsi="Times New Roman" w:cs="Times New Roman"/>
          <w:szCs w:val="21"/>
        </w:rPr>
        <w:t>）</w:t>
      </w:r>
    </w:p>
    <w:p w14:paraId="7F715B9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NE.Ref.{E3569A10-9C85-4346-B353-D03510135A13}</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Balakrishnan, Bartov and Faurel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，资产收益率等于净利润除以总资产。</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3AD3AA37"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资本换手率（</w:t>
      </w:r>
      <w:r w:rsidRPr="00F971D8">
        <w:rPr>
          <w:rFonts w:ascii="Times New Roman" w:eastAsia="宋体" w:hAnsi="Times New Roman" w:cs="Times New Roman"/>
          <w:szCs w:val="21"/>
        </w:rPr>
        <w:t>CT</w:t>
      </w:r>
      <w:r w:rsidRPr="00F971D8">
        <w:rPr>
          <w:rFonts w:ascii="Times New Roman" w:eastAsia="宋体" w:hAnsi="Times New Roman" w:cs="Times New Roman"/>
          <w:szCs w:val="21"/>
        </w:rPr>
        <w:t>）</w:t>
      </w:r>
    </w:p>
    <w:p w14:paraId="6535CB4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NE.Ref.{EAFE86D0-8448-411C-A6EC-6BBC9D8FEC5A}</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Baker (2004)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资本换手率等于销售收入除以滞后一年的总资产</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5BC4780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利润资产比率</w:t>
      </w:r>
      <w:r w:rsidRPr="00F971D8">
        <w:rPr>
          <w:rFonts w:ascii="Times New Roman" w:eastAsia="宋体" w:hAnsi="Times New Roman" w:cs="Times New Roman"/>
          <w:szCs w:val="21"/>
        </w:rPr>
        <w:t>PA</w:t>
      </w:r>
      <w:r w:rsidRPr="00F971D8">
        <w:rPr>
          <w:rFonts w:ascii="Times New Roman" w:eastAsia="宋体" w:hAnsi="Times New Roman" w:cs="Times New Roman"/>
          <w:szCs w:val="21"/>
        </w:rPr>
        <w:t>）</w:t>
      </w:r>
    </w:p>
    <w:p w14:paraId="1B3E5DF8"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NE.Ref.{FB66EBCC-66B2-4348-87BE-89153A37782C}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Novy-Marx (2013)</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，盈利比例等于总利润除以滞后一年的总资产。</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w:t>
      </w:r>
      <w:r w:rsidRPr="00F971D8">
        <w:rPr>
          <w:rFonts w:ascii="Times New Roman" w:eastAsia="宋体" w:hAnsi="Times New Roman" w:cs="Times New Roman"/>
          <w:szCs w:val="21"/>
        </w:rPr>
        <w:lastRenderedPageBreak/>
        <w:t>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42A7C55D"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现金生产力（</w:t>
      </w:r>
      <w:r w:rsidRPr="00F971D8">
        <w:rPr>
          <w:rFonts w:ascii="Times New Roman" w:eastAsia="宋体" w:hAnsi="Times New Roman" w:cs="Times New Roman"/>
          <w:szCs w:val="21"/>
        </w:rPr>
        <w:t>cashpr</w:t>
      </w:r>
      <w:r w:rsidRPr="00F971D8">
        <w:rPr>
          <w:rFonts w:ascii="Times New Roman" w:eastAsia="宋体" w:hAnsi="Times New Roman" w:cs="Times New Roman"/>
          <w:szCs w:val="21"/>
        </w:rPr>
        <w:t>）</w:t>
      </w:r>
    </w:p>
    <w:p w14:paraId="394B6B8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NE.Ref.{6DA7EA42-420F-44B6-AF1B-5DFF7158819C}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Chandrashekar and Rao (2009)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，现金资产比等于</w:t>
      </w:r>
      <w:r w:rsidRPr="00F971D8">
        <w:rPr>
          <w:rFonts w:ascii="Times New Roman" w:eastAsia="宋体" w:hAnsi="Times New Roman" w:cs="Times New Roman"/>
          <w:szCs w:val="21"/>
        </w:rPr>
        <w:t>A</w:t>
      </w:r>
      <w:r w:rsidRPr="00F971D8">
        <w:rPr>
          <w:rFonts w:ascii="Times New Roman" w:eastAsia="宋体" w:hAnsi="Times New Roman" w:cs="Times New Roman"/>
          <w:szCs w:val="21"/>
        </w:rPr>
        <w:t>股流通市值加上长期负债减去总资产，然后除以货币资金。</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1D6A2092"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现金资产比（</w:t>
      </w:r>
      <w:r w:rsidRPr="00F971D8">
        <w:rPr>
          <w:rFonts w:ascii="Times New Roman" w:eastAsia="宋体" w:hAnsi="Times New Roman" w:cs="Times New Roman"/>
          <w:szCs w:val="21"/>
        </w:rPr>
        <w:t>cash</w:t>
      </w:r>
      <w:r w:rsidRPr="00F971D8">
        <w:rPr>
          <w:rFonts w:ascii="Times New Roman" w:eastAsia="宋体" w:hAnsi="Times New Roman" w:cs="Times New Roman"/>
          <w:szCs w:val="21"/>
        </w:rPr>
        <w:t>）</w:t>
      </w:r>
    </w:p>
    <w:p w14:paraId="0B704FC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NE.Ref.{6C8B3CDD-35FF-4C9D-844C-D482CA5CBBD8}</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Palazzo (2012)</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，该因子等于现金及现金等价物除以总资产。</w:t>
      </w:r>
      <w:r w:rsidRPr="00F971D8">
        <w:rPr>
          <w:rFonts w:ascii="Times New Roman" w:eastAsia="宋体" w:hAnsi="Times New Roman" w:cs="Times New Roman" w:hint="eastAsia"/>
          <w:szCs w:val="21"/>
        </w:rPr>
        <w:t>由于财报披露的延时性，每年</w:t>
      </w:r>
      <w:r w:rsidRPr="00F971D8">
        <w:rPr>
          <w:rFonts w:ascii="Times New Roman" w:eastAsia="宋体" w:hAnsi="Times New Roman" w:cs="Times New Roman"/>
          <w:szCs w:val="21"/>
        </w:rPr>
        <w:t>5</w:t>
      </w:r>
      <w:r w:rsidRPr="00F971D8">
        <w:rPr>
          <w:rFonts w:ascii="Times New Roman" w:eastAsia="宋体" w:hAnsi="Times New Roman" w:cs="Times New Roman"/>
          <w:szCs w:val="21"/>
        </w:rPr>
        <w:t>月初，因子根据年报数据进行更新；每年</w:t>
      </w:r>
      <w:r w:rsidRPr="00F971D8">
        <w:rPr>
          <w:rFonts w:ascii="Times New Roman" w:eastAsia="宋体" w:hAnsi="Times New Roman" w:cs="Times New Roman"/>
          <w:szCs w:val="21"/>
        </w:rPr>
        <w:t>9</w:t>
      </w:r>
      <w:r w:rsidRPr="00F971D8">
        <w:rPr>
          <w:rFonts w:ascii="Times New Roman" w:eastAsia="宋体" w:hAnsi="Times New Roman" w:cs="Times New Roman"/>
          <w:szCs w:val="21"/>
        </w:rPr>
        <w:t>月初，因子根据半年报数据进行更新；每年</w:t>
      </w:r>
      <w:r w:rsidRPr="00F971D8">
        <w:rPr>
          <w:rFonts w:ascii="Times New Roman" w:eastAsia="宋体" w:hAnsi="Times New Roman" w:cs="Times New Roman"/>
          <w:szCs w:val="21"/>
        </w:rPr>
        <w:t>11</w:t>
      </w:r>
      <w:r w:rsidRPr="00F971D8">
        <w:rPr>
          <w:rFonts w:ascii="Times New Roman" w:eastAsia="宋体" w:hAnsi="Times New Roman" w:cs="Times New Roman"/>
          <w:szCs w:val="21"/>
        </w:rPr>
        <w:t>月初，因子根据三季报数据进行更新。如果缺失季报数据，则延用上一期的年报或半年报数据。</w:t>
      </w:r>
      <w:r w:rsidRPr="00F971D8">
        <w:rPr>
          <w:rFonts w:ascii="Times New Roman" w:eastAsia="宋体" w:hAnsi="Times New Roman" w:cs="Times New Roman" w:hint="eastAsia"/>
          <w:szCs w:val="21"/>
        </w:rPr>
        <w:t>该因子的起始日期为</w:t>
      </w:r>
      <w:r w:rsidRPr="00F971D8">
        <w:rPr>
          <w:rFonts w:ascii="Times New Roman" w:eastAsia="宋体" w:hAnsi="Times New Roman" w:cs="Times New Roman"/>
          <w:szCs w:val="21"/>
        </w:rPr>
        <w:t>1997</w:t>
      </w:r>
      <w:r w:rsidRPr="00F971D8">
        <w:rPr>
          <w:rFonts w:ascii="Times New Roman" w:eastAsia="宋体" w:hAnsi="Times New Roman" w:cs="Times New Roman"/>
          <w:szCs w:val="21"/>
        </w:rPr>
        <w:t>年</w:t>
      </w:r>
      <w:r w:rsidRPr="00F971D8">
        <w:rPr>
          <w:rFonts w:ascii="Times New Roman" w:eastAsia="宋体" w:hAnsi="Times New Roman" w:cs="Times New Roman"/>
          <w:szCs w:val="21"/>
        </w:rPr>
        <w:t>1</w:t>
      </w:r>
      <w:r w:rsidRPr="00F971D8">
        <w:rPr>
          <w:rFonts w:ascii="Times New Roman" w:eastAsia="宋体" w:hAnsi="Times New Roman" w:cs="Times New Roman"/>
          <w:szCs w:val="21"/>
        </w:rPr>
        <w:t>月</w:t>
      </w:r>
      <w:r w:rsidRPr="00F971D8">
        <w:rPr>
          <w:rFonts w:ascii="Times New Roman" w:eastAsia="宋体" w:hAnsi="Times New Roman" w:cs="Times New Roman"/>
          <w:szCs w:val="21"/>
        </w:rPr>
        <w:t>1</w:t>
      </w:r>
      <w:r w:rsidRPr="00F971D8">
        <w:rPr>
          <w:rFonts w:ascii="Times New Roman" w:eastAsia="宋体" w:hAnsi="Times New Roman" w:cs="Times New Roman"/>
          <w:szCs w:val="21"/>
        </w:rPr>
        <w:t>日。</w:t>
      </w:r>
    </w:p>
    <w:p w14:paraId="6EB1CE8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营业利润率</w:t>
      </w:r>
      <w:r w:rsidRPr="00F971D8">
        <w:rPr>
          <w:rFonts w:ascii="Times New Roman" w:eastAsia="宋体" w:hAnsi="Times New Roman" w:cs="Times New Roman"/>
          <w:szCs w:val="21"/>
        </w:rPr>
        <w:t xml:space="preserve"> (Operating profit rate, operprof) </w:t>
      </w:r>
    </w:p>
    <w:p w14:paraId="364DCCB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NE.Ref.{F313B67E-1627-461D-8E1F-C3FF5DE088D3}</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Fama and French (2015)</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，营业利润率等于</w:t>
      </w:r>
      <w:r w:rsidRPr="00F971D8">
        <w:rPr>
          <w:rFonts w:ascii="Times New Roman" w:eastAsia="宋体" w:hAnsi="Times New Roman" w:cs="Times New Roman"/>
          <w:szCs w:val="21"/>
        </w:rPr>
        <w:t>(</w:t>
      </w:r>
      <w:r w:rsidRPr="00F971D8">
        <w:rPr>
          <w:rFonts w:ascii="Times New Roman" w:eastAsia="宋体" w:hAnsi="Times New Roman" w:cs="Times New Roman"/>
          <w:szCs w:val="21"/>
        </w:rPr>
        <w:t>营业收入</w:t>
      </w:r>
      <w:r w:rsidRPr="00F971D8">
        <w:rPr>
          <w:rFonts w:ascii="Times New Roman" w:eastAsia="宋体" w:hAnsi="Times New Roman" w:cs="Times New Roman"/>
          <w:szCs w:val="21"/>
        </w:rPr>
        <w:t>+</w:t>
      </w:r>
      <w:r w:rsidRPr="00F971D8">
        <w:rPr>
          <w:rFonts w:ascii="Times New Roman" w:eastAsia="宋体" w:hAnsi="Times New Roman" w:cs="Times New Roman"/>
          <w:szCs w:val="21"/>
        </w:rPr>
        <w:t>其他业务收入</w:t>
      </w:r>
      <w:r w:rsidRPr="00F971D8">
        <w:rPr>
          <w:rFonts w:ascii="Times New Roman" w:eastAsia="宋体" w:hAnsi="Times New Roman" w:cs="Times New Roman"/>
          <w:szCs w:val="21"/>
        </w:rPr>
        <w:t>-</w:t>
      </w:r>
      <w:r w:rsidRPr="00F971D8">
        <w:rPr>
          <w:rFonts w:ascii="Times New Roman" w:eastAsia="宋体" w:hAnsi="Times New Roman" w:cs="Times New Roman"/>
          <w:szCs w:val="21"/>
        </w:rPr>
        <w:t>销售成本</w:t>
      </w:r>
      <w:r w:rsidRPr="00F971D8">
        <w:rPr>
          <w:rFonts w:ascii="Times New Roman" w:eastAsia="宋体" w:hAnsi="Times New Roman" w:cs="Times New Roman"/>
          <w:szCs w:val="21"/>
        </w:rPr>
        <w:t>-</w:t>
      </w:r>
      <w:r w:rsidRPr="00F971D8">
        <w:rPr>
          <w:rFonts w:ascii="Times New Roman" w:eastAsia="宋体" w:hAnsi="Times New Roman" w:cs="Times New Roman"/>
          <w:szCs w:val="21"/>
        </w:rPr>
        <w:t>财务费用</w:t>
      </w:r>
      <w:r w:rsidRPr="00F971D8">
        <w:rPr>
          <w:rFonts w:ascii="Times New Roman" w:eastAsia="宋体" w:hAnsi="Times New Roman" w:cs="Times New Roman"/>
          <w:szCs w:val="21"/>
        </w:rPr>
        <w:t>-</w:t>
      </w:r>
      <w:r w:rsidRPr="00F971D8">
        <w:rPr>
          <w:rFonts w:ascii="Times New Roman" w:eastAsia="宋体" w:hAnsi="Times New Roman" w:cs="Times New Roman"/>
          <w:szCs w:val="21"/>
        </w:rPr>
        <w:t>销售费用</w:t>
      </w:r>
      <w:r w:rsidRPr="00F971D8">
        <w:rPr>
          <w:rFonts w:ascii="Times New Roman" w:eastAsia="宋体" w:hAnsi="Times New Roman" w:cs="Times New Roman"/>
          <w:szCs w:val="21"/>
        </w:rPr>
        <w:t>-</w:t>
      </w:r>
      <w:r w:rsidRPr="00F971D8">
        <w:rPr>
          <w:rFonts w:ascii="Times New Roman" w:eastAsia="宋体" w:hAnsi="Times New Roman" w:cs="Times New Roman"/>
          <w:szCs w:val="21"/>
        </w:rPr>
        <w:t>管理费用</w:t>
      </w:r>
      <w:r w:rsidRPr="00F971D8">
        <w:rPr>
          <w:rFonts w:ascii="Times New Roman" w:eastAsia="宋体" w:hAnsi="Times New Roman" w:cs="Times New Roman"/>
          <w:szCs w:val="21"/>
        </w:rPr>
        <w:t>)/</w:t>
      </w:r>
      <w:r w:rsidRPr="00F971D8">
        <w:rPr>
          <w:rFonts w:ascii="Times New Roman" w:eastAsia="宋体" w:hAnsi="Times New Roman" w:cs="Times New Roman"/>
          <w:szCs w:val="21"/>
        </w:rPr>
        <w:t>股本。使用去年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月底的数据计算得到得到营业利润率，将此因子用今年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月底的数据计算得到营业利润率，将此因子用在今年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61B36C0F"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毛利率变动</w:t>
      </w:r>
      <w:r w:rsidRPr="00F971D8">
        <w:rPr>
          <w:rFonts w:ascii="Times New Roman" w:eastAsia="宋体" w:hAnsi="Times New Roman" w:cs="Times New Roman"/>
          <w:szCs w:val="21"/>
        </w:rPr>
        <w:t>%-</w:t>
      </w:r>
      <w:r w:rsidRPr="00F971D8">
        <w:rPr>
          <w:rFonts w:ascii="Times New Roman" w:eastAsia="宋体" w:hAnsi="Times New Roman" w:cs="Times New Roman"/>
          <w:szCs w:val="21"/>
        </w:rPr>
        <w:t>销售变动</w:t>
      </w:r>
      <w:r w:rsidRPr="00F971D8">
        <w:rPr>
          <w:rFonts w:ascii="Times New Roman" w:eastAsia="宋体" w:hAnsi="Times New Roman" w:cs="Times New Roman"/>
          <w:szCs w:val="21"/>
        </w:rPr>
        <w:t xml:space="preserve">% (% change in gross margin - %change in sales, pchgm_pchsale) </w:t>
      </w:r>
    </w:p>
    <w:p w14:paraId="3B4564A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NE.Ref.{09CF11FC-5D79-44D3-86C4-3B4D6CFB5632}</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Bushee and Abarbanell (1997)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，毛利率变动</w:t>
      </w:r>
      <w:r w:rsidRPr="00F971D8">
        <w:rPr>
          <w:rFonts w:ascii="Times New Roman" w:eastAsia="宋体" w:hAnsi="Times New Roman" w:cs="Times New Roman"/>
          <w:szCs w:val="21"/>
        </w:rPr>
        <w:t>%-</w:t>
      </w:r>
      <w:r w:rsidRPr="00F971D8">
        <w:rPr>
          <w:rFonts w:ascii="Times New Roman" w:eastAsia="宋体" w:hAnsi="Times New Roman" w:cs="Times New Roman"/>
          <w:szCs w:val="21"/>
        </w:rPr>
        <w:t>销售变动</w:t>
      </w:r>
      <w:r w:rsidRPr="00F971D8">
        <w:rPr>
          <w:rFonts w:ascii="Times New Roman" w:eastAsia="宋体" w:hAnsi="Times New Roman" w:cs="Times New Roman"/>
          <w:szCs w:val="21"/>
        </w:rPr>
        <w:t>%</w:t>
      </w:r>
      <w:r w:rsidRPr="00F971D8">
        <w:rPr>
          <w:rFonts w:ascii="Times New Roman" w:eastAsia="宋体" w:hAnsi="Times New Roman" w:cs="Times New Roman"/>
          <w:szCs w:val="21"/>
        </w:rPr>
        <w:t>等于毛利率变动百分比（记（</w:t>
      </w:r>
      <w:r w:rsidRPr="00F971D8">
        <w:rPr>
          <w:rFonts w:ascii="Times New Roman" w:eastAsia="宋体" w:hAnsi="Times New Roman" w:cs="Times New Roman"/>
          <w:szCs w:val="21"/>
        </w:rPr>
        <w:t>t-24</w:t>
      </w:r>
      <w:r w:rsidRPr="00F971D8">
        <w:rPr>
          <w:rFonts w:ascii="Times New Roman" w:eastAsia="宋体" w:hAnsi="Times New Roman" w:cs="Times New Roman"/>
          <w:szCs w:val="21"/>
        </w:rPr>
        <w:t>月份毛利率</w:t>
      </w:r>
      <w:r w:rsidRPr="00F971D8">
        <w:rPr>
          <w:rFonts w:ascii="Times New Roman" w:eastAsia="宋体" w:hAnsi="Times New Roman" w:cs="Times New Roman"/>
          <w:szCs w:val="21"/>
        </w:rPr>
        <w:t>+t-12</w:t>
      </w:r>
      <w:r w:rsidRPr="00F971D8">
        <w:rPr>
          <w:rFonts w:ascii="Times New Roman" w:eastAsia="宋体" w:hAnsi="Times New Roman" w:cs="Times New Roman"/>
          <w:szCs w:val="21"/>
        </w:rPr>
        <w:t>月份毛利率）</w:t>
      </w:r>
      <w:r w:rsidRPr="00F971D8">
        <w:rPr>
          <w:rFonts w:ascii="Times New Roman" w:eastAsia="宋体" w:hAnsi="Times New Roman" w:cs="Times New Roman"/>
          <w:szCs w:val="21"/>
        </w:rPr>
        <w:t>/2</w:t>
      </w:r>
      <w:r w:rsidRPr="00F971D8">
        <w:rPr>
          <w:rFonts w:ascii="Times New Roman" w:eastAsia="宋体" w:hAnsi="Times New Roman" w:cs="Times New Roman"/>
          <w:szCs w:val="21"/>
        </w:rPr>
        <w:t>为均值，</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月份毛利率变动百分比等于（</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月份毛利率</w:t>
      </w:r>
      <w:r w:rsidRPr="00F971D8">
        <w:rPr>
          <w:rFonts w:ascii="Times New Roman" w:eastAsia="宋体" w:hAnsi="Times New Roman" w:cs="Times New Roman"/>
          <w:szCs w:val="21"/>
        </w:rPr>
        <w:t>-</w:t>
      </w:r>
      <w:r w:rsidRPr="00F971D8">
        <w:rPr>
          <w:rFonts w:ascii="Times New Roman" w:eastAsia="宋体" w:hAnsi="Times New Roman" w:cs="Times New Roman"/>
          <w:szCs w:val="21"/>
        </w:rPr>
        <w:t>均值）</w:t>
      </w:r>
      <w:r w:rsidRPr="00F971D8">
        <w:rPr>
          <w:rFonts w:ascii="Times New Roman" w:eastAsia="宋体" w:hAnsi="Times New Roman" w:cs="Times New Roman"/>
          <w:szCs w:val="21"/>
        </w:rPr>
        <w:t>/</w:t>
      </w:r>
      <w:r w:rsidRPr="00F971D8">
        <w:rPr>
          <w:rFonts w:ascii="Times New Roman" w:eastAsia="宋体" w:hAnsi="Times New Roman" w:cs="Times New Roman"/>
          <w:szCs w:val="21"/>
        </w:rPr>
        <w:t>均值）减去营业收入变动百分比。使用去年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月底的数据计算得到因子，将此因子用今年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月底的数据计算得到因子，将此因子用在今年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w:t>
      </w:r>
      <w:r w:rsidRPr="00F971D8">
        <w:rPr>
          <w:rFonts w:ascii="Times New Roman" w:eastAsia="宋体" w:hAnsi="Times New Roman" w:cs="Times New Roman" w:hint="eastAsia"/>
          <w:szCs w:val="21"/>
        </w:rPr>
        <w:t>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70330F0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总资产周转率</w:t>
      </w:r>
      <w:r w:rsidRPr="00F971D8">
        <w:rPr>
          <w:rFonts w:ascii="Times New Roman" w:eastAsia="宋体" w:hAnsi="Times New Roman" w:cs="Times New Roman"/>
          <w:szCs w:val="21"/>
        </w:rPr>
        <w:t xml:space="preserve"> (Asset turnover, ATO) </w:t>
      </w:r>
    </w:p>
    <w:p w14:paraId="71D4F18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NE.Ref.{4544A425-1B2F-406D-BDF8-6E5D3085AD2E}</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Soliman (2008)</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，总资产周转率等于营业收入除以</w:t>
      </w:r>
      <w:r w:rsidRPr="00F971D8">
        <w:rPr>
          <w:rFonts w:ascii="Times New Roman" w:eastAsia="宋体" w:hAnsi="Times New Roman" w:cs="Times New Roman"/>
          <w:szCs w:val="21"/>
        </w:rPr>
        <w:t>NOA</w:t>
      </w:r>
      <w:r w:rsidRPr="00F971D8">
        <w:rPr>
          <w:rFonts w:ascii="Times New Roman" w:eastAsia="宋体" w:hAnsi="Times New Roman" w:cs="Times New Roman"/>
          <w:szCs w:val="21"/>
        </w:rPr>
        <w:t>（净经营资产）。使用去年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NOA</w:t>
      </w:r>
      <w:r w:rsidRPr="00F971D8">
        <w:rPr>
          <w:rFonts w:ascii="Times New Roman" w:eastAsia="宋体" w:hAnsi="Times New Roman" w:cs="Times New Roman"/>
          <w:szCs w:val="21"/>
        </w:rPr>
        <w:t>，得到总资产周转率，将此因子用今年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月底的营业收入除以今年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w:t>
      </w:r>
      <w:r w:rsidRPr="00F971D8">
        <w:rPr>
          <w:rFonts w:ascii="Times New Roman" w:eastAsia="宋体" w:hAnsi="Times New Roman" w:cs="Times New Roman"/>
          <w:szCs w:val="21"/>
        </w:rPr>
        <w:t>NOA</w:t>
      </w:r>
      <w:r w:rsidRPr="00F971D8">
        <w:rPr>
          <w:rFonts w:ascii="Times New Roman" w:eastAsia="宋体" w:hAnsi="Times New Roman" w:cs="Times New Roman"/>
          <w:szCs w:val="21"/>
        </w:rPr>
        <w:t>，得到总资产周转率，将此因子用在今年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1143EFC4"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预期每股收益的变化</w:t>
      </w:r>
      <w:r w:rsidRPr="00F971D8">
        <w:rPr>
          <w:rFonts w:ascii="Times New Roman" w:eastAsia="宋体" w:hAnsi="Times New Roman" w:cs="Times New Roman"/>
          <w:szCs w:val="21"/>
        </w:rPr>
        <w:t xml:space="preserve"> (Change in forecasted EPS, chfeps) </w:t>
      </w:r>
    </w:p>
    <w:p w14:paraId="7651EC92"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NE.Ref.{DA654CA9-B17A-4A76-A4B5-2C0016E24674}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Hawkins and Daniel (1984)</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，预期每股收益的变化等于股票</w:t>
      </w:r>
      <w:r w:rsidRPr="00F971D8">
        <w:rPr>
          <w:rFonts w:ascii="Times New Roman" w:eastAsia="宋体" w:hAnsi="Times New Roman" w:cs="Times New Roman"/>
          <w:szCs w:val="21"/>
        </w:rPr>
        <w:t>EPS</w:t>
      </w:r>
      <w:r w:rsidRPr="00F971D8">
        <w:rPr>
          <w:rFonts w:ascii="Times New Roman" w:eastAsia="宋体" w:hAnsi="Times New Roman" w:cs="Times New Roman"/>
          <w:szCs w:val="21"/>
        </w:rPr>
        <w:t>减去预测</w:t>
      </w:r>
      <w:r w:rsidRPr="00F971D8">
        <w:rPr>
          <w:rFonts w:ascii="Times New Roman" w:eastAsia="宋体" w:hAnsi="Times New Roman" w:cs="Times New Roman"/>
          <w:szCs w:val="21"/>
        </w:rPr>
        <w:t>EPS</w:t>
      </w:r>
      <w:r w:rsidRPr="00F971D8">
        <w:rPr>
          <w:rFonts w:ascii="Times New Roman" w:eastAsia="宋体" w:hAnsi="Times New Roman" w:cs="Times New Roman"/>
          <w:szCs w:val="21"/>
        </w:rPr>
        <w:t>均值。使用去年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月底的股票</w:t>
      </w:r>
      <w:r w:rsidRPr="00F971D8">
        <w:rPr>
          <w:rFonts w:ascii="Times New Roman" w:eastAsia="宋体" w:hAnsi="Times New Roman" w:cs="Times New Roman"/>
          <w:szCs w:val="21"/>
        </w:rPr>
        <w:t>EPS</w:t>
      </w:r>
      <w:r w:rsidRPr="00F971D8">
        <w:rPr>
          <w:rFonts w:ascii="Times New Roman" w:eastAsia="宋体" w:hAnsi="Times New Roman" w:cs="Times New Roman"/>
          <w:szCs w:val="21"/>
        </w:rPr>
        <w:t>减去去年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月底的预测</w:t>
      </w:r>
      <w:r w:rsidRPr="00F971D8">
        <w:rPr>
          <w:rFonts w:ascii="Times New Roman" w:eastAsia="宋体" w:hAnsi="Times New Roman" w:cs="Times New Roman"/>
          <w:szCs w:val="21"/>
        </w:rPr>
        <w:t>EPS</w:t>
      </w:r>
      <w:r w:rsidRPr="00F971D8">
        <w:rPr>
          <w:rFonts w:ascii="Times New Roman" w:eastAsia="宋体" w:hAnsi="Times New Roman" w:cs="Times New Roman"/>
          <w:szCs w:val="21"/>
        </w:rPr>
        <w:t>均值，得到预期每股收益的变化，将此因子用今年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lastRenderedPageBreak/>
        <w:t>的股票</w:t>
      </w:r>
      <w:r w:rsidRPr="00F971D8">
        <w:rPr>
          <w:rFonts w:ascii="Times New Roman" w:eastAsia="宋体" w:hAnsi="Times New Roman" w:cs="Times New Roman"/>
          <w:szCs w:val="21"/>
        </w:rPr>
        <w:t>EPS</w:t>
      </w:r>
      <w:r w:rsidRPr="00F971D8">
        <w:rPr>
          <w:rFonts w:ascii="Times New Roman" w:eastAsia="宋体" w:hAnsi="Times New Roman" w:cs="Times New Roman"/>
          <w:szCs w:val="21"/>
        </w:rPr>
        <w:t>减去今年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月底的预测</w:t>
      </w:r>
      <w:r w:rsidRPr="00F971D8">
        <w:rPr>
          <w:rFonts w:ascii="Times New Roman" w:eastAsia="宋体" w:hAnsi="Times New Roman" w:cs="Times New Roman"/>
          <w:szCs w:val="21"/>
        </w:rPr>
        <w:t>EPS</w:t>
      </w:r>
      <w:r w:rsidRPr="00F971D8">
        <w:rPr>
          <w:rFonts w:ascii="Times New Roman" w:eastAsia="宋体" w:hAnsi="Times New Roman" w:cs="Times New Roman"/>
          <w:szCs w:val="21"/>
        </w:rPr>
        <w:t>均值，得到预期每股收益的变化，将此因子用在今年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3FED89F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收入增加期数</w:t>
      </w:r>
      <w:r w:rsidRPr="00F971D8">
        <w:rPr>
          <w:rFonts w:ascii="Times New Roman" w:eastAsia="宋体" w:hAnsi="Times New Roman" w:cs="Times New Roman"/>
          <w:szCs w:val="21"/>
        </w:rPr>
        <w:t xml:space="preserve"> (Number of earnings increases, nincr) </w:t>
      </w:r>
    </w:p>
    <w:p w14:paraId="16D36696"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NE.Ref.{58679196-E9EF-4BAD-804C-99E573EFB0FD}</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Barth, Elliott and Finn (1999)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，收入增加期数等于相比去年同期，净利润连续增加的期数（最大为</w:t>
      </w:r>
      <w:r w:rsidRPr="00F971D8">
        <w:rPr>
          <w:rFonts w:ascii="Times New Roman" w:eastAsia="宋体" w:hAnsi="Times New Roman" w:cs="Times New Roman"/>
          <w:szCs w:val="21"/>
        </w:rPr>
        <w:t>8</w:t>
      </w:r>
      <w:r w:rsidRPr="00F971D8">
        <w:rPr>
          <w:rFonts w:ascii="Times New Roman" w:eastAsia="宋体" w:hAnsi="Times New Roman" w:cs="Times New Roman"/>
          <w:szCs w:val="21"/>
        </w:rPr>
        <w:t>，月度计数）。</w:t>
      </w:r>
    </w:p>
    <w:p w14:paraId="47133A65"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投入资本回报</w:t>
      </w:r>
      <w:r w:rsidRPr="00F971D8">
        <w:rPr>
          <w:rFonts w:ascii="Times New Roman" w:eastAsia="宋体" w:hAnsi="Times New Roman" w:cs="Times New Roman"/>
          <w:szCs w:val="21"/>
        </w:rPr>
        <w:t xml:space="preserve"> (Return on invested capital, roic) </w:t>
      </w:r>
    </w:p>
    <w:p w14:paraId="47B40D7B"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NE.Ref.{7CB61FC3-FA0B-404A-8F91-9BCE5DBFD40B}</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Brown and Rowe (2007)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，投入资本回报等于营业收入除以投资资本的账面价值（分母等于负债</w:t>
      </w:r>
      <w:r w:rsidRPr="00F971D8">
        <w:rPr>
          <w:rFonts w:ascii="Times New Roman" w:eastAsia="宋体" w:hAnsi="Times New Roman" w:cs="Times New Roman"/>
          <w:szCs w:val="21"/>
        </w:rPr>
        <w:t>+</w:t>
      </w:r>
      <w:r w:rsidRPr="00F971D8">
        <w:rPr>
          <w:rFonts w:ascii="Times New Roman" w:eastAsia="宋体" w:hAnsi="Times New Roman" w:cs="Times New Roman"/>
          <w:szCs w:val="21"/>
        </w:rPr>
        <w:t>所有者权益</w:t>
      </w:r>
      <w:r w:rsidRPr="00F971D8">
        <w:rPr>
          <w:rFonts w:ascii="Times New Roman" w:eastAsia="宋体" w:hAnsi="Times New Roman" w:cs="Times New Roman"/>
          <w:szCs w:val="21"/>
        </w:rPr>
        <w:t>-</w:t>
      </w:r>
      <w:r w:rsidRPr="00F971D8">
        <w:rPr>
          <w:rFonts w:ascii="Times New Roman" w:eastAsia="宋体" w:hAnsi="Times New Roman" w:cs="Times New Roman"/>
          <w:szCs w:val="21"/>
        </w:rPr>
        <w:t>货币资金）。使用去年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月底的投资资本的账面价值，得到投入资本回报，将此因子用今年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月底的营业收入除以今年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月底的投资资本的账面价值，得到投入资本回报，将此因子用在今年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w:t>
      </w:r>
      <w:r w:rsidRPr="00F971D8">
        <w:rPr>
          <w:rFonts w:ascii="Times New Roman" w:eastAsia="宋体" w:hAnsi="Times New Roman" w:cs="Times New Roman" w:hint="eastAsia"/>
          <w:szCs w:val="21"/>
        </w:rPr>
        <w:t>底、</w:t>
      </w:r>
      <w:r w:rsidRPr="00F971D8">
        <w:rPr>
          <w:rFonts w:ascii="Times New Roman" w:eastAsia="宋体" w:hAnsi="Times New Roman" w:cs="Times New Roman"/>
          <w:szCs w:val="21"/>
        </w:rPr>
        <w:t xml:space="preserve">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61760AE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意外收入</w:t>
      </w:r>
      <w:r w:rsidRPr="00F971D8">
        <w:rPr>
          <w:rFonts w:ascii="Times New Roman" w:eastAsia="宋体" w:hAnsi="Times New Roman" w:cs="Times New Roman"/>
          <w:szCs w:val="21"/>
        </w:rPr>
        <w:t xml:space="preserve"> (Revenue surprise, rusp) </w:t>
      </w:r>
    </w:p>
    <w:p w14:paraId="088C933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NE.Ref.{F8BDF7FB-58E7-43C2-AA08-E2422BC579F1}</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Kama (2010)</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，意外收入等于营业收入与</w:t>
      </w:r>
      <w:r w:rsidRPr="00F971D8">
        <w:rPr>
          <w:rFonts w:ascii="Times New Roman" w:eastAsia="宋体" w:hAnsi="Times New Roman" w:cs="Times New Roman"/>
          <w:szCs w:val="21"/>
        </w:rPr>
        <w:t>4</w:t>
      </w:r>
      <w:r w:rsidRPr="00F971D8">
        <w:rPr>
          <w:rFonts w:ascii="Times New Roman" w:eastAsia="宋体" w:hAnsi="Times New Roman" w:cs="Times New Roman"/>
          <w:szCs w:val="21"/>
        </w:rPr>
        <w:t>个月前营业收入之差除以当月末市值。使用去年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月底的营业收入与</w:t>
      </w:r>
      <w:r w:rsidRPr="00F971D8">
        <w:rPr>
          <w:rFonts w:ascii="Times New Roman" w:eastAsia="宋体" w:hAnsi="Times New Roman" w:cs="Times New Roman"/>
          <w:szCs w:val="21"/>
        </w:rPr>
        <w:t>4</w:t>
      </w:r>
      <w:r w:rsidRPr="00F971D8">
        <w:rPr>
          <w:rFonts w:ascii="Times New Roman" w:eastAsia="宋体" w:hAnsi="Times New Roman" w:cs="Times New Roman"/>
          <w:szCs w:val="21"/>
        </w:rPr>
        <w:t>个月前营业收入之差除以去年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月底的市值，得到意外收入，将此因子用今年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月底的营业收入与</w:t>
      </w:r>
      <w:r w:rsidRPr="00F971D8">
        <w:rPr>
          <w:rFonts w:ascii="Times New Roman" w:eastAsia="宋体" w:hAnsi="Times New Roman" w:cs="Times New Roman"/>
          <w:szCs w:val="21"/>
        </w:rPr>
        <w:t>4</w:t>
      </w:r>
      <w:r w:rsidRPr="00F971D8">
        <w:rPr>
          <w:rFonts w:ascii="Times New Roman" w:eastAsia="宋体" w:hAnsi="Times New Roman" w:cs="Times New Roman"/>
          <w:szCs w:val="21"/>
        </w:rPr>
        <w:t>个月前营业收入之差除以今年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月底的市值，得到意外收入，将此因子用在今年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w:t>
      </w:r>
      <w:r w:rsidRPr="00F971D8">
        <w:rPr>
          <w:rFonts w:ascii="Times New Roman" w:eastAsia="宋体" w:hAnsi="Times New Roman" w:cs="Times New Roman" w:hint="eastAsia"/>
          <w:szCs w:val="21"/>
        </w:rPr>
        <w:t>分组。</w:t>
      </w:r>
    </w:p>
    <w:p w14:paraId="13F7616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收益预测</w:t>
      </w:r>
      <w:r w:rsidRPr="00F971D8">
        <w:rPr>
          <w:rFonts w:ascii="Times New Roman" w:eastAsia="宋体" w:hAnsi="Times New Roman" w:cs="Times New Roman"/>
          <w:szCs w:val="21"/>
        </w:rPr>
        <w:t xml:space="preserve"> (Scaled earnings forecast, sfe) </w:t>
      </w:r>
    </w:p>
    <w:p w14:paraId="14611C9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NE.Ref.{4BAA29C8-C52B-4CE7-B749-ACA5ECC7A5E4}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Elgers, Lo and Jr (2001)</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，收益预测等于分析师预测净利润均值除以每月末股价。使用去年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月底的分析师预测净利润均值除以去年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月底的股价，得到收益预测，将此因子用今年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月底的分析师预测净利润均值除以今年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月底的股价，得到收益预测，将此因子用在今年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hint="eastAsia"/>
          <w:szCs w:val="21"/>
        </w:rPr>
        <w:t>月底的股票分组。</w:t>
      </w:r>
    </w:p>
    <w:p w14:paraId="6C91A038" w14:textId="77777777" w:rsidR="00DD3167" w:rsidRPr="00F971D8" w:rsidRDefault="00DD3167" w:rsidP="00DD3167">
      <w:pPr>
        <w:pStyle w:val="2"/>
        <w:spacing w:line="276" w:lineRule="auto"/>
        <w:ind w:left="420"/>
        <w:rPr>
          <w:szCs w:val="21"/>
        </w:rPr>
      </w:pPr>
      <w:bookmarkStart w:id="11" w:name="_Toc1225900"/>
      <w:bookmarkStart w:id="12" w:name="_Toc14985998"/>
      <w:r>
        <w:rPr>
          <w:rFonts w:hint="eastAsia"/>
          <w:szCs w:val="21"/>
        </w:rPr>
        <w:t>(</w:t>
      </w:r>
      <w:r>
        <w:rPr>
          <w:rFonts w:hint="eastAsia"/>
          <w:szCs w:val="21"/>
        </w:rPr>
        <w:t>六</w:t>
      </w:r>
      <w:r>
        <w:rPr>
          <w:szCs w:val="21"/>
        </w:rPr>
        <w:t xml:space="preserve">) </w:t>
      </w:r>
      <w:r w:rsidRPr="00F971D8">
        <w:rPr>
          <w:rFonts w:hint="eastAsia"/>
          <w:szCs w:val="21"/>
        </w:rPr>
        <w:t>财务流动性因子</w:t>
      </w:r>
      <w:bookmarkEnd w:id="11"/>
      <w:bookmarkEnd w:id="12"/>
    </w:p>
    <w:p w14:paraId="29BC715E"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流动比率</w:t>
      </w:r>
      <w:r w:rsidRPr="00F971D8">
        <w:rPr>
          <w:rFonts w:ascii="Times New Roman" w:eastAsia="宋体" w:hAnsi="Times New Roman" w:cs="Times New Roman"/>
          <w:szCs w:val="21"/>
        </w:rPr>
        <w:t xml:space="preserve"> (current ratio, CR) </w:t>
      </w:r>
    </w:p>
    <w:p w14:paraId="3D55E1B7"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NE.Ref.{8306C1F0-E4AA-41AA-A0DC-67499F2088A8}</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，流动比率等于流动资产合计除以流动负债合计。使用去年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月底的流动资产合计除以去年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月底的流动负债合计，得到流动比率，将此因子用今年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月底的流动资产合计除以今年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月底的流动负债合计，得到流动比率，将此因子用在今年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22C0F6A9"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速动比率</w:t>
      </w:r>
      <w:r w:rsidRPr="00F971D8">
        <w:rPr>
          <w:rFonts w:ascii="Times New Roman" w:eastAsia="宋体" w:hAnsi="Times New Roman" w:cs="Times New Roman"/>
          <w:szCs w:val="21"/>
        </w:rPr>
        <w:t xml:space="preserve"> (quick ratio, QR) </w:t>
      </w:r>
    </w:p>
    <w:p w14:paraId="5FC3685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NE.Ref.{F20F8EB1-DBA1-4BF2-92B8-EEF4C026F2F0}</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，速动比率等于流动资产合计减去净存货额，再除以流动负债合计。使用去年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月底的流动资产合计减去净存货额，再除以去年</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月底的流动负债</w:t>
      </w:r>
      <w:r w:rsidRPr="00F971D8">
        <w:rPr>
          <w:rFonts w:ascii="Times New Roman" w:eastAsia="宋体" w:hAnsi="Times New Roman" w:cs="Times New Roman"/>
          <w:szCs w:val="21"/>
        </w:rPr>
        <w:lastRenderedPageBreak/>
        <w:t>合计，得到速动比率，将此因子用今年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月底的流动资产合计减去净存货额，再除以今年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月底的流动负债合计，得到速动比率，将此因子用在今年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hint="eastAsia"/>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6685CABC"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现金流负债比率（</w:t>
      </w:r>
      <w:r w:rsidRPr="00F971D8">
        <w:rPr>
          <w:rFonts w:ascii="Times New Roman" w:eastAsia="宋体" w:hAnsi="Times New Roman" w:cs="Times New Roman"/>
          <w:szCs w:val="21"/>
        </w:rPr>
        <w:t>cash flow to debt ratio</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CFdebt) </w:t>
      </w:r>
    </w:p>
    <w:p w14:paraId="35BF69EF"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NE.Ref.{54528EA1-6246-4650-BAC0-59BE6745A407}</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现金流负债比率等于净利润除以平均负债合计。</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月份平均负债为</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t </w:t>
      </w:r>
      <w:r w:rsidRPr="00F971D8">
        <w:rPr>
          <w:rFonts w:ascii="Times New Roman" w:eastAsia="宋体" w:hAnsi="Times New Roman" w:cs="Times New Roman"/>
          <w:szCs w:val="21"/>
        </w:rPr>
        <w:t>月份的负债合计的平均值。使用去年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月底的净利润除以去年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月底与前年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月底的总负债合计的平均值，得到现金流负债比率，将此因子用今年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0B4FD549"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营业收入现金比</w:t>
      </w:r>
      <w:r w:rsidRPr="00F971D8">
        <w:rPr>
          <w:rFonts w:ascii="Times New Roman" w:eastAsia="宋体" w:hAnsi="Times New Roman" w:cs="Times New Roman"/>
          <w:szCs w:val="21"/>
        </w:rPr>
        <w:t xml:space="preserve"> (sales to cash ratio, salecash) </w:t>
      </w:r>
    </w:p>
    <w:p w14:paraId="10B614BC"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NE.Ref.{8D0AAD66-6684-42E8-9276-62F1C77E8F3C}</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，营业收入现金比等于营业收入除以货币资金。使用去年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月份的货币资金，得到营业收入现金比，将此因子用今年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月底的数据得到营业收入现金比，将此因子用在今年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34462127"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营业收入存货比</w:t>
      </w:r>
      <w:r w:rsidRPr="00F971D8">
        <w:rPr>
          <w:rFonts w:ascii="Times New Roman" w:eastAsia="宋体" w:hAnsi="Times New Roman" w:cs="Times New Roman"/>
          <w:szCs w:val="21"/>
        </w:rPr>
        <w:t xml:space="preserve"> (sales to inventory ratio, saleinv) </w:t>
      </w:r>
    </w:p>
    <w:p w14:paraId="01729922"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NE.Ref.{88C70A67-87E7-4B6D-8065-AB1842B3FC05}</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营业收入存货比等于营业收入除以存货净额。使用去年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月底的营业收入除以</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月份的存货净额，得到营业收入存货比，将此因子用今年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月底的数据得到营业收入存货比，将此因子用在今年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2469572A"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流动比率增长率</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w:t>
      </w:r>
      <w:r w:rsidRPr="00F971D8">
        <w:rPr>
          <w:rFonts w:ascii="Times New Roman" w:eastAsia="宋体" w:hAnsi="Times New Roman" w:cs="Times New Roman"/>
          <w:szCs w:val="21"/>
        </w:rPr>
        <w:t>current ratio growth, CRG</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p>
    <w:p w14:paraId="7841A75E"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NE.Ref.{84CC49A7-58A6-48C6-9AA2-20A310851904}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流动比率等于流动资产合计除以流动负债合计，它的年化增长率等于</w:t>
      </w:r>
      <w:r w:rsidRPr="00F971D8">
        <w:rPr>
          <w:rFonts w:ascii="Times New Roman" w:eastAsia="宋体" w:hAnsi="Times New Roman" w:cs="Times New Roman"/>
          <w:szCs w:val="21"/>
        </w:rPr>
        <w:t xml:space="preserve"> t </w:t>
      </w:r>
      <w:r w:rsidRPr="00F971D8">
        <w:rPr>
          <w:rFonts w:ascii="Times New Roman" w:eastAsia="宋体" w:hAnsi="Times New Roman" w:cs="Times New Roman"/>
          <w:szCs w:val="21"/>
        </w:rPr>
        <w:t>月份的流动比率减去</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月份的流动比率再除以</w:t>
      </w:r>
      <w:r w:rsidRPr="00F971D8">
        <w:rPr>
          <w:rFonts w:ascii="Times New Roman" w:eastAsia="宋体" w:hAnsi="Times New Roman" w:cs="Times New Roman"/>
          <w:szCs w:val="21"/>
        </w:rPr>
        <w:t xml:space="preserve"> t-12</w:t>
      </w:r>
      <w:r w:rsidRPr="00F971D8">
        <w:rPr>
          <w:rFonts w:ascii="Times New Roman" w:eastAsia="宋体" w:hAnsi="Times New Roman" w:cs="Times New Roman"/>
          <w:szCs w:val="21"/>
        </w:rPr>
        <w:t>月份的流动比率。使用去年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月底的流动比率减去前年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月底的流动比率，除以前年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月底的流动比率，将此因子用今年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月底的数据得到流动比率增长率，此因子用在今年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w:t>
      </w:r>
      <w:r w:rsidRPr="00F971D8">
        <w:rPr>
          <w:rFonts w:ascii="Times New Roman" w:eastAsia="宋体" w:hAnsi="Times New Roman" w:cs="Times New Roman" w:hint="eastAsia"/>
          <w:szCs w:val="21"/>
        </w:rPr>
        <w:t>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09BEC6F0"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速动比率增长率</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w:t>
      </w:r>
      <w:r w:rsidRPr="00F971D8">
        <w:rPr>
          <w:rFonts w:ascii="Times New Roman" w:eastAsia="宋体" w:hAnsi="Times New Roman" w:cs="Times New Roman"/>
          <w:szCs w:val="21"/>
        </w:rPr>
        <w:t>quick ratio growth, QRG</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p>
    <w:p w14:paraId="76E291C4"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NE.Ref.{7825E2E2-66E8-4FF7-AC65-44673E03B976}</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速动比率等于流动资产合计减去净存货额的差，再除以流动负债合计，它的年化增长率等于</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月份的速动比率减去</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月份的速动比率再除以</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月份的速动比率。我们使用去年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月底的速动比率减去前年</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月底的速动比率，除以前年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月底的速动比率，将此因子用今年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月底的数据得到速动比率增长率，此因子用在今年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lastRenderedPageBreak/>
        <w:t xml:space="preserve">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6CFF0F53"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营业收入存货比增长率</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w:t>
      </w:r>
      <w:r w:rsidRPr="00F971D8">
        <w:rPr>
          <w:rFonts w:ascii="Times New Roman" w:eastAsia="宋体" w:hAnsi="Times New Roman" w:cs="Times New Roman"/>
          <w:szCs w:val="21"/>
        </w:rPr>
        <w:t>% change sales-to-inventory, pchsaleinv</w:t>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p>
    <w:p w14:paraId="0FFBDE90"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NE.Ref.{CF7C0F93-8967-4AC9-8542-18F5938B0643}</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w:t>
      </w:r>
      <w:r w:rsidRPr="00F971D8">
        <w:rPr>
          <w:rFonts w:ascii="Times New Roman" w:eastAsia="宋体" w:hAnsi="Times New Roman" w:cs="Times New Roman"/>
          <w:szCs w:val="21"/>
        </w:rPr>
        <w:t xml:space="preserve"> </w:t>
      </w:r>
      <w:r w:rsidRPr="00F971D8">
        <w:rPr>
          <w:rFonts w:ascii="Times New Roman" w:eastAsia="宋体" w:hAnsi="Times New Roman" w:cs="Times New Roman"/>
          <w:szCs w:val="21"/>
        </w:rPr>
        <w:t>营业收入存货比等于营业收入除以存货净额，它的年化增长率等于</w:t>
      </w:r>
      <w:r w:rsidRPr="00F971D8">
        <w:rPr>
          <w:rFonts w:ascii="Times New Roman" w:eastAsia="宋体" w:hAnsi="Times New Roman" w:cs="Times New Roman"/>
          <w:szCs w:val="21"/>
        </w:rPr>
        <w:t>t</w:t>
      </w:r>
      <w:r w:rsidRPr="00F971D8">
        <w:rPr>
          <w:rFonts w:ascii="Times New Roman" w:eastAsia="宋体" w:hAnsi="Times New Roman" w:cs="Times New Roman"/>
          <w:szCs w:val="21"/>
        </w:rPr>
        <w:t>月份的营业收入存货比减去</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月份的营业收入存货比再除以</w:t>
      </w:r>
      <w:r w:rsidRPr="00F971D8">
        <w:rPr>
          <w:rFonts w:ascii="Times New Roman" w:eastAsia="宋体" w:hAnsi="Times New Roman" w:cs="Times New Roman"/>
          <w:szCs w:val="21"/>
        </w:rPr>
        <w:t xml:space="preserve"> t-12 </w:t>
      </w:r>
      <w:r w:rsidRPr="00F971D8">
        <w:rPr>
          <w:rFonts w:ascii="Times New Roman" w:eastAsia="宋体" w:hAnsi="Times New Roman" w:cs="Times New Roman"/>
          <w:szCs w:val="21"/>
        </w:rPr>
        <w:t>月份的营业收入存货比。我们使用去年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月底的营业收入存货比减去前年</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月底的营业收入存货比，除以前年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月底的营业收入存货比，将此因子用今年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月底的数据得到营业收入存货比增长率，此因子用在今年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w:t>
      </w:r>
      <w:r w:rsidRPr="00F971D8">
        <w:rPr>
          <w:rFonts w:ascii="Times New Roman" w:eastAsia="宋体" w:hAnsi="Times New Roman" w:cs="Times New Roman" w:hint="eastAsia"/>
          <w:szCs w:val="21"/>
        </w:rPr>
        <w:t>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4C95F415"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营业收入应收账款比</w:t>
      </w:r>
      <w:r w:rsidRPr="00F971D8">
        <w:rPr>
          <w:rFonts w:ascii="Times New Roman" w:eastAsia="宋体" w:hAnsi="Times New Roman" w:cs="Times New Roman"/>
          <w:szCs w:val="21"/>
        </w:rPr>
        <w:t xml:space="preserve"> (Sales to receivables, salerec) </w:t>
      </w:r>
    </w:p>
    <w:p w14:paraId="2FC1A531"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NE.Ref.{A3223FEC-7809-4C52-8691-B468568DCBC4}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Ou and Penman (1989)</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，营业收入应收账款比等于营业收入除以应收账款。使用去年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月底的营业收入除以去年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月底的应收账款，得到营业收入应收账款比，将此因子用今年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月底的营业收入除以今年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月底的应收账款，得到营业收入应收账款比，将此因子用在今年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32EB214B" w14:textId="77777777" w:rsidR="00DD3167" w:rsidRPr="00F971D8" w:rsidRDefault="00DD3167" w:rsidP="00DD3167">
      <w:pPr>
        <w:pStyle w:val="ad"/>
        <w:numPr>
          <w:ilvl w:val="0"/>
          <w:numId w:val="28"/>
        </w:numPr>
        <w:spacing w:line="276" w:lineRule="auto"/>
        <w:ind w:firstLineChars="0"/>
        <w:rPr>
          <w:rFonts w:ascii="Times New Roman" w:eastAsia="宋体" w:hAnsi="Times New Roman" w:cs="Times New Roman"/>
          <w:szCs w:val="21"/>
        </w:rPr>
      </w:pPr>
      <w:r w:rsidRPr="00F971D8">
        <w:rPr>
          <w:rFonts w:ascii="Times New Roman" w:eastAsia="宋体" w:hAnsi="Times New Roman" w:cs="Times New Roman"/>
          <w:szCs w:val="21"/>
        </w:rPr>
        <w:t>偿债能力</w:t>
      </w:r>
      <w:r w:rsidRPr="00F971D8">
        <w:rPr>
          <w:rFonts w:ascii="Times New Roman" w:eastAsia="宋体" w:hAnsi="Times New Roman" w:cs="Times New Roman"/>
          <w:szCs w:val="21"/>
        </w:rPr>
        <w:t>/</w:t>
      </w:r>
      <w:r w:rsidRPr="00F971D8">
        <w:rPr>
          <w:rFonts w:ascii="Times New Roman" w:eastAsia="宋体" w:hAnsi="Times New Roman" w:cs="Times New Roman"/>
          <w:szCs w:val="21"/>
        </w:rPr>
        <w:t>总资产</w:t>
      </w:r>
      <w:r w:rsidRPr="00F971D8">
        <w:rPr>
          <w:rFonts w:ascii="Times New Roman" w:eastAsia="宋体" w:hAnsi="Times New Roman" w:cs="Times New Roman"/>
          <w:szCs w:val="21"/>
        </w:rPr>
        <w:t xml:space="preserve"> (Debt capacity/firm tangibility, tang) </w:t>
      </w:r>
    </w:p>
    <w:p w14:paraId="01690195" w14:textId="77777777" w:rsidR="00DD3167" w:rsidRPr="00F971D8" w:rsidRDefault="00DD3167" w:rsidP="00DD3167">
      <w:pPr>
        <w:spacing w:line="276" w:lineRule="auto"/>
        <w:ind w:firstLineChars="200" w:firstLine="420"/>
        <w:rPr>
          <w:rFonts w:ascii="Times New Roman" w:eastAsia="宋体" w:hAnsi="Times New Roman" w:cs="Times New Roman"/>
          <w:szCs w:val="21"/>
        </w:rPr>
      </w:pPr>
      <w:r w:rsidRPr="00F971D8">
        <w:rPr>
          <w:rFonts w:ascii="Times New Roman" w:eastAsia="宋体" w:hAnsi="Times New Roman" w:cs="Times New Roman" w:hint="eastAsia"/>
          <w:szCs w:val="21"/>
        </w:rPr>
        <w:t>根据</w:t>
      </w:r>
      <w:r w:rsidRPr="00F971D8">
        <w:rPr>
          <w:rFonts w:ascii="Times New Roman" w:eastAsia="宋体" w:hAnsi="Times New Roman" w:cs="Times New Roman"/>
          <w:szCs w:val="21"/>
        </w:rPr>
        <w:fldChar w:fldCharType="begin"/>
      </w:r>
      <w:r w:rsidRPr="00F971D8">
        <w:rPr>
          <w:rFonts w:ascii="Times New Roman" w:eastAsia="宋体" w:hAnsi="Times New Roman" w:cs="Times New Roman"/>
          <w:szCs w:val="21"/>
        </w:rPr>
        <w:instrText xml:space="preserve"> ADDIN NE.Ref.{1CBE3FF6-EB3E-4435-87F5-B3A3C79E0AD4}</w:instrText>
      </w:r>
      <w:r w:rsidRPr="00F971D8">
        <w:rPr>
          <w:rFonts w:ascii="Times New Roman" w:eastAsia="宋体" w:hAnsi="Times New Roman" w:cs="Times New Roman"/>
          <w:szCs w:val="21"/>
        </w:rPr>
        <w:fldChar w:fldCharType="separate"/>
      </w:r>
      <w:r w:rsidRPr="00F971D8">
        <w:rPr>
          <w:rFonts w:ascii="Times New Roman" w:hAnsi="Times New Roman" w:cs="Times New Roman"/>
          <w:color w:val="080000"/>
          <w:kern w:val="0"/>
          <w:szCs w:val="21"/>
        </w:rPr>
        <w:t>Almeida and Campello (2007)</w:t>
      </w:r>
      <w:r w:rsidRPr="00F971D8">
        <w:rPr>
          <w:rFonts w:ascii="Times New Roman" w:eastAsia="宋体" w:hAnsi="Times New Roman" w:cs="Times New Roman"/>
          <w:szCs w:val="21"/>
        </w:rPr>
        <w:fldChar w:fldCharType="end"/>
      </w:r>
      <w:r w:rsidRPr="00F971D8">
        <w:rPr>
          <w:rFonts w:ascii="Times New Roman" w:eastAsia="宋体" w:hAnsi="Times New Roman" w:cs="Times New Roman"/>
          <w:szCs w:val="21"/>
        </w:rPr>
        <w:t>，偿债能力</w:t>
      </w:r>
      <w:r w:rsidRPr="00F971D8">
        <w:rPr>
          <w:rFonts w:ascii="Times New Roman" w:eastAsia="宋体" w:hAnsi="Times New Roman" w:cs="Times New Roman"/>
          <w:szCs w:val="21"/>
        </w:rPr>
        <w:t>/</w:t>
      </w:r>
      <w:r w:rsidRPr="00F971D8">
        <w:rPr>
          <w:rFonts w:ascii="Times New Roman" w:eastAsia="宋体" w:hAnsi="Times New Roman" w:cs="Times New Roman"/>
          <w:szCs w:val="21"/>
        </w:rPr>
        <w:t>总资产</w:t>
      </w:r>
      <w:r w:rsidRPr="00F971D8">
        <w:rPr>
          <w:rFonts w:ascii="Times New Roman" w:eastAsia="宋体" w:hAnsi="Times New Roman" w:cs="Times New Roman"/>
          <w:szCs w:val="21"/>
        </w:rPr>
        <w:t>=(</w:t>
      </w:r>
      <w:r w:rsidRPr="00F971D8">
        <w:rPr>
          <w:rFonts w:ascii="Times New Roman" w:eastAsia="宋体" w:hAnsi="Times New Roman" w:cs="Times New Roman"/>
          <w:szCs w:val="21"/>
        </w:rPr>
        <w:t>库存现金</w:t>
      </w:r>
      <w:r w:rsidRPr="00F971D8">
        <w:rPr>
          <w:rFonts w:ascii="Times New Roman" w:eastAsia="宋体" w:hAnsi="Times New Roman" w:cs="Times New Roman"/>
          <w:szCs w:val="21"/>
        </w:rPr>
        <w:t>+0.715*</w:t>
      </w:r>
      <w:r w:rsidRPr="00F971D8">
        <w:rPr>
          <w:rFonts w:ascii="Times New Roman" w:eastAsia="宋体" w:hAnsi="Times New Roman" w:cs="Times New Roman"/>
          <w:szCs w:val="21"/>
        </w:rPr>
        <w:t>应收账款</w:t>
      </w:r>
      <w:r w:rsidRPr="00F971D8">
        <w:rPr>
          <w:rFonts w:ascii="Times New Roman" w:eastAsia="宋体" w:hAnsi="Times New Roman" w:cs="Times New Roman"/>
          <w:szCs w:val="21"/>
        </w:rPr>
        <w:t>+0.547*</w:t>
      </w:r>
      <w:r w:rsidRPr="00F971D8">
        <w:rPr>
          <w:rFonts w:ascii="Times New Roman" w:eastAsia="宋体" w:hAnsi="Times New Roman" w:cs="Times New Roman"/>
          <w:szCs w:val="21"/>
        </w:rPr>
        <w:t>存货</w:t>
      </w:r>
      <w:r w:rsidRPr="00F971D8">
        <w:rPr>
          <w:rFonts w:ascii="Times New Roman" w:eastAsia="宋体" w:hAnsi="Times New Roman" w:cs="Times New Roman"/>
          <w:szCs w:val="21"/>
        </w:rPr>
        <w:t>+0.535*PPE)/</w:t>
      </w:r>
      <w:r w:rsidRPr="00F971D8">
        <w:rPr>
          <w:rFonts w:ascii="Times New Roman" w:eastAsia="宋体" w:hAnsi="Times New Roman" w:cs="Times New Roman"/>
          <w:szCs w:val="21"/>
        </w:rPr>
        <w:t>总资产。使用去年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月底的库存现金</w:t>
      </w:r>
      <w:r w:rsidRPr="00F971D8">
        <w:rPr>
          <w:rFonts w:ascii="Times New Roman" w:eastAsia="宋体" w:hAnsi="Times New Roman" w:cs="Times New Roman"/>
          <w:szCs w:val="21"/>
        </w:rPr>
        <w:t>+0.715*</w:t>
      </w:r>
      <w:r w:rsidRPr="00F971D8">
        <w:rPr>
          <w:rFonts w:ascii="Times New Roman" w:eastAsia="宋体" w:hAnsi="Times New Roman" w:cs="Times New Roman"/>
          <w:szCs w:val="21"/>
        </w:rPr>
        <w:t>应收账款</w:t>
      </w:r>
      <w:r w:rsidRPr="00F971D8">
        <w:rPr>
          <w:rFonts w:ascii="Times New Roman" w:eastAsia="宋体" w:hAnsi="Times New Roman" w:cs="Times New Roman"/>
          <w:szCs w:val="21"/>
        </w:rPr>
        <w:t>+0.547*</w:t>
      </w:r>
      <w:r w:rsidRPr="00F971D8">
        <w:rPr>
          <w:rFonts w:ascii="Times New Roman" w:eastAsia="宋体" w:hAnsi="Times New Roman" w:cs="Times New Roman"/>
          <w:szCs w:val="21"/>
        </w:rPr>
        <w:t>存货</w:t>
      </w:r>
      <w:r w:rsidRPr="00F971D8">
        <w:rPr>
          <w:rFonts w:ascii="Times New Roman" w:eastAsia="宋体" w:hAnsi="Times New Roman" w:cs="Times New Roman"/>
          <w:szCs w:val="21"/>
        </w:rPr>
        <w:t>+0.535*PPE</w:t>
      </w:r>
      <w:r w:rsidRPr="00F971D8">
        <w:rPr>
          <w:rFonts w:ascii="Times New Roman" w:eastAsia="宋体" w:hAnsi="Times New Roman" w:cs="Times New Roman"/>
          <w:szCs w:val="21"/>
        </w:rPr>
        <w:t>除以去年</w:t>
      </w:r>
      <w:r w:rsidRPr="00F971D8">
        <w:rPr>
          <w:rFonts w:ascii="Times New Roman" w:eastAsia="宋体" w:hAnsi="Times New Roman" w:cs="Times New Roman"/>
          <w:szCs w:val="21"/>
        </w:rPr>
        <w:t xml:space="preserve"> 12 </w:t>
      </w:r>
      <w:r w:rsidRPr="00F971D8">
        <w:rPr>
          <w:rFonts w:ascii="Times New Roman" w:eastAsia="宋体" w:hAnsi="Times New Roman" w:cs="Times New Roman"/>
          <w:szCs w:val="21"/>
        </w:rPr>
        <w:t>月底的总资产，得到偿债能力</w:t>
      </w:r>
      <w:r w:rsidRPr="00F971D8">
        <w:rPr>
          <w:rFonts w:ascii="Times New Roman" w:eastAsia="宋体" w:hAnsi="Times New Roman" w:cs="Times New Roman"/>
          <w:szCs w:val="21"/>
        </w:rPr>
        <w:t>/</w:t>
      </w:r>
      <w:r w:rsidRPr="00F971D8">
        <w:rPr>
          <w:rFonts w:ascii="Times New Roman" w:eastAsia="宋体" w:hAnsi="Times New Roman" w:cs="Times New Roman"/>
          <w:szCs w:val="21"/>
        </w:rPr>
        <w:t>总资产，将此因子用今年</w:t>
      </w:r>
      <w:r w:rsidRPr="00F971D8">
        <w:rPr>
          <w:rFonts w:ascii="Times New Roman" w:eastAsia="宋体" w:hAnsi="Times New Roman" w:cs="Times New Roman"/>
          <w:szCs w:val="21"/>
        </w:rPr>
        <w:t xml:space="preserve"> 5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月份、</w:t>
      </w:r>
      <w:r w:rsidRPr="00F971D8">
        <w:rPr>
          <w:rFonts w:ascii="Times New Roman" w:eastAsia="宋体" w:hAnsi="Times New Roman" w:cs="Times New Roman"/>
          <w:szCs w:val="21"/>
        </w:rPr>
        <w:t xml:space="preserve">7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8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6 </w:t>
      </w:r>
      <w:r w:rsidRPr="00F971D8">
        <w:rPr>
          <w:rFonts w:ascii="Times New Roman" w:eastAsia="宋体" w:hAnsi="Times New Roman" w:cs="Times New Roman"/>
          <w:szCs w:val="21"/>
        </w:rPr>
        <w:t>月底的库存现金</w:t>
      </w:r>
      <w:r w:rsidRPr="00F971D8">
        <w:rPr>
          <w:rFonts w:ascii="Times New Roman" w:eastAsia="宋体" w:hAnsi="Times New Roman" w:cs="Times New Roman"/>
          <w:szCs w:val="21"/>
        </w:rPr>
        <w:t>+0.715*</w:t>
      </w:r>
      <w:r w:rsidRPr="00F971D8">
        <w:rPr>
          <w:rFonts w:ascii="Times New Roman" w:eastAsia="宋体" w:hAnsi="Times New Roman" w:cs="Times New Roman"/>
          <w:szCs w:val="21"/>
        </w:rPr>
        <w:t>应收账款</w:t>
      </w:r>
      <w:r w:rsidRPr="00F971D8">
        <w:rPr>
          <w:rFonts w:ascii="Times New Roman" w:eastAsia="宋体" w:hAnsi="Times New Roman" w:cs="Times New Roman"/>
          <w:szCs w:val="21"/>
        </w:rPr>
        <w:t>+0.547*</w:t>
      </w:r>
      <w:r w:rsidRPr="00F971D8">
        <w:rPr>
          <w:rFonts w:ascii="Times New Roman" w:eastAsia="宋体" w:hAnsi="Times New Roman" w:cs="Times New Roman"/>
          <w:szCs w:val="21"/>
        </w:rPr>
        <w:t>存货</w:t>
      </w:r>
      <w:r w:rsidRPr="00F971D8">
        <w:rPr>
          <w:rFonts w:ascii="Times New Roman" w:eastAsia="宋体" w:hAnsi="Times New Roman" w:cs="Times New Roman"/>
          <w:szCs w:val="21"/>
        </w:rPr>
        <w:t>+0.535*PPE</w:t>
      </w:r>
      <w:r w:rsidRPr="00F971D8">
        <w:rPr>
          <w:rFonts w:ascii="Times New Roman" w:eastAsia="宋体" w:hAnsi="Times New Roman" w:cs="Times New Roman"/>
          <w:szCs w:val="21"/>
        </w:rPr>
        <w:t>除以今年</w:t>
      </w:r>
      <w:r w:rsidRPr="00F971D8">
        <w:rPr>
          <w:rFonts w:ascii="Times New Roman" w:eastAsia="宋体" w:hAnsi="Times New Roman" w:cs="Times New Roman"/>
          <w:szCs w:val="21"/>
        </w:rPr>
        <w:t xml:space="preserve"> 6 </w:t>
      </w:r>
      <w:r w:rsidRPr="00F971D8">
        <w:rPr>
          <w:rFonts w:ascii="Times New Roman" w:eastAsia="宋体" w:hAnsi="Times New Roman" w:cs="Times New Roman"/>
          <w:szCs w:val="21"/>
        </w:rPr>
        <w:t>月底的总资产，得到偿债能力</w:t>
      </w:r>
      <w:r w:rsidRPr="00F971D8">
        <w:rPr>
          <w:rFonts w:ascii="Times New Roman" w:eastAsia="宋体" w:hAnsi="Times New Roman" w:cs="Times New Roman"/>
          <w:szCs w:val="21"/>
        </w:rPr>
        <w:t>/</w:t>
      </w:r>
      <w:r w:rsidRPr="00F971D8">
        <w:rPr>
          <w:rFonts w:ascii="Times New Roman" w:eastAsia="宋体" w:hAnsi="Times New Roman" w:cs="Times New Roman"/>
          <w:szCs w:val="21"/>
        </w:rPr>
        <w:t>总资产，将此因</w:t>
      </w:r>
      <w:r w:rsidRPr="00F971D8">
        <w:rPr>
          <w:rFonts w:ascii="Times New Roman" w:eastAsia="宋体" w:hAnsi="Times New Roman" w:cs="Times New Roman" w:hint="eastAsia"/>
          <w:szCs w:val="21"/>
        </w:rPr>
        <w:t>子用在今年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月份和</w:t>
      </w:r>
      <w:r w:rsidRPr="00F971D8">
        <w:rPr>
          <w:rFonts w:ascii="Times New Roman" w:eastAsia="宋体" w:hAnsi="Times New Roman" w:cs="Times New Roman"/>
          <w:szCs w:val="21"/>
        </w:rPr>
        <w:t xml:space="preserve"> 10 </w:t>
      </w:r>
      <w:r w:rsidRPr="00F971D8">
        <w:rPr>
          <w:rFonts w:ascii="Times New Roman" w:eastAsia="宋体" w:hAnsi="Times New Roman" w:cs="Times New Roman"/>
          <w:szCs w:val="21"/>
        </w:rPr>
        <w:t>月份的股票分组。使用今年</w:t>
      </w:r>
      <w:r w:rsidRPr="00F971D8">
        <w:rPr>
          <w:rFonts w:ascii="Times New Roman" w:eastAsia="宋体" w:hAnsi="Times New Roman" w:cs="Times New Roman"/>
          <w:szCs w:val="21"/>
        </w:rPr>
        <w:t xml:space="preserve"> 9 </w:t>
      </w:r>
      <w:r w:rsidRPr="00F971D8">
        <w:rPr>
          <w:rFonts w:ascii="Times New Roman" w:eastAsia="宋体" w:hAnsi="Times New Roman" w:cs="Times New Roman"/>
          <w:szCs w:val="21"/>
        </w:rPr>
        <w:t>月底的数据构建的因子用在今年</w:t>
      </w:r>
      <w:r w:rsidRPr="00F971D8">
        <w:rPr>
          <w:rFonts w:ascii="Times New Roman" w:eastAsia="宋体" w:hAnsi="Times New Roman" w:cs="Times New Roman"/>
          <w:szCs w:val="21"/>
        </w:rPr>
        <w:t xml:space="preserve"> 11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12 </w:t>
      </w:r>
      <w:r w:rsidRPr="00F971D8">
        <w:rPr>
          <w:rFonts w:ascii="Times New Roman" w:eastAsia="宋体" w:hAnsi="Times New Roman" w:cs="Times New Roman"/>
          <w:szCs w:val="21"/>
        </w:rPr>
        <w:t>月底以及下一年</w:t>
      </w:r>
      <w:r w:rsidRPr="00F971D8">
        <w:rPr>
          <w:rFonts w:ascii="Times New Roman" w:eastAsia="宋体" w:hAnsi="Times New Roman" w:cs="Times New Roman"/>
          <w:szCs w:val="21"/>
        </w:rPr>
        <w:t xml:space="preserve"> 1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2 </w:t>
      </w:r>
      <w:r w:rsidRPr="00F971D8">
        <w:rPr>
          <w:rFonts w:ascii="Times New Roman" w:eastAsia="宋体" w:hAnsi="Times New Roman" w:cs="Times New Roman"/>
          <w:szCs w:val="21"/>
        </w:rPr>
        <w:t>月底、</w:t>
      </w:r>
      <w:r w:rsidRPr="00F971D8">
        <w:rPr>
          <w:rFonts w:ascii="Times New Roman" w:eastAsia="宋体" w:hAnsi="Times New Roman" w:cs="Times New Roman"/>
          <w:szCs w:val="21"/>
        </w:rPr>
        <w:t xml:space="preserve"> 3 </w:t>
      </w:r>
      <w:r w:rsidRPr="00F971D8">
        <w:rPr>
          <w:rFonts w:ascii="Times New Roman" w:eastAsia="宋体" w:hAnsi="Times New Roman" w:cs="Times New Roman"/>
          <w:szCs w:val="21"/>
        </w:rPr>
        <w:t>月底和</w:t>
      </w:r>
      <w:r w:rsidRPr="00F971D8">
        <w:rPr>
          <w:rFonts w:ascii="Times New Roman" w:eastAsia="宋体" w:hAnsi="Times New Roman" w:cs="Times New Roman"/>
          <w:szCs w:val="21"/>
        </w:rPr>
        <w:t>4</w:t>
      </w:r>
      <w:r w:rsidRPr="00F971D8">
        <w:rPr>
          <w:rFonts w:ascii="Times New Roman" w:eastAsia="宋体" w:hAnsi="Times New Roman" w:cs="Times New Roman"/>
          <w:szCs w:val="21"/>
        </w:rPr>
        <w:t>月底的股票分组。</w:t>
      </w:r>
    </w:p>
    <w:p w14:paraId="008F5EFE" w14:textId="77777777" w:rsidR="00334DB4" w:rsidRDefault="00334DB4">
      <w:pPr>
        <w:sectPr w:rsidR="00334DB4">
          <w:pgSz w:w="11906" w:h="16838"/>
          <w:pgMar w:top="1440" w:right="1800" w:bottom="1440" w:left="1800" w:header="851" w:footer="992" w:gutter="0"/>
          <w:cols w:space="425"/>
          <w:docGrid w:type="lines" w:linePitch="312"/>
        </w:sectPr>
      </w:pPr>
    </w:p>
    <w:p w14:paraId="173BE33C" w14:textId="77777777" w:rsidR="00334DB4" w:rsidRDefault="00334DB4" w:rsidP="00334DB4">
      <w:pPr>
        <w:pStyle w:val="1"/>
      </w:pPr>
      <w:bookmarkStart w:id="13" w:name="_Toc14986057"/>
      <w:r>
        <w:rPr>
          <w:rFonts w:hint="eastAsia"/>
        </w:rPr>
        <w:lastRenderedPageBreak/>
        <w:t>参考文献</w:t>
      </w:r>
      <w:bookmarkEnd w:id="13"/>
    </w:p>
    <w:p w14:paraId="6F8927AC"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[1] Almeida, Heitor, and Murillo Campello, 2007, Financial Constraints, Asset Tangibility, and Corporate Investment, </w:t>
      </w:r>
      <w:r w:rsidRPr="00296162">
        <w:rPr>
          <w:rFonts w:ascii="Times New Roman" w:hAnsi="Times New Roman" w:cs="Times New Roman"/>
          <w:i/>
          <w:iCs/>
          <w:color w:val="000000"/>
          <w:kern w:val="0"/>
          <w:szCs w:val="21"/>
        </w:rPr>
        <w:t xml:space="preserve">Review of Financial Studies, </w:t>
      </w:r>
      <w:r w:rsidRPr="00296162">
        <w:rPr>
          <w:rFonts w:ascii="Times New Roman" w:hAnsi="Times New Roman" w:cs="Times New Roman"/>
          <w:color w:val="000000"/>
          <w:kern w:val="0"/>
          <w:szCs w:val="21"/>
        </w:rPr>
        <w:t>20, 1429-1460.</w:t>
      </w:r>
    </w:p>
    <w:p w14:paraId="7BC3E3A2"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14" w:name="_neb4E184001_F139_4F83_ADD2_62851B963615"/>
      <w:r w:rsidRPr="00296162">
        <w:rPr>
          <w:rFonts w:ascii="Times New Roman" w:hAnsi="Times New Roman" w:cs="Times New Roman"/>
          <w:color w:val="000000"/>
          <w:kern w:val="0"/>
          <w:szCs w:val="21"/>
        </w:rPr>
        <w:t xml:space="preserve">[2] Amaya, Diego, Peter Christoffersen, Kris Jacobs, and Aurelio Vasquez, 2015, Does realized skewness predict the cross-section of equity returns?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118, 135-167.</w:t>
      </w:r>
      <w:bookmarkEnd w:id="14"/>
    </w:p>
    <w:p w14:paraId="2500C6E6"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15" w:name="_neb2D474ED0_2F3B_48F0_BAF6_B724139D453A"/>
      <w:r w:rsidRPr="00296162">
        <w:rPr>
          <w:rFonts w:ascii="Times New Roman" w:hAnsi="Times New Roman" w:cs="Times New Roman"/>
          <w:color w:val="000000"/>
          <w:kern w:val="0"/>
          <w:szCs w:val="21"/>
        </w:rPr>
        <w:t xml:space="preserve">[3] Amihud, Yakov, 2002, Illiquidity and Stock Returns Cross-Section and Time-Series Effects, </w:t>
      </w:r>
      <w:r w:rsidRPr="00296162">
        <w:rPr>
          <w:rFonts w:ascii="Times New Roman" w:hAnsi="Times New Roman" w:cs="Times New Roman"/>
          <w:i/>
          <w:iCs/>
          <w:color w:val="000000"/>
          <w:kern w:val="0"/>
          <w:szCs w:val="21"/>
        </w:rPr>
        <w:t>Journal of Financial Markets</w:t>
      </w:r>
      <w:r w:rsidRPr="00296162">
        <w:rPr>
          <w:rFonts w:ascii="Times New Roman" w:hAnsi="Times New Roman" w:cs="Times New Roman"/>
          <w:color w:val="000000"/>
          <w:kern w:val="0"/>
          <w:szCs w:val="21"/>
        </w:rPr>
        <w:t xml:space="preserve"> 5, 31-56.</w:t>
      </w:r>
      <w:bookmarkEnd w:id="15"/>
    </w:p>
    <w:p w14:paraId="29DB2193"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16" w:name="_neb7D7A608A_337F_4104_812C_952CA7C5AF99"/>
      <w:r w:rsidRPr="00296162">
        <w:rPr>
          <w:rFonts w:ascii="Times New Roman" w:hAnsi="Times New Roman" w:cs="Times New Roman"/>
          <w:color w:val="000000"/>
          <w:kern w:val="0"/>
          <w:szCs w:val="21"/>
        </w:rPr>
        <w:t xml:space="preserve">[4] Anderson, Christopher W., and Luis Garcia-Feijóo, 2006, Empirical Evidence on Capital Investment, Growth Options, and Security Returns,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61, 171</w:t>
      </w:r>
      <w:r w:rsidRPr="00296162">
        <w:rPr>
          <w:rFonts w:ascii="Times New Roman" w:eastAsia="宋体" w:hAnsi="Times New Roman" w:cs="Times New Roman"/>
          <w:color w:val="000000"/>
          <w:kern w:val="0"/>
          <w:szCs w:val="21"/>
        </w:rPr>
        <w:t>–</w:t>
      </w:r>
      <w:r w:rsidRPr="00296162">
        <w:rPr>
          <w:rFonts w:ascii="Times New Roman" w:hAnsi="Times New Roman" w:cs="Times New Roman"/>
          <w:color w:val="000000"/>
          <w:kern w:val="0"/>
          <w:szCs w:val="21"/>
        </w:rPr>
        <w:t>194.</w:t>
      </w:r>
      <w:bookmarkEnd w:id="16"/>
    </w:p>
    <w:p w14:paraId="56A3CAD5"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17" w:name="_neb7CF15053_D188_4571_A3DB_1DF17EDD9603"/>
      <w:r w:rsidRPr="00296162">
        <w:rPr>
          <w:rFonts w:ascii="Times New Roman" w:hAnsi="Times New Roman" w:cs="Times New Roman"/>
          <w:color w:val="000000"/>
          <w:kern w:val="0"/>
          <w:szCs w:val="21"/>
        </w:rPr>
        <w:t xml:space="preserve">[5] Ang, Andrew, Robert J. Hodrick, Yuhang Xing, and Xiaoyan Zhang, 2010, The Cross-Section of Volatility and Expected Returns,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61, 259-299.</w:t>
      </w:r>
      <w:bookmarkEnd w:id="17"/>
    </w:p>
    <w:p w14:paraId="64A943B0"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[6] Asness, Clifford S., and R. Burt Porter, and Ross L. Stevens, 2010, Predicting Stock Returns Using Industry-Relative Firm Characteristics,</w:t>
      </w:r>
      <w:r w:rsidRPr="00296162">
        <w:rPr>
          <w:rFonts w:ascii="Times New Roman" w:hAnsi="Times New Roman" w:cs="Times New Roman"/>
          <w:i/>
          <w:iCs/>
          <w:color w:val="000000"/>
          <w:kern w:val="0"/>
          <w:szCs w:val="21"/>
        </w:rPr>
        <w:t xml:space="preserve"> Working Paper</w:t>
      </w:r>
      <w:r w:rsidRPr="00296162">
        <w:rPr>
          <w:rFonts w:ascii="Times New Roman" w:hAnsi="Times New Roman" w:cs="Times New Roman"/>
          <w:color w:val="000000"/>
          <w:kern w:val="0"/>
          <w:szCs w:val="21"/>
        </w:rPr>
        <w:t>.</w:t>
      </w:r>
    </w:p>
    <w:p w14:paraId="4C96AFDF"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[7] Baker, N. L., 2004, Commonality in the Determinants of Expected Stock Returns,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41, 401-439.</w:t>
      </w:r>
    </w:p>
    <w:p w14:paraId="4BE5DE4B"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[8]Balakrishnan, Karthik, and Eli Bartov, and Lucile Faurel, 2010, Post loss/profit announcement drift, </w:t>
      </w:r>
      <w:r w:rsidRPr="00296162">
        <w:rPr>
          <w:rFonts w:ascii="Times New Roman" w:hAnsi="Times New Roman" w:cs="Times New Roman"/>
          <w:i/>
          <w:iCs/>
          <w:color w:val="000000"/>
          <w:kern w:val="0"/>
          <w:szCs w:val="21"/>
        </w:rPr>
        <w:t xml:space="preserve">Journal of Accounting and Economics </w:t>
      </w:r>
      <w:r w:rsidRPr="00296162">
        <w:rPr>
          <w:rFonts w:ascii="Times New Roman" w:hAnsi="Times New Roman" w:cs="Times New Roman"/>
          <w:color w:val="000000"/>
          <w:kern w:val="0"/>
          <w:szCs w:val="21"/>
        </w:rPr>
        <w:t>50, 20-41.</w:t>
      </w:r>
    </w:p>
    <w:p w14:paraId="4C8DCCBF"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18" w:name="_neb7D2E90F5_B3F0_470C_BC50_1B07891931B4"/>
      <w:r w:rsidRPr="00296162">
        <w:rPr>
          <w:rFonts w:ascii="Times New Roman" w:hAnsi="Times New Roman" w:cs="Times New Roman"/>
          <w:color w:val="000000"/>
          <w:kern w:val="0"/>
          <w:szCs w:val="21"/>
        </w:rPr>
        <w:t xml:space="preserve">[9] Bali, Turan G., and Nusret Cakici, and Robert F. Whitelaw, 2008, Maxing out: Stocks as lotteries and the cross-section of expected returns,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99, 427-446.</w:t>
      </w:r>
      <w:bookmarkEnd w:id="18"/>
    </w:p>
    <w:p w14:paraId="76F48BA2"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19" w:name="_neb4CEAC6AE_2724_4D97_AAC4_DA54B84D7CF6"/>
      <w:r w:rsidRPr="00296162">
        <w:rPr>
          <w:rFonts w:ascii="Times New Roman" w:hAnsi="Times New Roman" w:cs="Times New Roman"/>
          <w:color w:val="000000"/>
          <w:kern w:val="0"/>
          <w:szCs w:val="21"/>
        </w:rPr>
        <w:t xml:space="preserve">[10] Bandyopadhyay, Sati P., and Alan Guoming Huang, and Tony Wirjanto, 2010, The Accrual Volatility Anomaly, </w:t>
      </w:r>
      <w:r w:rsidRPr="00296162">
        <w:rPr>
          <w:rFonts w:ascii="Times New Roman" w:hAnsi="Times New Roman" w:cs="Times New Roman"/>
          <w:i/>
          <w:iCs/>
          <w:color w:val="000000"/>
          <w:kern w:val="0"/>
          <w:szCs w:val="21"/>
        </w:rPr>
        <w:t>Working Paper</w:t>
      </w:r>
      <w:r w:rsidRPr="00296162">
        <w:rPr>
          <w:rFonts w:ascii="Times New Roman" w:hAnsi="Times New Roman" w:cs="Times New Roman"/>
          <w:color w:val="000000"/>
          <w:kern w:val="0"/>
          <w:szCs w:val="21"/>
        </w:rPr>
        <w:t>.</w:t>
      </w:r>
      <w:bookmarkEnd w:id="19"/>
    </w:p>
    <w:p w14:paraId="1E9DB44C"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[11] Banz, Rolf W., 1981, The relationship between return and market value of common stocks,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9, 3-18.</w:t>
      </w:r>
    </w:p>
    <w:p w14:paraId="231A978F"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[12] Barth, Mary E., and John A. Elliott, and Mark W. Finn, 1999, Market Rewards Associated with Patterns of Increasing Earnings, </w:t>
      </w:r>
      <w:r w:rsidRPr="00296162">
        <w:rPr>
          <w:rFonts w:ascii="Times New Roman" w:hAnsi="Times New Roman" w:cs="Times New Roman"/>
          <w:i/>
          <w:iCs/>
          <w:color w:val="000000"/>
          <w:kern w:val="0"/>
          <w:szCs w:val="21"/>
        </w:rPr>
        <w:t>Journal of Accounting Research</w:t>
      </w:r>
      <w:r w:rsidRPr="00296162">
        <w:rPr>
          <w:rFonts w:ascii="Times New Roman" w:hAnsi="Times New Roman" w:cs="Times New Roman"/>
          <w:color w:val="000000"/>
          <w:kern w:val="0"/>
          <w:szCs w:val="21"/>
        </w:rPr>
        <w:t xml:space="preserve"> 37, 387-413.</w:t>
      </w:r>
    </w:p>
    <w:p w14:paraId="4E351B85"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[13] Basu, S., 1977, Investment Performance of Common Stocks In Relation To Their Price</w:t>
      </w:r>
      <w:r w:rsidRPr="00296162">
        <w:rPr>
          <w:rFonts w:ascii="Times New Roman" w:eastAsia="宋体" w:hAnsi="Times New Roman" w:cs="Times New Roman" w:hint="eastAsia"/>
          <w:color w:val="000000"/>
          <w:kern w:val="0"/>
          <w:szCs w:val="21"/>
        </w:rPr>
        <w:t>‐</w:t>
      </w:r>
      <w:r w:rsidRPr="00296162">
        <w:rPr>
          <w:rFonts w:ascii="Times New Roman" w:hAnsi="Times New Roman" w:cs="Times New Roman"/>
          <w:color w:val="000000"/>
          <w:kern w:val="0"/>
          <w:szCs w:val="21"/>
        </w:rPr>
        <w:t xml:space="preserve">Earnings Ratios: A Test Of The Efficient Market Hypothesis,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32, 20.</w:t>
      </w:r>
    </w:p>
    <w:p w14:paraId="666D9D99"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0" w:name="_neb753544DA_4078_4E54_85F6_37771C9A24E3"/>
      <w:r w:rsidRPr="00296162">
        <w:rPr>
          <w:rFonts w:ascii="Times New Roman" w:hAnsi="Times New Roman" w:cs="Times New Roman"/>
          <w:color w:val="000000"/>
          <w:kern w:val="0"/>
          <w:szCs w:val="21"/>
        </w:rPr>
        <w:t xml:space="preserve">[14] Belo, Frederico, and Xiaoji Lin, and Santiago Bazdresch, 2014, Labor Hiring, Investment, and Stock Return Predictability in the Cross Section, </w:t>
      </w:r>
      <w:r w:rsidRPr="00296162">
        <w:rPr>
          <w:rFonts w:ascii="Times New Roman" w:hAnsi="Times New Roman" w:cs="Times New Roman"/>
          <w:i/>
          <w:iCs/>
          <w:color w:val="000000"/>
          <w:kern w:val="0"/>
          <w:szCs w:val="21"/>
        </w:rPr>
        <w:t>Journal of Political Economy</w:t>
      </w:r>
      <w:r w:rsidRPr="00296162">
        <w:rPr>
          <w:rFonts w:ascii="Times New Roman" w:hAnsi="Times New Roman" w:cs="Times New Roman"/>
          <w:color w:val="000000"/>
          <w:kern w:val="0"/>
          <w:szCs w:val="21"/>
        </w:rPr>
        <w:t xml:space="preserve"> 122, 129-177.</w:t>
      </w:r>
      <w:bookmarkEnd w:id="20"/>
    </w:p>
    <w:p w14:paraId="1643E015"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1" w:name="_nebF8E10139_5E46_49DF_AFA0_041A59C4B44C"/>
      <w:r w:rsidRPr="00296162">
        <w:rPr>
          <w:rFonts w:ascii="Times New Roman" w:hAnsi="Times New Roman" w:cs="Times New Roman"/>
          <w:color w:val="000000"/>
          <w:kern w:val="0"/>
          <w:szCs w:val="21"/>
        </w:rPr>
        <w:lastRenderedPageBreak/>
        <w:t xml:space="preserve">[15] Bhandari, Laxmi Chand, 1988, Debt/Equity Ratio and Expected Common Stock Returns: Empirical Evidence,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43, 507-528.</w:t>
      </w:r>
      <w:bookmarkEnd w:id="21"/>
    </w:p>
    <w:p w14:paraId="44F855E1"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[16]Blitz, David, and Joop Huij, and Martin Martens, 2011, Residual Momentum, </w:t>
      </w:r>
      <w:r w:rsidRPr="00296162">
        <w:rPr>
          <w:rFonts w:ascii="Times New Roman" w:hAnsi="Times New Roman" w:cs="Times New Roman"/>
          <w:i/>
          <w:iCs/>
          <w:color w:val="000000"/>
          <w:kern w:val="0"/>
          <w:szCs w:val="21"/>
        </w:rPr>
        <w:t>Journal of Empirical Finance</w:t>
      </w:r>
      <w:r w:rsidRPr="00296162">
        <w:rPr>
          <w:rFonts w:ascii="Times New Roman" w:hAnsi="Times New Roman" w:cs="Times New Roman"/>
          <w:color w:val="000000"/>
          <w:kern w:val="0"/>
          <w:szCs w:val="21"/>
        </w:rPr>
        <w:t xml:space="preserve"> 18, 506-521.</w:t>
      </w:r>
    </w:p>
    <w:p w14:paraId="060360D3"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[17] Boyer, Brian, and Todd Mitton, and Keith Vorkink, 2010, Expected Idiosyncratic Skewness, </w:t>
      </w:r>
      <w:r w:rsidRPr="00296162">
        <w:rPr>
          <w:rFonts w:ascii="Times New Roman" w:hAnsi="Times New Roman" w:cs="Times New Roman"/>
          <w:i/>
          <w:iCs/>
          <w:color w:val="000000"/>
          <w:kern w:val="0"/>
          <w:szCs w:val="21"/>
        </w:rPr>
        <w:t>Review of Financial Studies</w:t>
      </w:r>
      <w:r w:rsidRPr="00296162">
        <w:rPr>
          <w:rFonts w:ascii="Times New Roman" w:hAnsi="Times New Roman" w:cs="Times New Roman"/>
          <w:color w:val="000000"/>
          <w:kern w:val="0"/>
          <w:szCs w:val="21"/>
        </w:rPr>
        <w:t xml:space="preserve"> 23, 169-202.</w:t>
      </w:r>
    </w:p>
    <w:p w14:paraId="4AA62816"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2" w:name="_nebC1D08B68_945F_4C62_A429_A6C95A1690F2"/>
      <w:r w:rsidRPr="00296162">
        <w:rPr>
          <w:rFonts w:ascii="Times New Roman" w:hAnsi="Times New Roman" w:cs="Times New Roman"/>
          <w:color w:val="000000"/>
          <w:kern w:val="0"/>
          <w:szCs w:val="21"/>
        </w:rPr>
        <w:t xml:space="preserve">[18] Brown, David P., and Bradford Rowe, 2007, The Productivity Premium in Equity Returns, </w:t>
      </w:r>
      <w:r w:rsidRPr="00296162">
        <w:rPr>
          <w:rFonts w:ascii="Times New Roman" w:hAnsi="Times New Roman" w:cs="Times New Roman"/>
          <w:i/>
          <w:iCs/>
          <w:color w:val="000000"/>
          <w:kern w:val="0"/>
          <w:szCs w:val="21"/>
        </w:rPr>
        <w:t>Working Paper</w:t>
      </w:r>
      <w:r w:rsidRPr="00296162">
        <w:rPr>
          <w:rFonts w:ascii="Times New Roman" w:hAnsi="Times New Roman" w:cs="Times New Roman"/>
          <w:color w:val="000000"/>
          <w:kern w:val="0"/>
          <w:szCs w:val="21"/>
        </w:rPr>
        <w:t>.</w:t>
      </w:r>
      <w:bookmarkEnd w:id="22"/>
    </w:p>
    <w:p w14:paraId="635CBEFD"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[19] Bushee, B., and J. S. Abarbanell, 1997, Abnormal Returns to a Fundamental Analysis Strategy, </w:t>
      </w:r>
      <w:r w:rsidRPr="00296162">
        <w:rPr>
          <w:rFonts w:ascii="Times New Roman" w:hAnsi="Times New Roman" w:cs="Times New Roman"/>
          <w:i/>
          <w:iCs/>
          <w:color w:val="000000"/>
          <w:kern w:val="0"/>
          <w:szCs w:val="21"/>
        </w:rPr>
        <w:t>The Accouting Review</w:t>
      </w:r>
      <w:r w:rsidRPr="00296162">
        <w:rPr>
          <w:rFonts w:ascii="Times New Roman" w:hAnsi="Times New Roman" w:cs="Times New Roman"/>
          <w:color w:val="000000"/>
          <w:kern w:val="0"/>
          <w:szCs w:val="21"/>
        </w:rPr>
        <w:t xml:space="preserve"> 73, 19-45.</w:t>
      </w:r>
    </w:p>
    <w:p w14:paraId="7817D86F"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3" w:name="_neb098BE8F2_1696_4D46_A113_ED0BC86D8FEC"/>
      <w:r w:rsidRPr="00296162">
        <w:rPr>
          <w:rFonts w:ascii="Times New Roman" w:hAnsi="Times New Roman" w:cs="Times New Roman"/>
          <w:color w:val="000000"/>
          <w:kern w:val="0"/>
          <w:szCs w:val="21"/>
        </w:rPr>
        <w:t xml:space="preserve">[20] Chandrashekar, Satyajit, and Ramesh K. S. Rao, 2009, The Productivity of Corporate Cash Holdings and the Cross-Section of Expected Stock Returns, </w:t>
      </w:r>
      <w:r w:rsidRPr="00296162">
        <w:rPr>
          <w:rFonts w:ascii="Times New Roman" w:hAnsi="Times New Roman" w:cs="Times New Roman"/>
          <w:i/>
          <w:iCs/>
          <w:color w:val="000000"/>
          <w:kern w:val="0"/>
          <w:szCs w:val="21"/>
        </w:rPr>
        <w:t>Working Paper</w:t>
      </w:r>
      <w:r w:rsidRPr="00296162">
        <w:rPr>
          <w:rFonts w:ascii="Times New Roman" w:hAnsi="Times New Roman" w:cs="Times New Roman"/>
          <w:color w:val="000000"/>
          <w:kern w:val="0"/>
          <w:szCs w:val="21"/>
        </w:rPr>
        <w:t>.</w:t>
      </w:r>
      <w:bookmarkEnd w:id="23"/>
    </w:p>
    <w:p w14:paraId="45D70313"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4" w:name="_neb88589E64_1D08_40B9_BF4E_48BA742CD283"/>
      <w:r w:rsidRPr="00296162">
        <w:rPr>
          <w:rFonts w:ascii="Times New Roman" w:hAnsi="Times New Roman" w:cs="Times New Roman"/>
          <w:color w:val="000000"/>
          <w:kern w:val="0"/>
          <w:szCs w:val="21"/>
        </w:rPr>
        <w:t xml:space="preserve">[21] Chen, L., and L. Zhang, 2010, A better three-factor model that explains more anomalies,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65, 563-595.</w:t>
      </w:r>
      <w:bookmarkEnd w:id="24"/>
    </w:p>
    <w:p w14:paraId="649DC757"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5" w:name="_neb56A7E652_9198_4B11_B3E6_C1BF7F70B68D"/>
      <w:r w:rsidRPr="00296162">
        <w:rPr>
          <w:rFonts w:ascii="Times New Roman" w:hAnsi="Times New Roman" w:cs="Times New Roman"/>
          <w:color w:val="000000"/>
          <w:kern w:val="0"/>
          <w:szCs w:val="21"/>
        </w:rPr>
        <w:t xml:space="preserve">[22] Cooper, Michael J., and Huseyin Gulen, and Michael J. Schill, 2008, Asset Growth and the Cross-Section of Stock Returns,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63, 1609</w:t>
      </w:r>
      <w:r w:rsidRPr="00296162">
        <w:rPr>
          <w:rFonts w:ascii="Times New Roman" w:eastAsia="宋体" w:hAnsi="Times New Roman" w:cs="Times New Roman"/>
          <w:color w:val="000000"/>
          <w:kern w:val="0"/>
          <w:szCs w:val="21"/>
        </w:rPr>
        <w:t>-1</w:t>
      </w:r>
      <w:r w:rsidRPr="00296162">
        <w:rPr>
          <w:rFonts w:ascii="Times New Roman" w:hAnsi="Times New Roman" w:cs="Times New Roman"/>
          <w:color w:val="000000"/>
          <w:kern w:val="0"/>
          <w:szCs w:val="21"/>
        </w:rPr>
        <w:t>651.</w:t>
      </w:r>
      <w:bookmarkEnd w:id="25"/>
    </w:p>
    <w:p w14:paraId="13F553D6"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6" w:name="_neb1A5D7741_E2B9_4895_9057_28040CEF9F15"/>
      <w:r w:rsidRPr="00296162">
        <w:rPr>
          <w:rFonts w:ascii="Times New Roman" w:hAnsi="Times New Roman" w:cs="Times New Roman"/>
          <w:color w:val="000000"/>
          <w:kern w:val="0"/>
          <w:szCs w:val="21"/>
        </w:rPr>
        <w:t xml:space="preserve">[23] Datar, Vinay T., and Narayan Y. Naik, and Robert Radcliffe, 1998, Liquidity and stock returns: An alternative test, </w:t>
      </w:r>
      <w:r w:rsidRPr="00296162">
        <w:rPr>
          <w:rFonts w:ascii="Times New Roman" w:hAnsi="Times New Roman" w:cs="Times New Roman"/>
          <w:i/>
          <w:iCs/>
          <w:color w:val="000000"/>
          <w:kern w:val="0"/>
          <w:szCs w:val="21"/>
        </w:rPr>
        <w:t>Journal of Financial Markets</w:t>
      </w:r>
      <w:r w:rsidRPr="00296162">
        <w:rPr>
          <w:rFonts w:ascii="Times New Roman" w:hAnsi="Times New Roman" w:cs="Times New Roman"/>
          <w:color w:val="000000"/>
          <w:kern w:val="0"/>
          <w:szCs w:val="21"/>
        </w:rPr>
        <w:t xml:space="preserve"> 1, 203-219.</w:t>
      </w:r>
      <w:bookmarkEnd w:id="26"/>
    </w:p>
    <w:p w14:paraId="459DFC8D"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[24] Desai, Hemang, and Shivaram Rajgopal, and Mohan Venkatachalam, 2004, Value-Glamour and Accruals Mispricing: One Anomaly or Two? </w:t>
      </w:r>
      <w:r w:rsidRPr="00296162">
        <w:rPr>
          <w:rFonts w:ascii="Times New Roman" w:hAnsi="Times New Roman" w:cs="Times New Roman"/>
          <w:i/>
          <w:iCs/>
          <w:color w:val="000000"/>
          <w:kern w:val="0"/>
          <w:szCs w:val="21"/>
        </w:rPr>
        <w:t>Accounting Review</w:t>
      </w:r>
      <w:r w:rsidRPr="00296162">
        <w:rPr>
          <w:rFonts w:ascii="Times New Roman" w:hAnsi="Times New Roman" w:cs="Times New Roman"/>
          <w:color w:val="000000"/>
          <w:kern w:val="0"/>
          <w:szCs w:val="21"/>
        </w:rPr>
        <w:t xml:space="preserve"> 79, 355-385.</w:t>
      </w:r>
    </w:p>
    <w:p w14:paraId="58EE95D2"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[25] Dimson, Elroy, 1979, Risk measurement when shares are subject to infrequent trading,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7, 197-226.</w:t>
      </w:r>
    </w:p>
    <w:p w14:paraId="53F68902"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[26] Dowen, Bauman Richard, 1988, Growth Projections and Common Stock Returns, </w:t>
      </w:r>
      <w:r w:rsidRPr="00296162">
        <w:rPr>
          <w:rFonts w:ascii="Times New Roman" w:hAnsi="Times New Roman" w:cs="Times New Roman"/>
          <w:i/>
          <w:iCs/>
          <w:color w:val="000000"/>
          <w:kern w:val="0"/>
          <w:szCs w:val="21"/>
        </w:rPr>
        <w:t xml:space="preserve">Financial Analysts Journal </w:t>
      </w:r>
      <w:r w:rsidRPr="00296162">
        <w:rPr>
          <w:rFonts w:ascii="Times New Roman" w:hAnsi="Times New Roman" w:cs="Times New Roman"/>
          <w:iCs/>
          <w:color w:val="000000"/>
          <w:kern w:val="0"/>
          <w:szCs w:val="21"/>
        </w:rPr>
        <w:t>44,79-80</w:t>
      </w:r>
      <w:r w:rsidRPr="00296162">
        <w:rPr>
          <w:rFonts w:ascii="Times New Roman" w:hAnsi="Times New Roman" w:cs="Times New Roman"/>
          <w:color w:val="000000"/>
          <w:kern w:val="0"/>
          <w:szCs w:val="21"/>
        </w:rPr>
        <w:t>.</w:t>
      </w:r>
    </w:p>
    <w:p w14:paraId="33F2E4E6"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7" w:name="_nebFB99ABCE_2517_4EF6_97D7_CEACE17C295F"/>
      <w:r w:rsidRPr="00296162">
        <w:rPr>
          <w:rFonts w:ascii="Times New Roman" w:hAnsi="Times New Roman" w:cs="Times New Roman"/>
          <w:color w:val="000000"/>
          <w:kern w:val="0"/>
          <w:szCs w:val="21"/>
        </w:rPr>
        <w:t xml:space="preserve">[27] Elgers, Pieter T., and May H. Lo, and Ray J. Pfeiffer Jr, 2001, Delayed security price adjustments to financial analysts' forecasts of annual earnings, </w:t>
      </w:r>
      <w:r w:rsidRPr="00296162">
        <w:rPr>
          <w:rFonts w:ascii="Times New Roman" w:hAnsi="Times New Roman" w:cs="Times New Roman"/>
          <w:i/>
          <w:iCs/>
          <w:color w:val="000000"/>
          <w:kern w:val="0"/>
          <w:szCs w:val="21"/>
        </w:rPr>
        <w:t>The Accounting Review</w:t>
      </w:r>
      <w:r w:rsidRPr="00296162">
        <w:rPr>
          <w:rFonts w:ascii="Times New Roman" w:hAnsi="Times New Roman" w:cs="Times New Roman"/>
          <w:color w:val="000000"/>
          <w:kern w:val="0"/>
          <w:szCs w:val="21"/>
        </w:rPr>
        <w:t xml:space="preserve"> 76, 613-632.</w:t>
      </w:r>
      <w:bookmarkEnd w:id="27"/>
    </w:p>
    <w:p w14:paraId="084416DD"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[28] Fairfield, Patricia M., and Scott Whisenant, and Teri Lombardi Yohn, 2003, The Differential Persistence of Accruals and Cash Flows for Future Operating Income versus Future Profitability, </w:t>
      </w:r>
      <w:r w:rsidRPr="00296162">
        <w:rPr>
          <w:rFonts w:ascii="Times New Roman" w:hAnsi="Times New Roman" w:cs="Times New Roman"/>
          <w:i/>
          <w:iCs/>
          <w:color w:val="000000"/>
          <w:kern w:val="0"/>
          <w:szCs w:val="21"/>
        </w:rPr>
        <w:t>Review of Accounting Studies</w:t>
      </w:r>
      <w:r w:rsidRPr="00296162">
        <w:rPr>
          <w:rFonts w:ascii="Times New Roman" w:hAnsi="Times New Roman" w:cs="Times New Roman"/>
          <w:color w:val="000000"/>
          <w:kern w:val="0"/>
          <w:szCs w:val="21"/>
        </w:rPr>
        <w:t xml:space="preserve"> 8, 221-243.</w:t>
      </w:r>
    </w:p>
    <w:p w14:paraId="372DBE74"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8" w:name="_nebB596EA8F_9092_44A7_9B4F_685D44AA3765"/>
      <w:r w:rsidRPr="00296162">
        <w:rPr>
          <w:rFonts w:ascii="Times New Roman" w:hAnsi="Times New Roman" w:cs="Times New Roman"/>
          <w:color w:val="000000"/>
          <w:kern w:val="0"/>
          <w:szCs w:val="21"/>
        </w:rPr>
        <w:t xml:space="preserve">[29] Fama, Eugene F., and James D. MacBeth, 1973, Risk, Return, and Equilibrium: Empirical </w:t>
      </w:r>
      <w:r w:rsidRPr="00296162">
        <w:rPr>
          <w:rFonts w:ascii="Times New Roman" w:hAnsi="Times New Roman" w:cs="Times New Roman"/>
          <w:color w:val="000000"/>
          <w:kern w:val="0"/>
          <w:szCs w:val="21"/>
        </w:rPr>
        <w:lastRenderedPageBreak/>
        <w:t xml:space="preserve">Tests, </w:t>
      </w:r>
      <w:r w:rsidRPr="00296162">
        <w:rPr>
          <w:rFonts w:ascii="Times New Roman" w:hAnsi="Times New Roman" w:cs="Times New Roman"/>
          <w:i/>
          <w:iCs/>
          <w:color w:val="000000"/>
          <w:kern w:val="0"/>
          <w:szCs w:val="21"/>
        </w:rPr>
        <w:t>Journal of Political Economy</w:t>
      </w:r>
      <w:r w:rsidRPr="00296162">
        <w:rPr>
          <w:rFonts w:ascii="Times New Roman" w:hAnsi="Times New Roman" w:cs="Times New Roman"/>
          <w:color w:val="000000"/>
          <w:kern w:val="0"/>
          <w:szCs w:val="21"/>
        </w:rPr>
        <w:t xml:space="preserve"> 3, 607-636.</w:t>
      </w:r>
      <w:bookmarkEnd w:id="28"/>
    </w:p>
    <w:p w14:paraId="70F03B62"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29" w:name="_neb37581DB5_1717_4225_BB0D_621D94A949CD"/>
      <w:r w:rsidRPr="00296162">
        <w:rPr>
          <w:rFonts w:ascii="Times New Roman" w:hAnsi="Times New Roman" w:cs="Times New Roman"/>
          <w:color w:val="000000"/>
          <w:kern w:val="0"/>
          <w:szCs w:val="21"/>
        </w:rPr>
        <w:t xml:space="preserve">[30] Fama, Eugene F., and Kenneth R. French, 2015, A five-factor asset pricing model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116, 1-22.</w:t>
      </w:r>
      <w:bookmarkEnd w:id="29"/>
    </w:p>
    <w:p w14:paraId="4B23173C" w14:textId="77777777" w:rsidR="00334DB4" w:rsidRPr="00296162" w:rsidRDefault="00334DB4" w:rsidP="00334DB4">
      <w:pPr>
        <w:autoSpaceDE w:val="0"/>
        <w:autoSpaceDN w:val="0"/>
        <w:adjustRightInd w:val="0"/>
        <w:spacing w:line="460" w:lineRule="exact"/>
        <w:rPr>
          <w:rFonts w:ascii="Times New Roman" w:hAnsi="Times New Roman" w:cs="Times New Roman"/>
          <w:color w:val="000000"/>
          <w:kern w:val="0"/>
          <w:szCs w:val="21"/>
        </w:rPr>
      </w:pPr>
      <w:bookmarkStart w:id="30" w:name="_nebA1201652_EEB0_424D_AAE3_1314D20DC5E7"/>
      <w:r w:rsidRPr="00296162">
        <w:rPr>
          <w:rFonts w:ascii="Times New Roman" w:hAnsi="Times New Roman" w:cs="Times New Roman"/>
          <w:color w:val="000000"/>
          <w:kern w:val="0"/>
          <w:szCs w:val="21"/>
        </w:rPr>
        <w:t xml:space="preserve">[31] Gettleman, Eric, and Joseph M. Marks, 2006, Acceleration Strategies, </w:t>
      </w:r>
      <w:bookmarkEnd w:id="30"/>
      <w:r w:rsidRPr="00296162">
        <w:rPr>
          <w:rFonts w:ascii="Times New Roman" w:hAnsi="Times New Roman" w:cs="Times New Roman"/>
          <w:i/>
          <w:iCs/>
          <w:color w:val="000000"/>
          <w:kern w:val="0"/>
          <w:szCs w:val="21"/>
        </w:rPr>
        <w:t>Working Paper</w:t>
      </w:r>
      <w:r w:rsidRPr="00296162">
        <w:rPr>
          <w:rFonts w:ascii="Times New Roman" w:hAnsi="Times New Roman" w:cs="Times New Roman"/>
          <w:color w:val="000000"/>
          <w:kern w:val="0"/>
          <w:szCs w:val="21"/>
        </w:rPr>
        <w:t>.</w:t>
      </w:r>
    </w:p>
    <w:p w14:paraId="1C3F43B9"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kern w:val="0"/>
          <w:szCs w:val="21"/>
        </w:rPr>
        <w:t xml:space="preserve">[32]Goodfellow, I., Bengio, Y., Courville, 2006,A. Deep Learning. </w:t>
      </w:r>
      <w:r w:rsidRPr="00296162">
        <w:rPr>
          <w:rFonts w:ascii="Times New Roman" w:hAnsi="Times New Roman" w:cs="Times New Roman"/>
          <w:i/>
          <w:iCs/>
          <w:kern w:val="0"/>
          <w:szCs w:val="21"/>
        </w:rPr>
        <w:t>The MIT Press</w:t>
      </w:r>
    </w:p>
    <w:p w14:paraId="4215CB67" w14:textId="77777777" w:rsidR="00334DB4" w:rsidRPr="00296162" w:rsidRDefault="00334DB4" w:rsidP="00334DB4">
      <w:pPr>
        <w:autoSpaceDE w:val="0"/>
        <w:autoSpaceDN w:val="0"/>
        <w:adjustRightInd w:val="0"/>
        <w:spacing w:line="460" w:lineRule="exact"/>
        <w:rPr>
          <w:rFonts w:ascii="Times New Roman" w:hAnsi="Times New Roman" w:cs="Times New Roman"/>
          <w:color w:val="000000"/>
          <w:kern w:val="0"/>
          <w:szCs w:val="21"/>
        </w:rPr>
      </w:pPr>
      <w:r w:rsidRPr="00296162">
        <w:rPr>
          <w:rFonts w:ascii="Times New Roman" w:hAnsi="Times New Roman" w:cs="Times New Roman"/>
          <w:color w:val="000000"/>
          <w:kern w:val="0"/>
          <w:szCs w:val="21"/>
        </w:rPr>
        <w:t xml:space="preserve">[33]Gu, S., Kelly, B., Xiu, D,2018,Empirical Asset Pricing via Machine Learning. </w:t>
      </w:r>
      <w:r w:rsidRPr="00296162">
        <w:rPr>
          <w:rFonts w:ascii="Times New Roman" w:hAnsi="Times New Roman" w:cs="Times New Roman"/>
          <w:i/>
          <w:iCs/>
          <w:color w:val="000000"/>
          <w:kern w:val="0"/>
          <w:szCs w:val="21"/>
        </w:rPr>
        <w:t>Working Paper</w:t>
      </w:r>
      <w:r w:rsidRPr="00296162">
        <w:rPr>
          <w:rFonts w:ascii="Times New Roman" w:hAnsi="Times New Roman" w:cs="Times New Roman"/>
          <w:color w:val="000000"/>
          <w:kern w:val="0"/>
          <w:szCs w:val="21"/>
        </w:rPr>
        <w:t>.</w:t>
      </w:r>
    </w:p>
    <w:p w14:paraId="5928F4ED"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[34] Guo, Re Jin, and Baruch Lev, and Charles Shi, 2006, Explaining the Short- and Long-Term IPO Anomalies by R&amp;D, </w:t>
      </w:r>
      <w:r w:rsidRPr="00296162">
        <w:rPr>
          <w:rFonts w:ascii="Times New Roman" w:hAnsi="Times New Roman" w:cs="Times New Roman"/>
          <w:i/>
          <w:iCs/>
          <w:color w:val="000000"/>
          <w:kern w:val="0"/>
          <w:szCs w:val="21"/>
        </w:rPr>
        <w:t>Journal of Business Finance &amp; Accounting</w:t>
      </w:r>
      <w:r w:rsidRPr="00296162">
        <w:rPr>
          <w:rFonts w:ascii="Times New Roman" w:hAnsi="Times New Roman" w:cs="Times New Roman"/>
          <w:color w:val="000000"/>
          <w:kern w:val="0"/>
          <w:szCs w:val="21"/>
        </w:rPr>
        <w:t xml:space="preserve"> 33, 580</w:t>
      </w:r>
      <w:r w:rsidRPr="00296162">
        <w:rPr>
          <w:rFonts w:ascii="Times New Roman" w:eastAsia="宋体" w:hAnsi="Times New Roman" w:cs="Times New Roman"/>
          <w:color w:val="000000"/>
          <w:kern w:val="0"/>
          <w:szCs w:val="21"/>
        </w:rPr>
        <w:t>–</w:t>
      </w:r>
      <w:r w:rsidRPr="00296162">
        <w:rPr>
          <w:rFonts w:ascii="Times New Roman" w:hAnsi="Times New Roman" w:cs="Times New Roman"/>
          <w:color w:val="000000"/>
          <w:kern w:val="0"/>
          <w:szCs w:val="21"/>
        </w:rPr>
        <w:t>586.</w:t>
      </w:r>
    </w:p>
    <w:p w14:paraId="1348FF04"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[35] Hafzalla, Nader, and E. Matthew Van Winkle, 2010, Percent Accruals, </w:t>
      </w:r>
      <w:r w:rsidRPr="00296162">
        <w:rPr>
          <w:rFonts w:ascii="Times New Roman" w:hAnsi="Times New Roman" w:cs="Times New Roman"/>
          <w:i/>
          <w:iCs/>
          <w:color w:val="000000"/>
          <w:kern w:val="0"/>
          <w:szCs w:val="21"/>
        </w:rPr>
        <w:t>The Accounting Review</w:t>
      </w:r>
      <w:r w:rsidRPr="00296162">
        <w:rPr>
          <w:rFonts w:ascii="Times New Roman" w:hAnsi="Times New Roman" w:cs="Times New Roman"/>
          <w:color w:val="000000"/>
          <w:kern w:val="0"/>
          <w:szCs w:val="21"/>
        </w:rPr>
        <w:t xml:space="preserve"> 86, 209-236.</w:t>
      </w:r>
    </w:p>
    <w:p w14:paraId="726C0AE6"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[36] Harvey, Campbell R., and Akhtar Siddique, 1999, Autoregressive Conditional Skewness, </w:t>
      </w:r>
      <w:r w:rsidRPr="00296162">
        <w:rPr>
          <w:rFonts w:ascii="Times New Roman" w:hAnsi="Times New Roman" w:cs="Times New Roman"/>
          <w:i/>
          <w:iCs/>
          <w:color w:val="000000"/>
          <w:kern w:val="0"/>
          <w:szCs w:val="21"/>
        </w:rPr>
        <w:t>Journal of Financial &amp; Quantitative Analysis</w:t>
      </w:r>
      <w:r w:rsidRPr="00296162">
        <w:rPr>
          <w:rFonts w:ascii="Times New Roman" w:hAnsi="Times New Roman" w:cs="Times New Roman"/>
          <w:color w:val="000000"/>
          <w:kern w:val="0"/>
          <w:szCs w:val="21"/>
        </w:rPr>
        <w:t xml:space="preserve"> 34, 465-487.</w:t>
      </w:r>
    </w:p>
    <w:p w14:paraId="35EB2094"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1" w:name="_nebB68E9A00_9540_47F3_8940_4763A00E58F8"/>
      <w:r w:rsidRPr="00296162">
        <w:rPr>
          <w:rFonts w:ascii="Times New Roman" w:hAnsi="Times New Roman" w:cs="Times New Roman"/>
          <w:color w:val="000000"/>
          <w:kern w:val="0"/>
          <w:szCs w:val="21"/>
        </w:rPr>
        <w:t xml:space="preserve">[37] Hawkins, Eugene H., and Wayne E. Daniel, 1984, Earnings Expectations and Security Prices, </w:t>
      </w:r>
      <w:r w:rsidRPr="00296162">
        <w:rPr>
          <w:rFonts w:ascii="Times New Roman" w:hAnsi="Times New Roman" w:cs="Times New Roman"/>
          <w:i/>
          <w:iCs/>
          <w:color w:val="000000"/>
          <w:kern w:val="0"/>
          <w:szCs w:val="21"/>
        </w:rPr>
        <w:t>Financial Analysts Journal</w:t>
      </w:r>
      <w:r w:rsidRPr="00296162">
        <w:rPr>
          <w:rFonts w:ascii="Times New Roman" w:hAnsi="Times New Roman" w:cs="Times New Roman"/>
          <w:color w:val="000000"/>
          <w:kern w:val="0"/>
          <w:szCs w:val="21"/>
        </w:rPr>
        <w:t xml:space="preserve"> 40, 24-74.</w:t>
      </w:r>
      <w:bookmarkEnd w:id="31"/>
    </w:p>
    <w:p w14:paraId="184D8D88"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[38] Hirshleifer, David, Kewei Hou, Siew Hong Teoh, and Yinglei Zhang, 2004, Do investors overvalue firms with bloated balance sheets? , </w:t>
      </w:r>
      <w:r w:rsidRPr="00296162">
        <w:rPr>
          <w:rFonts w:ascii="Times New Roman" w:hAnsi="Times New Roman" w:cs="Times New Roman"/>
          <w:i/>
          <w:iCs/>
          <w:color w:val="000000"/>
          <w:kern w:val="0"/>
          <w:szCs w:val="21"/>
        </w:rPr>
        <w:t>Journal of Accounting &amp; Economics</w:t>
      </w:r>
      <w:r w:rsidRPr="00296162">
        <w:rPr>
          <w:rFonts w:ascii="Times New Roman" w:hAnsi="Times New Roman" w:cs="Times New Roman"/>
          <w:color w:val="000000"/>
          <w:kern w:val="0"/>
          <w:szCs w:val="21"/>
        </w:rPr>
        <w:t xml:space="preserve"> 38, 297-331.</w:t>
      </w:r>
    </w:p>
    <w:p w14:paraId="723B63FC"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 xml:space="preserve">[39] Holthausen, Robert W., and David F. Larcker, 1992, The prediction of stock returns using financial statement information </w:t>
      </w:r>
      <w:r w:rsidRPr="00296162">
        <w:rPr>
          <w:rFonts w:ascii="Segoe UI Symbol" w:eastAsia="宋体" w:hAnsi="Segoe UI Symbol" w:cs="Segoe UI Symbol" w:hint="eastAsia"/>
          <w:color w:val="000000"/>
          <w:kern w:val="0"/>
          <w:szCs w:val="21"/>
        </w:rPr>
        <w:t>☆</w:t>
      </w:r>
      <w:r w:rsidRPr="00296162">
        <w:rPr>
          <w:rFonts w:ascii="Times New Roman" w:hAnsi="Times New Roman" w:cs="Times New Roman"/>
          <w:color w:val="000000"/>
          <w:kern w:val="0"/>
          <w:szCs w:val="21"/>
        </w:rPr>
        <w:t xml:space="preserve">, </w:t>
      </w:r>
      <w:r w:rsidRPr="00296162">
        <w:rPr>
          <w:rFonts w:ascii="Times New Roman" w:hAnsi="Times New Roman" w:cs="Times New Roman"/>
          <w:i/>
          <w:iCs/>
          <w:color w:val="000000"/>
          <w:kern w:val="0"/>
          <w:szCs w:val="21"/>
        </w:rPr>
        <w:t>Journal of Accounting &amp; Economics</w:t>
      </w:r>
      <w:r w:rsidRPr="00296162">
        <w:rPr>
          <w:rFonts w:ascii="Times New Roman" w:hAnsi="Times New Roman" w:cs="Times New Roman"/>
          <w:color w:val="000000"/>
          <w:kern w:val="0"/>
          <w:szCs w:val="21"/>
        </w:rPr>
        <w:t xml:space="preserve"> 15, 373-411.</w:t>
      </w:r>
    </w:p>
    <w:p w14:paraId="6B77A29F" w14:textId="77777777" w:rsidR="00334DB4" w:rsidRPr="00296162" w:rsidRDefault="00334DB4" w:rsidP="00334DB4">
      <w:pPr>
        <w:autoSpaceDE w:val="0"/>
        <w:autoSpaceDN w:val="0"/>
        <w:adjustRightInd w:val="0"/>
        <w:spacing w:line="460" w:lineRule="exact"/>
        <w:rPr>
          <w:rFonts w:ascii="Times New Roman" w:hAnsi="Times New Roman" w:cs="Times New Roman"/>
          <w:color w:val="000000"/>
          <w:kern w:val="0"/>
          <w:szCs w:val="21"/>
        </w:rPr>
      </w:pPr>
      <w:bookmarkStart w:id="32" w:name="_nebEDE4B4E4_505D_48D9_8BBA_44FF8664FE1E"/>
      <w:r w:rsidRPr="00296162">
        <w:rPr>
          <w:rFonts w:ascii="Times New Roman" w:hAnsi="Times New Roman" w:cs="Times New Roman"/>
          <w:color w:val="000000"/>
          <w:kern w:val="0"/>
          <w:szCs w:val="21"/>
        </w:rPr>
        <w:t>[4</w:t>
      </w:r>
      <w:r>
        <w:rPr>
          <w:rFonts w:ascii="Times New Roman" w:hAnsi="Times New Roman" w:cs="Times New Roman"/>
          <w:color w:val="000000"/>
          <w:kern w:val="0"/>
          <w:szCs w:val="21"/>
        </w:rPr>
        <w:t>0</w:t>
      </w:r>
      <w:r w:rsidRPr="00296162">
        <w:rPr>
          <w:rFonts w:ascii="Times New Roman" w:hAnsi="Times New Roman" w:cs="Times New Roman"/>
          <w:color w:val="000000"/>
          <w:kern w:val="0"/>
          <w:szCs w:val="21"/>
        </w:rPr>
        <w:t xml:space="preserve">] Hou, Kewei, and Chen Xue, and Lu Zhang, 2015, Digesting anomalies: An investment approach, </w:t>
      </w:r>
      <w:r w:rsidRPr="00296162">
        <w:rPr>
          <w:rFonts w:ascii="Times New Roman" w:hAnsi="Times New Roman" w:cs="Times New Roman"/>
          <w:i/>
          <w:color w:val="000000"/>
          <w:kern w:val="0"/>
          <w:szCs w:val="21"/>
        </w:rPr>
        <w:t>Review of Financial Studies</w:t>
      </w:r>
      <w:r w:rsidRPr="00296162">
        <w:rPr>
          <w:rFonts w:ascii="Times New Roman" w:hAnsi="Times New Roman" w:cs="Times New Roman"/>
          <w:color w:val="000000"/>
          <w:kern w:val="0"/>
          <w:szCs w:val="21"/>
        </w:rPr>
        <w:t xml:space="preserve"> 28, 650–705. </w:t>
      </w:r>
      <w:bookmarkEnd w:id="32"/>
    </w:p>
    <w:p w14:paraId="67A69323"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3" w:name="_nebD536788F_05B4_4B9C_B05D_EC48F1DD59C8"/>
      <w:r w:rsidRPr="00296162">
        <w:rPr>
          <w:rFonts w:ascii="Times New Roman" w:hAnsi="Times New Roman" w:cs="Times New Roman"/>
          <w:color w:val="000000"/>
          <w:kern w:val="0"/>
          <w:szCs w:val="21"/>
        </w:rPr>
        <w:t>[4</w:t>
      </w:r>
      <w:r>
        <w:rPr>
          <w:rFonts w:ascii="Times New Roman" w:hAnsi="Times New Roman" w:cs="Times New Roman"/>
          <w:color w:val="000000"/>
          <w:kern w:val="0"/>
          <w:szCs w:val="21"/>
        </w:rPr>
        <w:t>1</w:t>
      </w:r>
      <w:r w:rsidRPr="00296162">
        <w:rPr>
          <w:rFonts w:ascii="Times New Roman" w:hAnsi="Times New Roman" w:cs="Times New Roman"/>
          <w:color w:val="000000"/>
          <w:kern w:val="0"/>
          <w:szCs w:val="21"/>
        </w:rPr>
        <w:t xml:space="preserve">] Hou, Kewei, and Tobias J. Moskowitz, 2005, Market Frictions, Price Delay, and the Cross-Section of Expected Returns, </w:t>
      </w:r>
      <w:r w:rsidRPr="00296162">
        <w:rPr>
          <w:rFonts w:ascii="Times New Roman" w:hAnsi="Times New Roman" w:cs="Times New Roman"/>
          <w:i/>
          <w:iCs/>
          <w:color w:val="000000"/>
          <w:kern w:val="0"/>
          <w:szCs w:val="21"/>
        </w:rPr>
        <w:t>Review of Financial Studies</w:t>
      </w:r>
      <w:r w:rsidRPr="00296162">
        <w:rPr>
          <w:rFonts w:ascii="Times New Roman" w:hAnsi="Times New Roman" w:cs="Times New Roman"/>
          <w:color w:val="000000"/>
          <w:kern w:val="0"/>
          <w:szCs w:val="21"/>
        </w:rPr>
        <w:t xml:space="preserve"> 18, 981-1020.</w:t>
      </w:r>
      <w:bookmarkEnd w:id="33"/>
    </w:p>
    <w:p w14:paraId="7C679CC6"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4" w:name="_neb13856A79_4DEF_4440_9A1F_2D9FE38AAA8F"/>
      <w:r w:rsidRPr="00296162">
        <w:rPr>
          <w:rFonts w:ascii="Times New Roman" w:hAnsi="Times New Roman" w:cs="Times New Roman"/>
          <w:color w:val="000000"/>
          <w:kern w:val="0"/>
          <w:szCs w:val="21"/>
        </w:rPr>
        <w:t xml:space="preserve">Jegadeesh, Narasimhan, 1990, Evidence of Predictable Behavior of Security Returns,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45, 881-898.</w:t>
      </w:r>
      <w:bookmarkEnd w:id="34"/>
    </w:p>
    <w:p w14:paraId="2DF649D2"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[4</w:t>
      </w:r>
      <w:r>
        <w:rPr>
          <w:rFonts w:ascii="Times New Roman" w:hAnsi="Times New Roman" w:cs="Times New Roman"/>
          <w:color w:val="000000"/>
          <w:kern w:val="0"/>
          <w:szCs w:val="21"/>
        </w:rPr>
        <w:t>2</w:t>
      </w:r>
      <w:r w:rsidRPr="00296162">
        <w:rPr>
          <w:rFonts w:ascii="Times New Roman" w:hAnsi="Times New Roman" w:cs="Times New Roman"/>
          <w:color w:val="000000"/>
          <w:kern w:val="0"/>
          <w:szCs w:val="21"/>
        </w:rPr>
        <w:t xml:space="preserve">] Jegadeesh, Narasimhan, and Sheridan Titman, 1993, Returns to Buying Winners and Selling Losers: Implications for Stock Market Efficiency,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48, 65-91.</w:t>
      </w:r>
    </w:p>
    <w:p w14:paraId="5C7ADAB9"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5" w:name="_neb0955E1C8_E51B_4221_92A2_B6EC59B143EF"/>
      <w:r w:rsidRPr="00296162">
        <w:rPr>
          <w:rFonts w:ascii="Times New Roman" w:hAnsi="Times New Roman" w:cs="Times New Roman"/>
          <w:color w:val="000000"/>
          <w:kern w:val="0"/>
          <w:szCs w:val="21"/>
        </w:rPr>
        <w:t>[4</w:t>
      </w:r>
      <w:r>
        <w:rPr>
          <w:rFonts w:ascii="Times New Roman" w:hAnsi="Times New Roman" w:cs="Times New Roman"/>
          <w:color w:val="000000"/>
          <w:kern w:val="0"/>
          <w:szCs w:val="21"/>
        </w:rPr>
        <w:t>3</w:t>
      </w:r>
      <w:r w:rsidRPr="00296162">
        <w:rPr>
          <w:rFonts w:ascii="Times New Roman" w:hAnsi="Times New Roman" w:cs="Times New Roman"/>
          <w:color w:val="000000"/>
          <w:kern w:val="0"/>
          <w:szCs w:val="21"/>
        </w:rPr>
        <w:t xml:space="preserve">] Jiang, Guohua, and Charles M. C. Lee, and Zhang Yi, 2005, Information Uncertainty and Expected Returns, </w:t>
      </w:r>
      <w:r w:rsidRPr="00296162">
        <w:rPr>
          <w:rFonts w:ascii="Times New Roman" w:hAnsi="Times New Roman" w:cs="Times New Roman"/>
          <w:i/>
          <w:iCs/>
          <w:color w:val="000000"/>
          <w:kern w:val="0"/>
          <w:szCs w:val="21"/>
        </w:rPr>
        <w:t>Review of Accounting Studies</w:t>
      </w:r>
      <w:r w:rsidRPr="00296162">
        <w:rPr>
          <w:rFonts w:ascii="Times New Roman" w:hAnsi="Times New Roman" w:cs="Times New Roman"/>
          <w:color w:val="000000"/>
          <w:kern w:val="0"/>
          <w:szCs w:val="21"/>
        </w:rPr>
        <w:t xml:space="preserve"> 10, 185-221.</w:t>
      </w:r>
      <w:bookmarkEnd w:id="35"/>
    </w:p>
    <w:p w14:paraId="7025D873"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[4</w:t>
      </w:r>
      <w:r>
        <w:rPr>
          <w:rFonts w:ascii="Times New Roman" w:hAnsi="Times New Roman" w:cs="Times New Roman"/>
          <w:color w:val="000000"/>
          <w:kern w:val="0"/>
          <w:szCs w:val="21"/>
        </w:rPr>
        <w:t>4</w:t>
      </w:r>
      <w:r w:rsidRPr="00296162">
        <w:rPr>
          <w:rFonts w:ascii="Times New Roman" w:hAnsi="Times New Roman" w:cs="Times New Roman"/>
          <w:color w:val="000000"/>
          <w:kern w:val="0"/>
          <w:szCs w:val="21"/>
        </w:rPr>
        <w:t>] Jr, Barbee William C., and MukherjiSandip, and A. Rainesgary, 1996, Do Sales</w:t>
      </w:r>
      <w:r w:rsidRPr="00296162">
        <w:rPr>
          <w:rFonts w:ascii="Times New Roman" w:eastAsia="宋体" w:hAnsi="Times New Roman" w:cs="Times New Roman"/>
          <w:color w:val="000000"/>
          <w:kern w:val="0"/>
          <w:szCs w:val="21"/>
        </w:rPr>
        <w:t>–</w:t>
      </w:r>
      <w:r w:rsidRPr="00296162">
        <w:rPr>
          <w:rFonts w:ascii="Times New Roman" w:hAnsi="Times New Roman" w:cs="Times New Roman"/>
          <w:color w:val="000000"/>
          <w:kern w:val="0"/>
          <w:szCs w:val="21"/>
        </w:rPr>
        <w:t>Price and Debt</w:t>
      </w:r>
      <w:r w:rsidRPr="00296162">
        <w:rPr>
          <w:rFonts w:ascii="Times New Roman" w:eastAsia="宋体" w:hAnsi="Times New Roman" w:cs="Times New Roman"/>
          <w:color w:val="000000"/>
          <w:kern w:val="0"/>
          <w:szCs w:val="21"/>
        </w:rPr>
        <w:t>–</w:t>
      </w:r>
      <w:r w:rsidRPr="00296162">
        <w:rPr>
          <w:rFonts w:ascii="Times New Roman" w:hAnsi="Times New Roman" w:cs="Times New Roman"/>
          <w:color w:val="000000"/>
          <w:kern w:val="0"/>
          <w:szCs w:val="21"/>
        </w:rPr>
        <w:t>Equity Explain Stock Returns Better than Book</w:t>
      </w:r>
      <w:r w:rsidRPr="00296162">
        <w:rPr>
          <w:rFonts w:ascii="Times New Roman" w:eastAsia="宋体" w:hAnsi="Times New Roman" w:cs="Times New Roman"/>
          <w:color w:val="000000"/>
          <w:kern w:val="0"/>
          <w:szCs w:val="21"/>
        </w:rPr>
        <w:t>–</w:t>
      </w:r>
      <w:r w:rsidRPr="00296162">
        <w:rPr>
          <w:rFonts w:ascii="Times New Roman" w:hAnsi="Times New Roman" w:cs="Times New Roman"/>
          <w:color w:val="000000"/>
          <w:kern w:val="0"/>
          <w:szCs w:val="21"/>
        </w:rPr>
        <w:t xml:space="preserve">Market and Firm Size? </w:t>
      </w:r>
      <w:r w:rsidRPr="00296162">
        <w:rPr>
          <w:rFonts w:ascii="Times New Roman" w:hAnsi="Times New Roman" w:cs="Times New Roman"/>
          <w:i/>
          <w:iCs/>
          <w:color w:val="000000"/>
          <w:kern w:val="0"/>
          <w:szCs w:val="21"/>
        </w:rPr>
        <w:t xml:space="preserve">Financial Analysts </w:t>
      </w:r>
      <w:r w:rsidRPr="00296162">
        <w:rPr>
          <w:rFonts w:ascii="Times New Roman" w:hAnsi="Times New Roman" w:cs="Times New Roman"/>
          <w:i/>
          <w:iCs/>
          <w:color w:val="000000"/>
          <w:kern w:val="0"/>
          <w:szCs w:val="21"/>
        </w:rPr>
        <w:lastRenderedPageBreak/>
        <w:t>Journal</w:t>
      </w:r>
      <w:r w:rsidRPr="00296162">
        <w:rPr>
          <w:rFonts w:ascii="Times New Roman" w:hAnsi="Times New Roman" w:cs="Times New Roman"/>
          <w:color w:val="000000"/>
          <w:kern w:val="0"/>
          <w:szCs w:val="21"/>
        </w:rPr>
        <w:t xml:space="preserve"> 52, 56-60.</w:t>
      </w:r>
    </w:p>
    <w:p w14:paraId="76EDAD88" w14:textId="77777777" w:rsidR="00334DB4" w:rsidRPr="00296162" w:rsidRDefault="00334DB4" w:rsidP="00334DB4">
      <w:pPr>
        <w:autoSpaceDE w:val="0"/>
        <w:autoSpaceDN w:val="0"/>
        <w:adjustRightInd w:val="0"/>
        <w:spacing w:line="460" w:lineRule="exact"/>
        <w:rPr>
          <w:rFonts w:ascii="Times New Roman" w:hAnsi="Times New Roman" w:cs="Times New Roman"/>
          <w:color w:val="000000"/>
          <w:kern w:val="0"/>
          <w:szCs w:val="21"/>
        </w:rPr>
      </w:pPr>
      <w:r w:rsidRPr="00296162">
        <w:rPr>
          <w:rFonts w:ascii="Times New Roman" w:hAnsi="Times New Roman" w:cs="Times New Roman"/>
          <w:color w:val="000000"/>
          <w:kern w:val="0"/>
          <w:szCs w:val="21"/>
        </w:rPr>
        <w:t>[4</w:t>
      </w:r>
      <w:r>
        <w:rPr>
          <w:rFonts w:ascii="Times New Roman" w:hAnsi="Times New Roman" w:cs="Times New Roman"/>
          <w:color w:val="000000"/>
          <w:kern w:val="0"/>
          <w:szCs w:val="21"/>
        </w:rPr>
        <w:t>5</w:t>
      </w:r>
      <w:r w:rsidRPr="00296162">
        <w:rPr>
          <w:rFonts w:ascii="Times New Roman" w:hAnsi="Times New Roman" w:cs="Times New Roman"/>
          <w:color w:val="000000"/>
          <w:kern w:val="0"/>
          <w:szCs w:val="21"/>
        </w:rPr>
        <w:t xml:space="preserve">] Kama, Itay, 2010, On the Market Reaction to Revenue and Earnings Surprises, </w:t>
      </w:r>
      <w:r w:rsidRPr="00296162">
        <w:rPr>
          <w:rFonts w:ascii="Times New Roman" w:hAnsi="Times New Roman" w:cs="Times New Roman"/>
          <w:i/>
          <w:iCs/>
          <w:color w:val="000000"/>
          <w:kern w:val="0"/>
          <w:szCs w:val="21"/>
        </w:rPr>
        <w:t>Journal of Business Finance &amp; Accounting</w:t>
      </w:r>
      <w:r w:rsidRPr="00296162">
        <w:rPr>
          <w:rFonts w:ascii="Times New Roman" w:hAnsi="Times New Roman" w:cs="Times New Roman"/>
          <w:color w:val="000000"/>
          <w:kern w:val="0"/>
          <w:szCs w:val="21"/>
        </w:rPr>
        <w:t xml:space="preserve"> 36, 31-50.</w:t>
      </w:r>
    </w:p>
    <w:p w14:paraId="1727410E"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kern w:val="0"/>
          <w:szCs w:val="21"/>
        </w:rPr>
        <w:t>[4</w:t>
      </w:r>
      <w:r>
        <w:rPr>
          <w:rFonts w:ascii="Times New Roman" w:hAnsi="Times New Roman" w:cs="Times New Roman"/>
          <w:kern w:val="0"/>
          <w:szCs w:val="21"/>
        </w:rPr>
        <w:t>6</w:t>
      </w:r>
      <w:r w:rsidRPr="00296162">
        <w:rPr>
          <w:rFonts w:ascii="Times New Roman" w:hAnsi="Times New Roman" w:cs="Times New Roman"/>
          <w:kern w:val="0"/>
          <w:szCs w:val="21"/>
        </w:rPr>
        <w:t xml:space="preserve">]Krauss, C., Do, X.A., Huck, N,2017, Deep neural networks, gradient-boosted trees, random forests: Statistical arbitrage on the S&amp;P 500. </w:t>
      </w:r>
      <w:r w:rsidRPr="00296162">
        <w:rPr>
          <w:rFonts w:ascii="Times New Roman" w:hAnsi="Times New Roman" w:cs="Times New Roman"/>
          <w:i/>
          <w:iCs/>
          <w:kern w:val="0"/>
          <w:szCs w:val="21"/>
        </w:rPr>
        <w:t>European Journal of Operational Research</w:t>
      </w:r>
      <w:r w:rsidRPr="00296162">
        <w:rPr>
          <w:rFonts w:ascii="Times New Roman" w:hAnsi="Times New Roman" w:cs="Times New Roman"/>
          <w:kern w:val="0"/>
          <w:szCs w:val="21"/>
        </w:rPr>
        <w:t xml:space="preserve"> 259,689–702.</w:t>
      </w:r>
    </w:p>
    <w:p w14:paraId="57F7794C"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6" w:name="_nebC56F2F3E_C0EA_470A_B9AE_035F3826011F"/>
      <w:r w:rsidRPr="00296162">
        <w:rPr>
          <w:rFonts w:ascii="Times New Roman" w:hAnsi="Times New Roman" w:cs="Times New Roman"/>
          <w:color w:val="000000"/>
          <w:kern w:val="0"/>
          <w:szCs w:val="21"/>
        </w:rPr>
        <w:t>[4</w:t>
      </w:r>
      <w:r>
        <w:rPr>
          <w:rFonts w:ascii="Times New Roman" w:hAnsi="Times New Roman" w:cs="Times New Roman"/>
          <w:color w:val="000000"/>
          <w:kern w:val="0"/>
          <w:szCs w:val="21"/>
        </w:rPr>
        <w:t>7</w:t>
      </w:r>
      <w:r w:rsidRPr="00296162">
        <w:rPr>
          <w:rFonts w:ascii="Times New Roman" w:hAnsi="Times New Roman" w:cs="Times New Roman"/>
          <w:color w:val="000000"/>
          <w:kern w:val="0"/>
          <w:szCs w:val="21"/>
        </w:rPr>
        <w:t xml:space="preserve">] Lakonishok, Josef, and Andrei Shleifer, and Robert W. Vishny, 1994, Contrarian Investment, Extrapolation, and Risk,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49, 1541-1578.</w:t>
      </w:r>
      <w:bookmarkEnd w:id="36"/>
    </w:p>
    <w:p w14:paraId="4BF52FD3" w14:textId="77777777" w:rsidR="00334DB4" w:rsidRPr="00296162" w:rsidRDefault="00334DB4" w:rsidP="00334DB4">
      <w:pPr>
        <w:autoSpaceDE w:val="0"/>
        <w:autoSpaceDN w:val="0"/>
        <w:adjustRightInd w:val="0"/>
        <w:spacing w:line="460" w:lineRule="exact"/>
        <w:rPr>
          <w:rFonts w:ascii="Times New Roman" w:hAnsi="Times New Roman" w:cs="Times New Roman"/>
          <w:color w:val="000000"/>
          <w:kern w:val="0"/>
          <w:szCs w:val="21"/>
        </w:rPr>
      </w:pPr>
      <w:r w:rsidRPr="00296162">
        <w:rPr>
          <w:rFonts w:ascii="Times New Roman" w:hAnsi="Times New Roman" w:cs="Times New Roman"/>
          <w:color w:val="000000"/>
          <w:kern w:val="0"/>
          <w:szCs w:val="21"/>
        </w:rPr>
        <w:t>[</w:t>
      </w:r>
      <w:r>
        <w:rPr>
          <w:rFonts w:ascii="Times New Roman" w:hAnsi="Times New Roman" w:cs="Times New Roman"/>
          <w:color w:val="000000"/>
          <w:kern w:val="0"/>
          <w:szCs w:val="21"/>
        </w:rPr>
        <w:t>48</w:t>
      </w:r>
      <w:r w:rsidRPr="00296162">
        <w:rPr>
          <w:rFonts w:ascii="Times New Roman" w:hAnsi="Times New Roman" w:cs="Times New Roman"/>
          <w:color w:val="000000"/>
          <w:kern w:val="0"/>
          <w:szCs w:val="21"/>
        </w:rPr>
        <w:t xml:space="preserve">] Lerman, Alina, and Joshua Livnat, and Richard R. Mendenhall, 2007, The High-Volume Return Premium and Post-Earnings Announcement Drift, </w:t>
      </w:r>
      <w:r w:rsidRPr="00296162">
        <w:rPr>
          <w:rFonts w:ascii="Times New Roman" w:hAnsi="Times New Roman" w:cs="Times New Roman"/>
          <w:i/>
          <w:iCs/>
          <w:color w:val="000000"/>
          <w:kern w:val="0"/>
          <w:szCs w:val="21"/>
        </w:rPr>
        <w:t>Working Paper</w:t>
      </w:r>
      <w:r w:rsidRPr="00296162">
        <w:rPr>
          <w:rFonts w:ascii="Times New Roman" w:hAnsi="Times New Roman" w:cs="Times New Roman"/>
          <w:color w:val="000000"/>
          <w:kern w:val="0"/>
          <w:szCs w:val="21"/>
        </w:rPr>
        <w:t>.</w:t>
      </w:r>
    </w:p>
    <w:p w14:paraId="18389BFA"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kern w:val="0"/>
          <w:szCs w:val="21"/>
        </w:rPr>
        <w:t>[</w:t>
      </w:r>
      <w:r>
        <w:rPr>
          <w:rFonts w:ascii="Times New Roman" w:hAnsi="Times New Roman" w:cs="Times New Roman"/>
          <w:kern w:val="0"/>
          <w:szCs w:val="21"/>
        </w:rPr>
        <w:t>49</w:t>
      </w:r>
      <w:r w:rsidRPr="00296162">
        <w:rPr>
          <w:rFonts w:ascii="Times New Roman" w:hAnsi="Times New Roman" w:cs="Times New Roman"/>
          <w:kern w:val="0"/>
          <w:szCs w:val="21"/>
        </w:rPr>
        <w:t xml:space="preserve">]Light, N., Maslov, D., Rytchkov, O,2017, Aggregation of Information About the Cross Section of Stock Returns: A Latent Variable Approach. </w:t>
      </w:r>
      <w:r w:rsidRPr="00296162">
        <w:rPr>
          <w:rFonts w:ascii="Times New Roman" w:hAnsi="Times New Roman" w:cs="Times New Roman"/>
          <w:i/>
          <w:iCs/>
          <w:kern w:val="0"/>
          <w:szCs w:val="21"/>
        </w:rPr>
        <w:t>The Review of Financial Studies</w:t>
      </w:r>
      <w:r w:rsidRPr="00296162">
        <w:rPr>
          <w:rFonts w:ascii="Times New Roman" w:hAnsi="Times New Roman" w:cs="Times New Roman"/>
          <w:kern w:val="0"/>
          <w:szCs w:val="21"/>
        </w:rPr>
        <w:t xml:space="preserve"> 30, 1339-1381.</w:t>
      </w:r>
    </w:p>
    <w:p w14:paraId="4EC495FE"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7" w:name="_nebB08C72EE_E9D9_4B50_9745_C1172706156F"/>
      <w:r w:rsidRPr="00296162">
        <w:rPr>
          <w:rFonts w:ascii="Times New Roman" w:hAnsi="Times New Roman" w:cs="Times New Roman"/>
          <w:color w:val="000000"/>
          <w:kern w:val="0"/>
          <w:szCs w:val="21"/>
        </w:rPr>
        <w:t>[5</w:t>
      </w:r>
      <w:r>
        <w:rPr>
          <w:rFonts w:ascii="Times New Roman" w:hAnsi="Times New Roman" w:cs="Times New Roman"/>
          <w:color w:val="000000"/>
          <w:kern w:val="0"/>
          <w:szCs w:val="21"/>
        </w:rPr>
        <w:t>0</w:t>
      </w:r>
      <w:r w:rsidRPr="00296162">
        <w:rPr>
          <w:rFonts w:ascii="Times New Roman" w:hAnsi="Times New Roman" w:cs="Times New Roman"/>
          <w:color w:val="000000"/>
          <w:kern w:val="0"/>
          <w:szCs w:val="21"/>
        </w:rPr>
        <w:t xml:space="preserve">] Litzenberger, Robert H., and Krishna Ramaswamy, 1982, The Effects of Dividends on Common Stock Prices: Tax Effects or Information Effects? Discussion, </w:t>
      </w:r>
      <w:r w:rsidRPr="00296162">
        <w:rPr>
          <w:rFonts w:ascii="Times New Roman" w:hAnsi="Times New Roman" w:cs="Times New Roman"/>
          <w:i/>
          <w:iCs/>
          <w:color w:val="000000"/>
          <w:kern w:val="0"/>
          <w:szCs w:val="21"/>
        </w:rPr>
        <w:t>Journal of Finance</w:t>
      </w:r>
      <w:r w:rsidRPr="00296162">
        <w:rPr>
          <w:rFonts w:ascii="Times New Roman" w:hAnsi="Times New Roman" w:cs="Times New Roman"/>
          <w:color w:val="000000"/>
          <w:kern w:val="0"/>
          <w:szCs w:val="21"/>
        </w:rPr>
        <w:t xml:space="preserve"> 37, 429-443.</w:t>
      </w:r>
      <w:bookmarkEnd w:id="37"/>
    </w:p>
    <w:p w14:paraId="66BB18BF" w14:textId="77777777" w:rsidR="00334DB4" w:rsidRPr="00296162" w:rsidRDefault="00334DB4" w:rsidP="00334DB4">
      <w:pPr>
        <w:autoSpaceDE w:val="0"/>
        <w:autoSpaceDN w:val="0"/>
        <w:adjustRightInd w:val="0"/>
        <w:spacing w:line="460" w:lineRule="exact"/>
        <w:rPr>
          <w:rFonts w:ascii="Times New Roman" w:hAnsi="Times New Roman" w:cs="Times New Roman"/>
          <w:color w:val="000000"/>
          <w:kern w:val="0"/>
          <w:szCs w:val="21"/>
        </w:rPr>
      </w:pPr>
      <w:r w:rsidRPr="00296162">
        <w:rPr>
          <w:rFonts w:ascii="Times New Roman" w:hAnsi="Times New Roman" w:cs="Times New Roman"/>
          <w:color w:val="000000"/>
          <w:kern w:val="0"/>
          <w:szCs w:val="21"/>
        </w:rPr>
        <w:t>[5</w:t>
      </w:r>
      <w:r>
        <w:rPr>
          <w:rFonts w:ascii="Times New Roman" w:hAnsi="Times New Roman" w:cs="Times New Roman"/>
          <w:color w:val="000000"/>
          <w:kern w:val="0"/>
          <w:szCs w:val="21"/>
        </w:rPr>
        <w:t>1</w:t>
      </w:r>
      <w:r w:rsidRPr="00296162">
        <w:rPr>
          <w:rFonts w:ascii="Times New Roman" w:hAnsi="Times New Roman" w:cs="Times New Roman"/>
          <w:color w:val="000000"/>
          <w:kern w:val="0"/>
          <w:szCs w:val="21"/>
        </w:rPr>
        <w:t xml:space="preserve">] Liu, Ji Chun, 2006, Stationarity of a Markov-Switching GARCH Model, </w:t>
      </w:r>
      <w:r w:rsidRPr="00296162">
        <w:rPr>
          <w:rFonts w:ascii="Times New Roman" w:hAnsi="Times New Roman" w:cs="Times New Roman"/>
          <w:i/>
          <w:iCs/>
          <w:color w:val="000000"/>
          <w:kern w:val="0"/>
          <w:szCs w:val="21"/>
        </w:rPr>
        <w:t>Journal of Financial Econometrics</w:t>
      </w:r>
      <w:r w:rsidRPr="00296162">
        <w:rPr>
          <w:rFonts w:ascii="Times New Roman" w:hAnsi="Times New Roman" w:cs="Times New Roman"/>
          <w:color w:val="000000"/>
          <w:kern w:val="0"/>
          <w:szCs w:val="21"/>
        </w:rPr>
        <w:t xml:space="preserve"> 4, 573-593.</w:t>
      </w:r>
    </w:p>
    <w:p w14:paraId="32B151AC"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kern w:val="0"/>
          <w:szCs w:val="21"/>
        </w:rPr>
        <w:t>[5</w:t>
      </w:r>
      <w:r>
        <w:rPr>
          <w:rFonts w:ascii="Times New Roman" w:hAnsi="Times New Roman" w:cs="Times New Roman"/>
          <w:kern w:val="0"/>
          <w:szCs w:val="21"/>
        </w:rPr>
        <w:t>2</w:t>
      </w:r>
      <w:r w:rsidRPr="00296162">
        <w:rPr>
          <w:rFonts w:ascii="Times New Roman" w:hAnsi="Times New Roman" w:cs="Times New Roman"/>
          <w:kern w:val="0"/>
          <w:szCs w:val="21"/>
        </w:rPr>
        <w:t>]Messmer, M., Audrino, F,2017, The (adaptive) Lasso in the Zoo - Firm Characteristic Selection in the Cross-Section of Expected Returns.</w:t>
      </w:r>
      <w:r w:rsidRPr="00296162">
        <w:rPr>
          <w:rFonts w:ascii="Times New Roman" w:hAnsi="Times New Roman" w:cs="Times New Roman"/>
          <w:i/>
          <w:iCs/>
          <w:kern w:val="0"/>
          <w:szCs w:val="21"/>
        </w:rPr>
        <w:t xml:space="preserve"> NBER Working Paper</w:t>
      </w:r>
    </w:p>
    <w:p w14:paraId="5796F7BE"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8" w:name="_neb3052E92D_E940_44C1_B1F4_81DFD2ACE495"/>
      <w:r w:rsidRPr="00296162">
        <w:rPr>
          <w:rFonts w:ascii="Times New Roman" w:hAnsi="Times New Roman" w:cs="Times New Roman"/>
          <w:color w:val="000000"/>
          <w:kern w:val="0"/>
          <w:szCs w:val="21"/>
        </w:rPr>
        <w:t>[5</w:t>
      </w:r>
      <w:r>
        <w:rPr>
          <w:rFonts w:ascii="Times New Roman" w:hAnsi="Times New Roman" w:cs="Times New Roman"/>
          <w:color w:val="000000"/>
          <w:kern w:val="0"/>
          <w:szCs w:val="21"/>
        </w:rPr>
        <w:t>3</w:t>
      </w:r>
      <w:r w:rsidRPr="00296162">
        <w:rPr>
          <w:rFonts w:ascii="Times New Roman" w:hAnsi="Times New Roman" w:cs="Times New Roman"/>
          <w:color w:val="000000"/>
          <w:kern w:val="0"/>
          <w:szCs w:val="21"/>
        </w:rPr>
        <w:t xml:space="preserve">] Novy-Marx, Robert, 2013, The other side of value: The gross profitability premium </w:t>
      </w:r>
      <w:r w:rsidRPr="00296162">
        <w:rPr>
          <w:rFonts w:ascii="Segoe UI Symbol" w:eastAsia="宋体" w:hAnsi="Segoe UI Symbol" w:cs="Segoe UI Symbol" w:hint="eastAsia"/>
          <w:color w:val="000000"/>
          <w:kern w:val="0"/>
          <w:szCs w:val="21"/>
        </w:rPr>
        <w:t>☆</w:t>
      </w:r>
      <w:r w:rsidRPr="00296162">
        <w:rPr>
          <w:rFonts w:ascii="Times New Roman" w:hAnsi="Times New Roman" w:cs="Times New Roman"/>
          <w:color w:val="000000"/>
          <w:kern w:val="0"/>
          <w:szCs w:val="21"/>
        </w:rPr>
        <w:t xml:space="preserve">,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108, 1-28.</w:t>
      </w:r>
      <w:bookmarkEnd w:id="38"/>
    </w:p>
    <w:p w14:paraId="55AB2012"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39" w:name="_neb5C5F7484_2702_4AB1_AB93_C2064938D530"/>
      <w:r w:rsidRPr="00296162">
        <w:rPr>
          <w:rFonts w:ascii="Times New Roman" w:hAnsi="Times New Roman" w:cs="Times New Roman"/>
          <w:color w:val="000000"/>
          <w:kern w:val="0"/>
          <w:szCs w:val="21"/>
        </w:rPr>
        <w:t>[5</w:t>
      </w:r>
      <w:r>
        <w:rPr>
          <w:rFonts w:ascii="Times New Roman" w:hAnsi="Times New Roman" w:cs="Times New Roman"/>
          <w:color w:val="000000"/>
          <w:kern w:val="0"/>
          <w:szCs w:val="21"/>
        </w:rPr>
        <w:t>4</w:t>
      </w:r>
      <w:r w:rsidRPr="00296162">
        <w:rPr>
          <w:rFonts w:ascii="Times New Roman" w:hAnsi="Times New Roman" w:cs="Times New Roman"/>
          <w:color w:val="000000"/>
          <w:kern w:val="0"/>
          <w:szCs w:val="21"/>
        </w:rPr>
        <w:t xml:space="preserve">] Ou, Jane A., and Stephen H. Penman, 1989, Financial statement analysis and the prediction of stock returns, </w:t>
      </w:r>
      <w:r w:rsidRPr="00296162">
        <w:rPr>
          <w:rFonts w:ascii="Times New Roman" w:hAnsi="Times New Roman" w:cs="Times New Roman"/>
          <w:i/>
          <w:iCs/>
          <w:color w:val="000000"/>
          <w:kern w:val="0"/>
          <w:szCs w:val="21"/>
        </w:rPr>
        <w:t>Journal of Accounting &amp; Economics</w:t>
      </w:r>
      <w:r w:rsidRPr="00296162">
        <w:rPr>
          <w:rFonts w:ascii="Times New Roman" w:hAnsi="Times New Roman" w:cs="Times New Roman"/>
          <w:color w:val="000000"/>
          <w:kern w:val="0"/>
          <w:szCs w:val="21"/>
        </w:rPr>
        <w:t xml:space="preserve"> 11, 295-329.</w:t>
      </w:r>
      <w:bookmarkEnd w:id="39"/>
    </w:p>
    <w:p w14:paraId="20FA2988"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[5</w:t>
      </w:r>
      <w:r>
        <w:rPr>
          <w:rFonts w:ascii="Times New Roman" w:hAnsi="Times New Roman" w:cs="Times New Roman"/>
          <w:color w:val="000000"/>
          <w:kern w:val="0"/>
          <w:szCs w:val="21"/>
        </w:rPr>
        <w:t>5</w:t>
      </w:r>
      <w:r w:rsidRPr="00296162">
        <w:rPr>
          <w:rFonts w:ascii="Times New Roman" w:hAnsi="Times New Roman" w:cs="Times New Roman"/>
          <w:color w:val="000000"/>
          <w:kern w:val="0"/>
          <w:szCs w:val="21"/>
        </w:rPr>
        <w:t xml:space="preserve">] Palazzo, Berardino, 2012, Cash holdings, risk, and expected returns </w:t>
      </w:r>
      <w:r w:rsidRPr="00296162">
        <w:rPr>
          <w:rFonts w:ascii="Segoe UI Symbol" w:eastAsia="宋体" w:hAnsi="Segoe UI Symbol" w:cs="Segoe UI Symbol" w:hint="eastAsia"/>
          <w:color w:val="000000"/>
          <w:kern w:val="0"/>
          <w:szCs w:val="21"/>
        </w:rPr>
        <w:t>☆</w:t>
      </w:r>
      <w:r w:rsidRPr="00296162">
        <w:rPr>
          <w:rFonts w:ascii="Times New Roman" w:hAnsi="Times New Roman" w:cs="Times New Roman"/>
          <w:color w:val="000000"/>
          <w:kern w:val="0"/>
          <w:szCs w:val="21"/>
        </w:rPr>
        <w:t xml:space="preserve">,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104, 162-185.</w:t>
      </w:r>
    </w:p>
    <w:p w14:paraId="38181BD3"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[5</w:t>
      </w:r>
      <w:r>
        <w:rPr>
          <w:rFonts w:ascii="Times New Roman" w:hAnsi="Times New Roman" w:cs="Times New Roman"/>
          <w:color w:val="000000"/>
          <w:kern w:val="0"/>
          <w:szCs w:val="21"/>
        </w:rPr>
        <w:t>6</w:t>
      </w:r>
      <w:r w:rsidRPr="00296162">
        <w:rPr>
          <w:rFonts w:ascii="Times New Roman" w:hAnsi="Times New Roman" w:cs="Times New Roman"/>
          <w:color w:val="000000"/>
          <w:kern w:val="0"/>
          <w:szCs w:val="21"/>
        </w:rPr>
        <w:t>] Pontiff, Jeffrey, and Artemiza Woodgate, 2008, Share Issuance and Cross</w:t>
      </w:r>
      <w:r w:rsidRPr="00296162">
        <w:rPr>
          <w:rFonts w:ascii="Times New Roman" w:eastAsia="宋体" w:hAnsi="Times New Roman" w:cs="Times New Roman" w:hint="eastAsia"/>
          <w:color w:val="000000"/>
          <w:kern w:val="0"/>
          <w:szCs w:val="21"/>
        </w:rPr>
        <w:t>‐</w:t>
      </w:r>
      <w:r w:rsidRPr="00296162">
        <w:rPr>
          <w:rFonts w:ascii="Times New Roman" w:hAnsi="Times New Roman" w:cs="Times New Roman"/>
          <w:color w:val="000000"/>
          <w:kern w:val="0"/>
          <w:szCs w:val="21"/>
        </w:rPr>
        <w:t xml:space="preserve">sectional Returns, </w:t>
      </w:r>
      <w:r w:rsidRPr="00296162">
        <w:rPr>
          <w:rFonts w:ascii="Times New Roman" w:hAnsi="Times New Roman" w:cs="Times New Roman"/>
          <w:i/>
          <w:iCs/>
          <w:color w:val="000000"/>
          <w:kern w:val="0"/>
          <w:szCs w:val="21"/>
        </w:rPr>
        <w:t>The Journal of Finance</w:t>
      </w:r>
      <w:r w:rsidRPr="00296162">
        <w:rPr>
          <w:rFonts w:ascii="Times New Roman" w:hAnsi="Times New Roman" w:cs="Times New Roman"/>
          <w:color w:val="000000"/>
          <w:kern w:val="0"/>
          <w:szCs w:val="21"/>
        </w:rPr>
        <w:t xml:space="preserve"> 63, 25.</w:t>
      </w:r>
    </w:p>
    <w:p w14:paraId="0FF04A31" w14:textId="77777777" w:rsidR="00334DB4" w:rsidRPr="00296162" w:rsidRDefault="00334DB4" w:rsidP="00334DB4">
      <w:pPr>
        <w:autoSpaceDE w:val="0"/>
        <w:autoSpaceDN w:val="0"/>
        <w:adjustRightInd w:val="0"/>
        <w:spacing w:line="460" w:lineRule="exact"/>
        <w:rPr>
          <w:rFonts w:ascii="Times New Roman" w:hAnsi="Times New Roman" w:cs="Times New Roman"/>
          <w:color w:val="000000"/>
          <w:kern w:val="0"/>
          <w:szCs w:val="21"/>
        </w:rPr>
      </w:pPr>
      <w:bookmarkStart w:id="40" w:name="_nebC55FEAE0_225A_4EB0_8F05_79CE47AD77C3"/>
      <w:r w:rsidRPr="00296162">
        <w:rPr>
          <w:rFonts w:ascii="Times New Roman" w:hAnsi="Times New Roman" w:cs="Times New Roman"/>
          <w:color w:val="000000"/>
          <w:kern w:val="0"/>
          <w:szCs w:val="21"/>
        </w:rPr>
        <w:t>[</w:t>
      </w:r>
      <w:r>
        <w:rPr>
          <w:rFonts w:ascii="Times New Roman" w:hAnsi="Times New Roman" w:cs="Times New Roman"/>
          <w:color w:val="000000"/>
          <w:kern w:val="0"/>
          <w:szCs w:val="21"/>
        </w:rPr>
        <w:t>57</w:t>
      </w:r>
      <w:r w:rsidRPr="00296162">
        <w:rPr>
          <w:rFonts w:ascii="Times New Roman" w:hAnsi="Times New Roman" w:cs="Times New Roman"/>
          <w:color w:val="000000"/>
          <w:kern w:val="0"/>
          <w:szCs w:val="21"/>
        </w:rPr>
        <w:t xml:space="preserve">]Rapach, D.E., Strauss, J.K. , Zhou, G, 2010, Out-of-Sample Equity Premium Prediction: Combination Forecasts and Links to the Real Economy. </w:t>
      </w:r>
      <w:r w:rsidRPr="00296162">
        <w:rPr>
          <w:rFonts w:ascii="Times New Roman" w:hAnsi="Times New Roman" w:cs="Times New Roman"/>
          <w:i/>
          <w:iCs/>
          <w:color w:val="000000"/>
          <w:kern w:val="0"/>
          <w:szCs w:val="21"/>
        </w:rPr>
        <w:t>Review of Financial Studies</w:t>
      </w:r>
      <w:r w:rsidRPr="00296162">
        <w:rPr>
          <w:rFonts w:ascii="Times New Roman" w:hAnsi="Times New Roman" w:cs="Times New Roman"/>
          <w:color w:val="000000"/>
          <w:kern w:val="0"/>
          <w:szCs w:val="21"/>
        </w:rPr>
        <w:t>, 23, 821-862.</w:t>
      </w:r>
    </w:p>
    <w:p w14:paraId="105AF9CB"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w:t>
      </w:r>
      <w:r>
        <w:rPr>
          <w:rFonts w:ascii="Times New Roman" w:hAnsi="Times New Roman" w:cs="Times New Roman"/>
          <w:color w:val="000000"/>
          <w:kern w:val="0"/>
          <w:szCs w:val="21"/>
        </w:rPr>
        <w:t>58</w:t>
      </w:r>
      <w:r w:rsidRPr="00296162">
        <w:rPr>
          <w:rFonts w:ascii="Times New Roman" w:hAnsi="Times New Roman" w:cs="Times New Roman"/>
          <w:color w:val="000000"/>
          <w:kern w:val="0"/>
          <w:szCs w:val="21"/>
        </w:rPr>
        <w:t xml:space="preserve">] Richardson, Scott A., Richard G. Sloan, Mark T. Soliman, and A. Irem Tuna, 2005, Accrual </w:t>
      </w:r>
      <w:r w:rsidRPr="00296162">
        <w:rPr>
          <w:rFonts w:ascii="Times New Roman" w:hAnsi="Times New Roman" w:cs="Times New Roman"/>
          <w:color w:val="000000"/>
          <w:kern w:val="0"/>
          <w:szCs w:val="21"/>
        </w:rPr>
        <w:lastRenderedPageBreak/>
        <w:t xml:space="preserve">Reliability, Earnings Persistence and Stock Prices, </w:t>
      </w:r>
      <w:r w:rsidRPr="00296162">
        <w:rPr>
          <w:rFonts w:ascii="Times New Roman" w:hAnsi="Times New Roman" w:cs="Times New Roman"/>
          <w:i/>
          <w:iCs/>
          <w:color w:val="000000"/>
          <w:kern w:val="0"/>
          <w:szCs w:val="21"/>
        </w:rPr>
        <w:t>Journal of Accounting and Economics</w:t>
      </w:r>
      <w:r w:rsidRPr="00296162">
        <w:rPr>
          <w:rFonts w:ascii="Times New Roman" w:hAnsi="Times New Roman" w:cs="Times New Roman"/>
          <w:color w:val="000000"/>
          <w:kern w:val="0"/>
          <w:szCs w:val="21"/>
        </w:rPr>
        <w:t>.</w:t>
      </w:r>
      <w:bookmarkEnd w:id="40"/>
    </w:p>
    <w:p w14:paraId="0D2D98DF"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w:t>
      </w:r>
      <w:r>
        <w:rPr>
          <w:rFonts w:ascii="Times New Roman" w:hAnsi="Times New Roman" w:cs="Times New Roman"/>
          <w:color w:val="000000"/>
          <w:kern w:val="0"/>
          <w:szCs w:val="21"/>
        </w:rPr>
        <w:t>59</w:t>
      </w:r>
      <w:r w:rsidRPr="00296162">
        <w:rPr>
          <w:rFonts w:ascii="Times New Roman" w:hAnsi="Times New Roman" w:cs="Times New Roman"/>
          <w:color w:val="000000"/>
          <w:kern w:val="0"/>
          <w:szCs w:val="21"/>
        </w:rPr>
        <w:t xml:space="preserve">] Rosenberg, Barr, and Kenneth Reid, and Ronald Lanstein, 1985, Persuasive evidence of market inefficiency, </w:t>
      </w:r>
      <w:r w:rsidRPr="00296162">
        <w:rPr>
          <w:rFonts w:ascii="Times New Roman" w:hAnsi="Times New Roman" w:cs="Times New Roman"/>
          <w:i/>
          <w:iCs/>
          <w:color w:val="000000"/>
          <w:kern w:val="0"/>
          <w:szCs w:val="21"/>
        </w:rPr>
        <w:t>Journal of Portfolio Management</w:t>
      </w:r>
      <w:r w:rsidRPr="00296162">
        <w:rPr>
          <w:rFonts w:ascii="Times New Roman" w:hAnsi="Times New Roman" w:cs="Times New Roman"/>
          <w:color w:val="000000"/>
          <w:kern w:val="0"/>
          <w:szCs w:val="21"/>
        </w:rPr>
        <w:t xml:space="preserve"> 11, 9-16.</w:t>
      </w:r>
    </w:p>
    <w:p w14:paraId="294E585D"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41" w:name="_nebE542FD0A_08FC_4C91_9DD7_F51413585D02"/>
      <w:r w:rsidRPr="00296162">
        <w:rPr>
          <w:rFonts w:ascii="Times New Roman" w:hAnsi="Times New Roman" w:cs="Times New Roman"/>
          <w:color w:val="000000"/>
          <w:kern w:val="0"/>
          <w:szCs w:val="21"/>
        </w:rPr>
        <w:t>[6</w:t>
      </w:r>
      <w:r>
        <w:rPr>
          <w:rFonts w:ascii="Times New Roman" w:hAnsi="Times New Roman" w:cs="Times New Roman"/>
          <w:color w:val="000000"/>
          <w:kern w:val="0"/>
          <w:szCs w:val="21"/>
        </w:rPr>
        <w:t>0</w:t>
      </w:r>
      <w:r w:rsidRPr="00296162">
        <w:rPr>
          <w:rFonts w:ascii="Times New Roman" w:hAnsi="Times New Roman" w:cs="Times New Roman"/>
          <w:color w:val="000000"/>
          <w:kern w:val="0"/>
          <w:szCs w:val="21"/>
        </w:rPr>
        <w:t xml:space="preserve">] Scherbina, Anna, 2010, Suppressed Negative Information and Future Underperformance, </w:t>
      </w:r>
      <w:r w:rsidRPr="00296162">
        <w:rPr>
          <w:rFonts w:ascii="Times New Roman" w:hAnsi="Times New Roman" w:cs="Times New Roman"/>
          <w:i/>
          <w:iCs/>
          <w:color w:val="000000"/>
          <w:kern w:val="0"/>
          <w:szCs w:val="21"/>
        </w:rPr>
        <w:t>Review of Finance</w:t>
      </w:r>
      <w:r w:rsidRPr="00296162">
        <w:rPr>
          <w:rFonts w:ascii="Times New Roman" w:hAnsi="Times New Roman" w:cs="Times New Roman"/>
          <w:color w:val="000000"/>
          <w:kern w:val="0"/>
          <w:szCs w:val="21"/>
        </w:rPr>
        <w:t xml:space="preserve"> 12, 533-565.</w:t>
      </w:r>
      <w:bookmarkEnd w:id="41"/>
    </w:p>
    <w:p w14:paraId="3DA0A7D9"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42" w:name="_nebB22A205E_15C7_4B44_8C7D_15E5EDA2F0C0"/>
      <w:r w:rsidRPr="00296162">
        <w:rPr>
          <w:rFonts w:ascii="Times New Roman" w:hAnsi="Times New Roman" w:cs="Times New Roman"/>
          <w:color w:val="000000"/>
          <w:kern w:val="0"/>
          <w:szCs w:val="21"/>
        </w:rPr>
        <w:t>[6</w:t>
      </w:r>
      <w:r>
        <w:rPr>
          <w:rFonts w:ascii="Times New Roman" w:hAnsi="Times New Roman" w:cs="Times New Roman"/>
          <w:color w:val="000000"/>
          <w:kern w:val="0"/>
          <w:szCs w:val="21"/>
        </w:rPr>
        <w:t>1</w:t>
      </w:r>
      <w:r w:rsidRPr="00296162">
        <w:rPr>
          <w:rFonts w:ascii="Times New Roman" w:hAnsi="Times New Roman" w:cs="Times New Roman"/>
          <w:color w:val="000000"/>
          <w:kern w:val="0"/>
          <w:szCs w:val="21"/>
        </w:rPr>
        <w:t xml:space="preserve">] Sheridan, Titman, and K. C. John Wei, and Feixue Xie, 2004, Capital Investments and Stock Returns, </w:t>
      </w:r>
      <w:r w:rsidRPr="00296162">
        <w:rPr>
          <w:rFonts w:ascii="Times New Roman" w:hAnsi="Times New Roman" w:cs="Times New Roman"/>
          <w:i/>
          <w:iCs/>
          <w:color w:val="000000"/>
          <w:kern w:val="0"/>
          <w:szCs w:val="21"/>
        </w:rPr>
        <w:t>Journal of Financial &amp; Quantitative Analysis</w:t>
      </w:r>
      <w:r w:rsidRPr="00296162">
        <w:rPr>
          <w:rFonts w:ascii="Times New Roman" w:hAnsi="Times New Roman" w:cs="Times New Roman"/>
          <w:color w:val="000000"/>
          <w:kern w:val="0"/>
          <w:szCs w:val="21"/>
        </w:rPr>
        <w:t xml:space="preserve"> 39, 24.</w:t>
      </w:r>
      <w:bookmarkEnd w:id="42"/>
    </w:p>
    <w:p w14:paraId="57541549"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[6</w:t>
      </w:r>
      <w:r>
        <w:rPr>
          <w:rFonts w:ascii="Times New Roman" w:hAnsi="Times New Roman" w:cs="Times New Roman"/>
          <w:color w:val="000000"/>
          <w:kern w:val="0"/>
          <w:szCs w:val="21"/>
        </w:rPr>
        <w:t>2</w:t>
      </w:r>
      <w:r w:rsidRPr="00296162">
        <w:rPr>
          <w:rFonts w:ascii="Times New Roman" w:hAnsi="Times New Roman" w:cs="Times New Roman"/>
          <w:color w:val="000000"/>
          <w:kern w:val="0"/>
          <w:szCs w:val="21"/>
        </w:rPr>
        <w:t xml:space="preserve">] Sloan, Richard G., 1996, Do Stock Prices Fully Reflect Information in Accruals and Cash Flows about Future Earnings? </w:t>
      </w:r>
      <w:r w:rsidRPr="00296162">
        <w:rPr>
          <w:rFonts w:ascii="Times New Roman" w:hAnsi="Times New Roman" w:cs="Times New Roman"/>
          <w:i/>
          <w:iCs/>
          <w:color w:val="000000"/>
          <w:kern w:val="0"/>
          <w:szCs w:val="21"/>
        </w:rPr>
        <w:t>The Accounting Review</w:t>
      </w:r>
      <w:r w:rsidRPr="00296162">
        <w:rPr>
          <w:rFonts w:ascii="Times New Roman" w:hAnsi="Times New Roman" w:cs="Times New Roman"/>
          <w:color w:val="000000"/>
          <w:kern w:val="0"/>
          <w:szCs w:val="21"/>
        </w:rPr>
        <w:t xml:space="preserve"> 71, 289-315.</w:t>
      </w:r>
    </w:p>
    <w:p w14:paraId="4FC1691C"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[6</w:t>
      </w:r>
      <w:r>
        <w:rPr>
          <w:rFonts w:ascii="Times New Roman" w:hAnsi="Times New Roman" w:cs="Times New Roman"/>
          <w:color w:val="000000"/>
          <w:kern w:val="0"/>
          <w:szCs w:val="21"/>
        </w:rPr>
        <w:t>3</w:t>
      </w:r>
      <w:r w:rsidRPr="00296162">
        <w:rPr>
          <w:rFonts w:ascii="Times New Roman" w:hAnsi="Times New Roman" w:cs="Times New Roman"/>
          <w:color w:val="000000"/>
          <w:kern w:val="0"/>
          <w:szCs w:val="21"/>
        </w:rPr>
        <w:t xml:space="preserve">] Soliman, M. T., 2005, Accrual reliability, earnings persistence and stock prices </w:t>
      </w:r>
      <w:r w:rsidRPr="00296162">
        <w:rPr>
          <w:rFonts w:ascii="Segoe UI Symbol" w:eastAsia="宋体" w:hAnsi="Segoe UI Symbol" w:cs="Segoe UI Symbol" w:hint="eastAsia"/>
          <w:color w:val="000000"/>
          <w:kern w:val="0"/>
          <w:szCs w:val="21"/>
        </w:rPr>
        <w:t>☆</w:t>
      </w:r>
      <w:r w:rsidRPr="00296162">
        <w:rPr>
          <w:rFonts w:ascii="Times New Roman" w:hAnsi="Times New Roman" w:cs="Times New Roman"/>
          <w:color w:val="000000"/>
          <w:kern w:val="0"/>
          <w:szCs w:val="21"/>
        </w:rPr>
        <w:t xml:space="preserve">, </w:t>
      </w:r>
      <w:r w:rsidRPr="00296162">
        <w:rPr>
          <w:rFonts w:ascii="Times New Roman" w:hAnsi="Times New Roman" w:cs="Times New Roman"/>
          <w:i/>
          <w:iCs/>
          <w:color w:val="000000"/>
          <w:kern w:val="0"/>
          <w:szCs w:val="21"/>
        </w:rPr>
        <w:t>Journal of Accounting &amp; Economics</w:t>
      </w:r>
      <w:r w:rsidRPr="00296162">
        <w:rPr>
          <w:rFonts w:ascii="Times New Roman" w:hAnsi="Times New Roman" w:cs="Times New Roman"/>
          <w:color w:val="000000"/>
          <w:kern w:val="0"/>
          <w:szCs w:val="21"/>
        </w:rPr>
        <w:t xml:space="preserve"> 39, 437-485.</w:t>
      </w:r>
    </w:p>
    <w:p w14:paraId="49EA3DF9"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[6</w:t>
      </w:r>
      <w:r>
        <w:rPr>
          <w:rFonts w:ascii="Times New Roman" w:hAnsi="Times New Roman" w:cs="Times New Roman"/>
          <w:color w:val="000000"/>
          <w:kern w:val="0"/>
          <w:szCs w:val="21"/>
        </w:rPr>
        <w:t>4</w:t>
      </w:r>
      <w:r w:rsidRPr="00296162">
        <w:rPr>
          <w:rFonts w:ascii="Times New Roman" w:hAnsi="Times New Roman" w:cs="Times New Roman"/>
          <w:color w:val="000000"/>
          <w:kern w:val="0"/>
          <w:szCs w:val="21"/>
        </w:rPr>
        <w:t xml:space="preserve">] Soliman, Mark T., 2008, The Use of DuPont Analysis by Market Participants, </w:t>
      </w:r>
      <w:r w:rsidRPr="00296162">
        <w:rPr>
          <w:rFonts w:ascii="Times New Roman" w:hAnsi="Times New Roman" w:cs="Times New Roman"/>
          <w:i/>
          <w:iCs/>
          <w:color w:val="000000"/>
          <w:kern w:val="0"/>
          <w:szCs w:val="21"/>
        </w:rPr>
        <w:t>The Accounting Review</w:t>
      </w:r>
      <w:r w:rsidRPr="00296162">
        <w:rPr>
          <w:rFonts w:ascii="Times New Roman" w:hAnsi="Times New Roman" w:cs="Times New Roman"/>
          <w:color w:val="000000"/>
          <w:kern w:val="0"/>
          <w:szCs w:val="21"/>
        </w:rPr>
        <w:t xml:space="preserve"> 83, 823-853.</w:t>
      </w:r>
    </w:p>
    <w:p w14:paraId="3A585B64"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[6</w:t>
      </w:r>
      <w:r>
        <w:rPr>
          <w:rFonts w:ascii="Times New Roman" w:hAnsi="Times New Roman" w:cs="Times New Roman"/>
          <w:color w:val="000000"/>
          <w:kern w:val="0"/>
          <w:szCs w:val="21"/>
        </w:rPr>
        <w:t>5</w:t>
      </w:r>
      <w:r w:rsidRPr="00296162">
        <w:rPr>
          <w:rFonts w:ascii="Times New Roman" w:hAnsi="Times New Roman" w:cs="Times New Roman"/>
          <w:color w:val="000000"/>
          <w:kern w:val="0"/>
          <w:szCs w:val="21"/>
        </w:rPr>
        <w:t xml:space="preserve">] Tarun Chordia, Avanidhar Subrahmanyam, and V. Ravi Anshuman, 2001, Trading activity and expected stock returns, </w:t>
      </w:r>
      <w:r w:rsidRPr="00296162">
        <w:rPr>
          <w:rFonts w:ascii="Times New Roman" w:hAnsi="Times New Roman" w:cs="Times New Roman"/>
          <w:i/>
          <w:iCs/>
          <w:color w:val="000000"/>
          <w:kern w:val="0"/>
          <w:szCs w:val="21"/>
        </w:rPr>
        <w:t>Journal of Financial Economics</w:t>
      </w:r>
      <w:r w:rsidRPr="00296162">
        <w:rPr>
          <w:rFonts w:ascii="Times New Roman" w:hAnsi="Times New Roman" w:cs="Times New Roman"/>
          <w:color w:val="000000"/>
          <w:kern w:val="0"/>
          <w:szCs w:val="21"/>
        </w:rPr>
        <w:t xml:space="preserve"> 3, 32.</w:t>
      </w:r>
    </w:p>
    <w:p w14:paraId="6AB6CE50"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r w:rsidRPr="00296162">
        <w:rPr>
          <w:rFonts w:ascii="Times New Roman" w:hAnsi="Times New Roman" w:cs="Times New Roman"/>
          <w:color w:val="000000"/>
          <w:kern w:val="0"/>
          <w:szCs w:val="21"/>
        </w:rPr>
        <w:t>[6</w:t>
      </w:r>
      <w:r>
        <w:rPr>
          <w:rFonts w:ascii="Times New Roman" w:hAnsi="Times New Roman" w:cs="Times New Roman"/>
          <w:color w:val="000000"/>
          <w:kern w:val="0"/>
          <w:szCs w:val="21"/>
        </w:rPr>
        <w:t>6</w:t>
      </w:r>
      <w:r w:rsidRPr="00296162">
        <w:rPr>
          <w:rFonts w:ascii="Times New Roman" w:hAnsi="Times New Roman" w:cs="Times New Roman"/>
          <w:color w:val="000000"/>
          <w:kern w:val="0"/>
          <w:szCs w:val="21"/>
        </w:rPr>
        <w:t xml:space="preserve">] Thomas, Jacob K., and Huai Zhang, 2002, Inventory Changes and Future Returns, </w:t>
      </w:r>
      <w:r w:rsidRPr="00296162">
        <w:rPr>
          <w:rFonts w:ascii="Times New Roman" w:hAnsi="Times New Roman" w:cs="Times New Roman"/>
          <w:i/>
          <w:iCs/>
          <w:color w:val="000000"/>
          <w:kern w:val="0"/>
          <w:szCs w:val="21"/>
        </w:rPr>
        <w:t>Review of Accounting Studies</w:t>
      </w:r>
      <w:r w:rsidRPr="00296162">
        <w:rPr>
          <w:rFonts w:ascii="Times New Roman" w:hAnsi="Times New Roman" w:cs="Times New Roman"/>
          <w:color w:val="000000"/>
          <w:kern w:val="0"/>
          <w:szCs w:val="21"/>
        </w:rPr>
        <w:t xml:space="preserve"> 7, 163-187.</w:t>
      </w:r>
    </w:p>
    <w:p w14:paraId="0215BBBE" w14:textId="77777777" w:rsidR="00334DB4" w:rsidRPr="00296162" w:rsidRDefault="00334DB4" w:rsidP="00334DB4">
      <w:pPr>
        <w:autoSpaceDE w:val="0"/>
        <w:autoSpaceDN w:val="0"/>
        <w:adjustRightInd w:val="0"/>
        <w:spacing w:line="460" w:lineRule="exact"/>
        <w:rPr>
          <w:rFonts w:ascii="Times New Roman" w:hAnsi="Times New Roman" w:cs="Times New Roman"/>
          <w:kern w:val="0"/>
          <w:szCs w:val="21"/>
        </w:rPr>
      </w:pPr>
      <w:bookmarkStart w:id="43" w:name="_nebFE32F27C_767E_4166_92A8_0687EF516133"/>
      <w:r w:rsidRPr="00296162">
        <w:rPr>
          <w:rFonts w:ascii="Times New Roman" w:hAnsi="Times New Roman" w:cs="Times New Roman"/>
          <w:color w:val="000000"/>
          <w:kern w:val="0"/>
          <w:szCs w:val="21"/>
        </w:rPr>
        <w:t>[</w:t>
      </w:r>
      <w:r>
        <w:rPr>
          <w:rFonts w:ascii="Times New Roman" w:hAnsi="Times New Roman" w:cs="Times New Roman"/>
          <w:color w:val="000000"/>
          <w:kern w:val="0"/>
          <w:szCs w:val="21"/>
        </w:rPr>
        <w:t>67</w:t>
      </w:r>
      <w:r w:rsidRPr="00296162">
        <w:rPr>
          <w:rFonts w:ascii="Times New Roman" w:hAnsi="Times New Roman" w:cs="Times New Roman"/>
          <w:color w:val="000000"/>
          <w:kern w:val="0"/>
          <w:szCs w:val="21"/>
        </w:rPr>
        <w:t xml:space="preserve">] Thomas, Jacob, and Frank X. Zhang, 2011, Tax Expense Momentum, </w:t>
      </w:r>
      <w:r w:rsidRPr="00296162">
        <w:rPr>
          <w:rFonts w:ascii="Times New Roman" w:hAnsi="Times New Roman" w:cs="Times New Roman"/>
          <w:i/>
          <w:iCs/>
          <w:color w:val="000000"/>
          <w:kern w:val="0"/>
          <w:szCs w:val="21"/>
        </w:rPr>
        <w:t>Journal of Accounting Research</w:t>
      </w:r>
      <w:r w:rsidRPr="00296162">
        <w:rPr>
          <w:rFonts w:ascii="Times New Roman" w:hAnsi="Times New Roman" w:cs="Times New Roman"/>
          <w:color w:val="000000"/>
          <w:kern w:val="0"/>
          <w:szCs w:val="21"/>
        </w:rPr>
        <w:t xml:space="preserve"> 49, 791</w:t>
      </w:r>
      <w:r w:rsidRPr="00296162">
        <w:rPr>
          <w:rFonts w:ascii="Times New Roman" w:eastAsia="宋体" w:hAnsi="Times New Roman" w:cs="Times New Roman"/>
          <w:color w:val="000000"/>
          <w:kern w:val="0"/>
          <w:szCs w:val="21"/>
        </w:rPr>
        <w:t>-8</w:t>
      </w:r>
      <w:r w:rsidRPr="00296162">
        <w:rPr>
          <w:rFonts w:ascii="Times New Roman" w:hAnsi="Times New Roman" w:cs="Times New Roman"/>
          <w:color w:val="000000"/>
          <w:kern w:val="0"/>
          <w:szCs w:val="21"/>
        </w:rPr>
        <w:t>21.</w:t>
      </w:r>
      <w:bookmarkEnd w:id="43"/>
    </w:p>
    <w:p w14:paraId="16D011FC" w14:textId="77777777" w:rsidR="00334DB4" w:rsidRPr="00296162" w:rsidRDefault="00334DB4" w:rsidP="00334DB4">
      <w:pPr>
        <w:spacing w:line="460" w:lineRule="exact"/>
        <w:rPr>
          <w:rFonts w:ascii="Times New Roman" w:hAnsi="Times New Roman" w:cs="Times New Roman"/>
          <w:color w:val="000000"/>
          <w:kern w:val="0"/>
          <w:szCs w:val="21"/>
        </w:rPr>
      </w:pPr>
      <w:r w:rsidRPr="00296162">
        <w:rPr>
          <w:rFonts w:ascii="Times New Roman" w:hAnsi="Times New Roman" w:cs="Times New Roman"/>
          <w:color w:val="000000"/>
          <w:kern w:val="0"/>
          <w:szCs w:val="21"/>
        </w:rPr>
        <w:t>[</w:t>
      </w:r>
      <w:r>
        <w:rPr>
          <w:rFonts w:ascii="Times New Roman" w:hAnsi="Times New Roman" w:cs="Times New Roman"/>
          <w:color w:val="000000"/>
          <w:kern w:val="0"/>
          <w:szCs w:val="21"/>
        </w:rPr>
        <w:t>68</w:t>
      </w:r>
      <w:r w:rsidRPr="00296162">
        <w:rPr>
          <w:rFonts w:ascii="Times New Roman" w:hAnsi="Times New Roman" w:cs="Times New Roman"/>
          <w:color w:val="000000"/>
          <w:kern w:val="0"/>
          <w:szCs w:val="21"/>
        </w:rPr>
        <w:t xml:space="preserve">] Tuzel, Selale, 2010, Corporate Real Estate Holdings and the Cross-Section of Stock Returns, </w:t>
      </w:r>
      <w:r w:rsidRPr="00296162">
        <w:rPr>
          <w:rFonts w:ascii="Times New Roman" w:hAnsi="Times New Roman" w:cs="Times New Roman"/>
          <w:i/>
          <w:iCs/>
          <w:color w:val="000000"/>
          <w:kern w:val="0"/>
          <w:szCs w:val="21"/>
        </w:rPr>
        <w:t>Review of Financial Studies</w:t>
      </w:r>
      <w:r w:rsidRPr="00296162">
        <w:rPr>
          <w:rFonts w:ascii="Times New Roman" w:hAnsi="Times New Roman" w:cs="Times New Roman"/>
          <w:color w:val="000000"/>
          <w:kern w:val="0"/>
          <w:szCs w:val="21"/>
        </w:rPr>
        <w:t xml:space="preserve"> 23, 2268-2302</w:t>
      </w:r>
    </w:p>
    <w:p w14:paraId="474EBF99" w14:textId="77777777" w:rsidR="00334DB4" w:rsidRPr="00296162" w:rsidRDefault="00334DB4" w:rsidP="00334DB4">
      <w:pPr>
        <w:spacing w:line="460" w:lineRule="exact"/>
        <w:rPr>
          <w:rFonts w:ascii="Times New Roman" w:hAnsi="Times New Roman" w:cs="Times New Roman"/>
          <w:color w:val="000000"/>
          <w:kern w:val="0"/>
          <w:szCs w:val="21"/>
        </w:rPr>
      </w:pPr>
      <w:r w:rsidRPr="00296162">
        <w:rPr>
          <w:rFonts w:ascii="Times New Roman" w:hAnsi="Times New Roman" w:cs="Times New Roman"/>
          <w:color w:val="000000"/>
          <w:kern w:val="0"/>
          <w:szCs w:val="21"/>
        </w:rPr>
        <w:t>[</w:t>
      </w:r>
      <w:r>
        <w:rPr>
          <w:rFonts w:ascii="Times New Roman" w:hAnsi="Times New Roman" w:cs="Times New Roman"/>
          <w:color w:val="000000"/>
          <w:kern w:val="0"/>
          <w:szCs w:val="21"/>
        </w:rPr>
        <w:t>69</w:t>
      </w:r>
      <w:r w:rsidRPr="00296162">
        <w:rPr>
          <w:rFonts w:ascii="Times New Roman" w:hAnsi="Times New Roman" w:cs="Times New Roman"/>
          <w:color w:val="000000"/>
          <w:kern w:val="0"/>
          <w:szCs w:val="21"/>
        </w:rPr>
        <w:t xml:space="preserve">]Wu, X., Kumar, V., Quinlan, J.R., Ghosh, J., et al, 2008, Top 10 algorithms in data mining. </w:t>
      </w:r>
      <w:r w:rsidRPr="00296162">
        <w:rPr>
          <w:rFonts w:ascii="Times New Roman" w:hAnsi="Times New Roman" w:cs="Times New Roman"/>
          <w:i/>
          <w:iCs/>
          <w:color w:val="000000"/>
          <w:kern w:val="0"/>
          <w:szCs w:val="21"/>
        </w:rPr>
        <w:t>Knowledge and Information Systems</w:t>
      </w:r>
      <w:r w:rsidRPr="00296162">
        <w:rPr>
          <w:rFonts w:ascii="Times New Roman" w:hAnsi="Times New Roman" w:cs="Times New Roman"/>
          <w:color w:val="000000"/>
          <w:kern w:val="0"/>
          <w:szCs w:val="21"/>
        </w:rPr>
        <w:t xml:space="preserve"> 14, 1-37.</w:t>
      </w:r>
    </w:p>
    <w:p w14:paraId="5C1559EF" w14:textId="30DBEFE8" w:rsidR="002010D1" w:rsidRPr="00DD3167" w:rsidRDefault="002010D1"/>
    <w:sectPr w:rsidR="002010D1" w:rsidRPr="00DD3167" w:rsidSect="00296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A358C" w14:textId="77777777" w:rsidR="00E40C9D" w:rsidRDefault="00E40C9D" w:rsidP="00DD3167">
      <w:r>
        <w:separator/>
      </w:r>
    </w:p>
  </w:endnote>
  <w:endnote w:type="continuationSeparator" w:id="0">
    <w:p w14:paraId="777B2583" w14:textId="77777777" w:rsidR="00E40C9D" w:rsidRDefault="00E40C9D" w:rsidP="00DD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imes-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6393E" w14:textId="77777777" w:rsidR="00E40C9D" w:rsidRDefault="00E40C9D" w:rsidP="00DD3167">
      <w:r>
        <w:separator/>
      </w:r>
    </w:p>
  </w:footnote>
  <w:footnote w:type="continuationSeparator" w:id="0">
    <w:p w14:paraId="011810A8" w14:textId="77777777" w:rsidR="00E40C9D" w:rsidRDefault="00E40C9D" w:rsidP="00DD3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360C70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8D3A81"/>
    <w:multiLevelType w:val="hybridMultilevel"/>
    <w:tmpl w:val="8D2668BE"/>
    <w:lvl w:ilvl="0" w:tplc="CA5A84C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844007"/>
    <w:multiLevelType w:val="hybridMultilevel"/>
    <w:tmpl w:val="58A4F1A2"/>
    <w:lvl w:ilvl="0" w:tplc="9E243F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851917"/>
    <w:multiLevelType w:val="hybridMultilevel"/>
    <w:tmpl w:val="9AAAE8A6"/>
    <w:lvl w:ilvl="0" w:tplc="5C0C93C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BE2135"/>
    <w:multiLevelType w:val="hybridMultilevel"/>
    <w:tmpl w:val="42620F10"/>
    <w:lvl w:ilvl="0" w:tplc="3EDA7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1E6307"/>
    <w:multiLevelType w:val="multilevel"/>
    <w:tmpl w:val="847E708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08277C"/>
    <w:multiLevelType w:val="hybridMultilevel"/>
    <w:tmpl w:val="0456C9A6"/>
    <w:lvl w:ilvl="0" w:tplc="B29C7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3F6A8D"/>
    <w:multiLevelType w:val="hybridMultilevel"/>
    <w:tmpl w:val="48AC5E6E"/>
    <w:lvl w:ilvl="0" w:tplc="9A60C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8D291B"/>
    <w:multiLevelType w:val="multilevel"/>
    <w:tmpl w:val="36CA3E08"/>
    <w:lvl w:ilvl="0">
      <w:start w:val="5"/>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CBD2745"/>
    <w:multiLevelType w:val="multilevel"/>
    <w:tmpl w:val="914A44C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3C398A"/>
    <w:multiLevelType w:val="hybridMultilevel"/>
    <w:tmpl w:val="2B9A1A0A"/>
    <w:lvl w:ilvl="0" w:tplc="6D0E2546">
      <w:start w:val="1"/>
      <w:numFmt w:val="decimalEnclosedCircle"/>
      <w:lvlText w:val="%1"/>
      <w:lvlJc w:val="left"/>
      <w:pPr>
        <w:ind w:left="6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BC4853"/>
    <w:multiLevelType w:val="hybridMultilevel"/>
    <w:tmpl w:val="C5503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9E1A22"/>
    <w:multiLevelType w:val="hybridMultilevel"/>
    <w:tmpl w:val="58A4F1A2"/>
    <w:lvl w:ilvl="0" w:tplc="9E243F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04538DB"/>
    <w:multiLevelType w:val="multilevel"/>
    <w:tmpl w:val="EE5AB05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D3466F"/>
    <w:multiLevelType w:val="hybridMultilevel"/>
    <w:tmpl w:val="71786B9A"/>
    <w:lvl w:ilvl="0" w:tplc="1418649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E50AB7"/>
    <w:multiLevelType w:val="multilevel"/>
    <w:tmpl w:val="B06C9EE8"/>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80" w:hanging="48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2CA2994"/>
    <w:multiLevelType w:val="hybridMultilevel"/>
    <w:tmpl w:val="9BB86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EE5418"/>
    <w:multiLevelType w:val="hybridMultilevel"/>
    <w:tmpl w:val="513E132A"/>
    <w:lvl w:ilvl="0" w:tplc="95B48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F04313"/>
    <w:multiLevelType w:val="hybridMultilevel"/>
    <w:tmpl w:val="8214CD56"/>
    <w:lvl w:ilvl="0" w:tplc="60B69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FE31AB"/>
    <w:multiLevelType w:val="hybridMultilevel"/>
    <w:tmpl w:val="15A4B92E"/>
    <w:lvl w:ilvl="0" w:tplc="08388B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CA5589"/>
    <w:multiLevelType w:val="hybridMultilevel"/>
    <w:tmpl w:val="F30CA5C6"/>
    <w:lvl w:ilvl="0" w:tplc="A6D495E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8995E20"/>
    <w:multiLevelType w:val="multilevel"/>
    <w:tmpl w:val="76AC499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9B203A4"/>
    <w:multiLevelType w:val="multilevel"/>
    <w:tmpl w:val="D0387E2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7B2BD5"/>
    <w:multiLevelType w:val="multilevel"/>
    <w:tmpl w:val="659C7C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F066E5F"/>
    <w:multiLevelType w:val="hybridMultilevel"/>
    <w:tmpl w:val="216A4F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212524"/>
    <w:multiLevelType w:val="hybridMultilevel"/>
    <w:tmpl w:val="55AE7856"/>
    <w:lvl w:ilvl="0" w:tplc="6D0E254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5B0635CA"/>
    <w:multiLevelType w:val="hybridMultilevel"/>
    <w:tmpl w:val="A3127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7F4810"/>
    <w:multiLevelType w:val="hybridMultilevel"/>
    <w:tmpl w:val="142C35F4"/>
    <w:lvl w:ilvl="0" w:tplc="B024F33E">
      <w:start w:val="1"/>
      <w:numFmt w:val="decimal"/>
      <w:lvlText w:val="%1."/>
      <w:lvlJc w:val="left"/>
      <w:pPr>
        <w:ind w:left="360" w:hanging="360"/>
      </w:pPr>
      <w:rPr>
        <w:rFonts w:hint="default"/>
      </w:rPr>
    </w:lvl>
    <w:lvl w:ilvl="1" w:tplc="612C35C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F54B4C"/>
    <w:multiLevelType w:val="multilevel"/>
    <w:tmpl w:val="CCD0BF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1F5DFC"/>
    <w:multiLevelType w:val="hybridMultilevel"/>
    <w:tmpl w:val="71786B9A"/>
    <w:lvl w:ilvl="0" w:tplc="14186490">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C327C7"/>
    <w:multiLevelType w:val="hybridMultilevel"/>
    <w:tmpl w:val="51D244A4"/>
    <w:lvl w:ilvl="0" w:tplc="A31626F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AE82094"/>
    <w:multiLevelType w:val="hybridMultilevel"/>
    <w:tmpl w:val="0D96936C"/>
    <w:lvl w:ilvl="0" w:tplc="24985640">
      <w:start w:val="1"/>
      <w:numFmt w:val="decimal"/>
      <w:lvlText w:val="%1."/>
      <w:lvlJc w:val="left"/>
      <w:pPr>
        <w:ind w:left="420" w:hanging="4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DC250DE"/>
    <w:multiLevelType w:val="hybridMultilevel"/>
    <w:tmpl w:val="F1283C84"/>
    <w:lvl w:ilvl="0" w:tplc="A9F0013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302981"/>
    <w:multiLevelType w:val="hybridMultilevel"/>
    <w:tmpl w:val="27C65842"/>
    <w:lvl w:ilvl="0" w:tplc="92B6FA20">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15"/>
  </w:num>
  <w:num w:numId="3">
    <w:abstractNumId w:val="28"/>
  </w:num>
  <w:num w:numId="4">
    <w:abstractNumId w:val="23"/>
  </w:num>
  <w:num w:numId="5">
    <w:abstractNumId w:val="22"/>
  </w:num>
  <w:num w:numId="6">
    <w:abstractNumId w:val="9"/>
  </w:num>
  <w:num w:numId="7">
    <w:abstractNumId w:val="13"/>
  </w:num>
  <w:num w:numId="8">
    <w:abstractNumId w:val="5"/>
  </w:num>
  <w:num w:numId="9">
    <w:abstractNumId w:val="21"/>
  </w:num>
  <w:num w:numId="10">
    <w:abstractNumId w:val="1"/>
  </w:num>
  <w:num w:numId="11">
    <w:abstractNumId w:val="19"/>
  </w:num>
  <w:num w:numId="12">
    <w:abstractNumId w:val="25"/>
  </w:num>
  <w:num w:numId="13">
    <w:abstractNumId w:val="10"/>
  </w:num>
  <w:num w:numId="14">
    <w:abstractNumId w:val="30"/>
  </w:num>
  <w:num w:numId="15">
    <w:abstractNumId w:val="17"/>
  </w:num>
  <w:num w:numId="16">
    <w:abstractNumId w:val="1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0"/>
  </w:num>
  <w:num w:numId="19">
    <w:abstractNumId w:val="4"/>
  </w:num>
  <w:num w:numId="20">
    <w:abstractNumId w:val="18"/>
  </w:num>
  <w:num w:numId="21">
    <w:abstractNumId w:val="7"/>
  </w:num>
  <w:num w:numId="22">
    <w:abstractNumId w:val="12"/>
  </w:num>
  <w:num w:numId="23">
    <w:abstractNumId w:val="2"/>
  </w:num>
  <w:num w:numId="24">
    <w:abstractNumId w:val="33"/>
  </w:num>
  <w:num w:numId="25">
    <w:abstractNumId w:val="3"/>
  </w:num>
  <w:num w:numId="26">
    <w:abstractNumId w:val="6"/>
  </w:num>
  <w:num w:numId="27">
    <w:abstractNumId w:val="32"/>
  </w:num>
  <w:num w:numId="28">
    <w:abstractNumId w:val="31"/>
  </w:num>
  <w:num w:numId="29">
    <w:abstractNumId w:val="11"/>
  </w:num>
  <w:num w:numId="30">
    <w:abstractNumId w:val="26"/>
  </w:num>
  <w:num w:numId="31">
    <w:abstractNumId w:val="24"/>
  </w:num>
  <w:num w:numId="32">
    <w:abstractNumId w:val="16"/>
  </w:num>
  <w:num w:numId="33">
    <w:abstractNumId w:val="29"/>
  </w:num>
  <w:num w:numId="34">
    <w:abstractNumId w:val="1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B1"/>
    <w:rsid w:val="001221E0"/>
    <w:rsid w:val="002010D1"/>
    <w:rsid w:val="00272FB1"/>
    <w:rsid w:val="00334DB4"/>
    <w:rsid w:val="004E1BF0"/>
    <w:rsid w:val="006B6A50"/>
    <w:rsid w:val="0091240F"/>
    <w:rsid w:val="00937128"/>
    <w:rsid w:val="00DD3167"/>
    <w:rsid w:val="00E4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B643"/>
  <w15:chartTrackingRefBased/>
  <w15:docId w15:val="{487F7256-2048-493A-A45B-1D3F8D77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D3167"/>
    <w:pPr>
      <w:widowControl w:val="0"/>
      <w:jc w:val="both"/>
    </w:pPr>
  </w:style>
  <w:style w:type="paragraph" w:styleId="1">
    <w:name w:val="heading 1"/>
    <w:basedOn w:val="a0"/>
    <w:next w:val="a0"/>
    <w:link w:val="10"/>
    <w:uiPriority w:val="9"/>
    <w:qFormat/>
    <w:rsid w:val="00DD3167"/>
    <w:pPr>
      <w:keepNext/>
      <w:keepLines/>
      <w:jc w:val="center"/>
      <w:outlineLvl w:val="0"/>
    </w:pPr>
    <w:rPr>
      <w:rFonts w:eastAsia="仿宋"/>
      <w:b/>
      <w:bCs/>
      <w:kern w:val="44"/>
      <w:sz w:val="28"/>
      <w:szCs w:val="44"/>
    </w:rPr>
  </w:style>
  <w:style w:type="paragraph" w:styleId="2">
    <w:name w:val="heading 2"/>
    <w:basedOn w:val="a0"/>
    <w:next w:val="a0"/>
    <w:link w:val="20"/>
    <w:uiPriority w:val="9"/>
    <w:unhideWhenUsed/>
    <w:qFormat/>
    <w:rsid w:val="00DD3167"/>
    <w:pPr>
      <w:keepNext/>
      <w:keepLines/>
      <w:ind w:leftChars="200" w:left="200"/>
      <w:jc w:val="left"/>
      <w:outlineLvl w:val="1"/>
    </w:pPr>
    <w:rPr>
      <w:rFonts w:ascii="Times New Roman" w:eastAsia="黑体" w:hAnsi="Times New Roman" w:cstheme="majorBidi"/>
      <w:b/>
      <w:bCs/>
      <w:szCs w:val="32"/>
    </w:rPr>
  </w:style>
  <w:style w:type="paragraph" w:styleId="3">
    <w:name w:val="heading 3"/>
    <w:basedOn w:val="a0"/>
    <w:next w:val="a0"/>
    <w:link w:val="30"/>
    <w:uiPriority w:val="9"/>
    <w:unhideWhenUsed/>
    <w:qFormat/>
    <w:rsid w:val="00DD3167"/>
    <w:pPr>
      <w:keepNext/>
      <w:keepLines/>
      <w:spacing w:before="260" w:after="260"/>
      <w:ind w:leftChars="200" w:left="200"/>
      <w:outlineLvl w:val="2"/>
    </w:pPr>
    <w:rPr>
      <w:rFonts w:ascii="Times New Roman" w:eastAsia="宋体" w:hAnsi="Times New Roman"/>
      <w:b/>
      <w:bCs/>
      <w:szCs w:val="32"/>
    </w:rPr>
  </w:style>
  <w:style w:type="paragraph" w:styleId="4">
    <w:name w:val="heading 4"/>
    <w:basedOn w:val="a0"/>
    <w:next w:val="a0"/>
    <w:link w:val="40"/>
    <w:uiPriority w:val="9"/>
    <w:unhideWhenUsed/>
    <w:qFormat/>
    <w:rsid w:val="00DD31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D31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D3167"/>
    <w:rPr>
      <w:sz w:val="18"/>
      <w:szCs w:val="18"/>
    </w:rPr>
  </w:style>
  <w:style w:type="paragraph" w:styleId="a6">
    <w:name w:val="footer"/>
    <w:basedOn w:val="a0"/>
    <w:link w:val="a7"/>
    <w:uiPriority w:val="99"/>
    <w:unhideWhenUsed/>
    <w:rsid w:val="00DD3167"/>
    <w:pPr>
      <w:tabs>
        <w:tab w:val="center" w:pos="4153"/>
        <w:tab w:val="right" w:pos="8306"/>
      </w:tabs>
      <w:snapToGrid w:val="0"/>
      <w:jc w:val="left"/>
    </w:pPr>
    <w:rPr>
      <w:sz w:val="18"/>
      <w:szCs w:val="18"/>
    </w:rPr>
  </w:style>
  <w:style w:type="character" w:customStyle="1" w:styleId="a7">
    <w:name w:val="页脚 字符"/>
    <w:basedOn w:val="a1"/>
    <w:link w:val="a6"/>
    <w:uiPriority w:val="99"/>
    <w:rsid w:val="00DD3167"/>
    <w:rPr>
      <w:sz w:val="18"/>
      <w:szCs w:val="18"/>
    </w:rPr>
  </w:style>
  <w:style w:type="character" w:customStyle="1" w:styleId="10">
    <w:name w:val="标题 1 字符"/>
    <w:basedOn w:val="a1"/>
    <w:link w:val="1"/>
    <w:uiPriority w:val="9"/>
    <w:rsid w:val="00DD3167"/>
    <w:rPr>
      <w:rFonts w:eastAsia="仿宋"/>
      <w:b/>
      <w:bCs/>
      <w:kern w:val="44"/>
      <w:sz w:val="28"/>
      <w:szCs w:val="44"/>
    </w:rPr>
  </w:style>
  <w:style w:type="character" w:customStyle="1" w:styleId="20">
    <w:name w:val="标题 2 字符"/>
    <w:basedOn w:val="a1"/>
    <w:link w:val="2"/>
    <w:uiPriority w:val="9"/>
    <w:rsid w:val="00DD3167"/>
    <w:rPr>
      <w:rFonts w:ascii="Times New Roman" w:eastAsia="黑体" w:hAnsi="Times New Roman" w:cstheme="majorBidi"/>
      <w:b/>
      <w:bCs/>
      <w:szCs w:val="32"/>
    </w:rPr>
  </w:style>
  <w:style w:type="character" w:customStyle="1" w:styleId="30">
    <w:name w:val="标题 3 字符"/>
    <w:basedOn w:val="a1"/>
    <w:link w:val="3"/>
    <w:uiPriority w:val="9"/>
    <w:rsid w:val="00DD3167"/>
    <w:rPr>
      <w:rFonts w:ascii="Times New Roman" w:eastAsia="宋体" w:hAnsi="Times New Roman"/>
      <w:b/>
      <w:bCs/>
      <w:szCs w:val="32"/>
    </w:rPr>
  </w:style>
  <w:style w:type="character" w:customStyle="1" w:styleId="40">
    <w:name w:val="标题 4 字符"/>
    <w:basedOn w:val="a1"/>
    <w:link w:val="4"/>
    <w:uiPriority w:val="9"/>
    <w:rsid w:val="00DD3167"/>
    <w:rPr>
      <w:rFonts w:asciiTheme="majorHAnsi" w:eastAsiaTheme="majorEastAsia" w:hAnsiTheme="majorHAnsi" w:cstheme="majorBidi"/>
      <w:b/>
      <w:bCs/>
      <w:sz w:val="28"/>
      <w:szCs w:val="28"/>
    </w:rPr>
  </w:style>
  <w:style w:type="character" w:styleId="a8">
    <w:name w:val="annotation reference"/>
    <w:basedOn w:val="a1"/>
    <w:uiPriority w:val="99"/>
    <w:semiHidden/>
    <w:unhideWhenUsed/>
    <w:rsid w:val="00DD3167"/>
    <w:rPr>
      <w:sz w:val="21"/>
      <w:szCs w:val="21"/>
    </w:rPr>
  </w:style>
  <w:style w:type="paragraph" w:styleId="a9">
    <w:name w:val="annotation text"/>
    <w:basedOn w:val="a0"/>
    <w:link w:val="aa"/>
    <w:uiPriority w:val="99"/>
    <w:unhideWhenUsed/>
    <w:rsid w:val="00DD3167"/>
    <w:pPr>
      <w:jc w:val="left"/>
    </w:pPr>
  </w:style>
  <w:style w:type="character" w:customStyle="1" w:styleId="aa">
    <w:name w:val="批注文字 字符"/>
    <w:basedOn w:val="a1"/>
    <w:link w:val="a9"/>
    <w:uiPriority w:val="99"/>
    <w:rsid w:val="00DD3167"/>
  </w:style>
  <w:style w:type="paragraph" w:styleId="ab">
    <w:name w:val="Balloon Text"/>
    <w:basedOn w:val="a0"/>
    <w:link w:val="ac"/>
    <w:uiPriority w:val="99"/>
    <w:semiHidden/>
    <w:unhideWhenUsed/>
    <w:rsid w:val="00DD3167"/>
    <w:rPr>
      <w:sz w:val="18"/>
      <w:szCs w:val="18"/>
    </w:rPr>
  </w:style>
  <w:style w:type="character" w:customStyle="1" w:styleId="ac">
    <w:name w:val="批注框文本 字符"/>
    <w:basedOn w:val="a1"/>
    <w:link w:val="ab"/>
    <w:uiPriority w:val="99"/>
    <w:semiHidden/>
    <w:rsid w:val="00DD3167"/>
    <w:rPr>
      <w:sz w:val="18"/>
      <w:szCs w:val="18"/>
    </w:rPr>
  </w:style>
  <w:style w:type="paragraph" w:styleId="ad">
    <w:name w:val="List Paragraph"/>
    <w:basedOn w:val="a0"/>
    <w:uiPriority w:val="34"/>
    <w:qFormat/>
    <w:rsid w:val="00DD3167"/>
    <w:pPr>
      <w:ind w:firstLineChars="200" w:firstLine="420"/>
    </w:pPr>
  </w:style>
  <w:style w:type="character" w:styleId="ae">
    <w:name w:val="Placeholder Text"/>
    <w:basedOn w:val="a1"/>
    <w:uiPriority w:val="99"/>
    <w:semiHidden/>
    <w:rsid w:val="00DD3167"/>
    <w:rPr>
      <w:color w:val="808080"/>
    </w:rPr>
  </w:style>
  <w:style w:type="paragraph" w:styleId="af">
    <w:name w:val="Date"/>
    <w:basedOn w:val="a0"/>
    <w:next w:val="a0"/>
    <w:link w:val="af0"/>
    <w:uiPriority w:val="99"/>
    <w:semiHidden/>
    <w:unhideWhenUsed/>
    <w:rsid w:val="00DD3167"/>
    <w:pPr>
      <w:ind w:leftChars="2500" w:left="100"/>
    </w:pPr>
  </w:style>
  <w:style w:type="character" w:customStyle="1" w:styleId="af0">
    <w:name w:val="日期 字符"/>
    <w:basedOn w:val="a1"/>
    <w:link w:val="af"/>
    <w:uiPriority w:val="99"/>
    <w:semiHidden/>
    <w:rsid w:val="00DD3167"/>
  </w:style>
  <w:style w:type="paragraph" w:styleId="af1">
    <w:name w:val="annotation subject"/>
    <w:basedOn w:val="a9"/>
    <w:next w:val="a9"/>
    <w:link w:val="af2"/>
    <w:uiPriority w:val="99"/>
    <w:semiHidden/>
    <w:unhideWhenUsed/>
    <w:rsid w:val="00DD3167"/>
    <w:rPr>
      <w:b/>
      <w:bCs/>
    </w:rPr>
  </w:style>
  <w:style w:type="character" w:customStyle="1" w:styleId="af2">
    <w:name w:val="批注主题 字符"/>
    <w:basedOn w:val="aa"/>
    <w:link w:val="af1"/>
    <w:uiPriority w:val="99"/>
    <w:semiHidden/>
    <w:rsid w:val="00DD3167"/>
    <w:rPr>
      <w:b/>
      <w:bCs/>
    </w:rPr>
  </w:style>
  <w:style w:type="paragraph" w:styleId="af3">
    <w:name w:val="footnote text"/>
    <w:basedOn w:val="a0"/>
    <w:link w:val="af4"/>
    <w:uiPriority w:val="99"/>
    <w:unhideWhenUsed/>
    <w:rsid w:val="00DD3167"/>
    <w:pPr>
      <w:snapToGrid w:val="0"/>
      <w:jc w:val="left"/>
    </w:pPr>
    <w:rPr>
      <w:sz w:val="18"/>
      <w:szCs w:val="18"/>
    </w:rPr>
  </w:style>
  <w:style w:type="character" w:customStyle="1" w:styleId="af4">
    <w:name w:val="脚注文本 字符"/>
    <w:basedOn w:val="a1"/>
    <w:link w:val="af3"/>
    <w:uiPriority w:val="99"/>
    <w:rsid w:val="00DD3167"/>
    <w:rPr>
      <w:sz w:val="18"/>
      <w:szCs w:val="18"/>
    </w:rPr>
  </w:style>
  <w:style w:type="character" w:styleId="af5">
    <w:name w:val="footnote reference"/>
    <w:basedOn w:val="a1"/>
    <w:uiPriority w:val="99"/>
    <w:semiHidden/>
    <w:unhideWhenUsed/>
    <w:rsid w:val="00DD3167"/>
    <w:rPr>
      <w:vertAlign w:val="superscript"/>
    </w:rPr>
  </w:style>
  <w:style w:type="character" w:styleId="af6">
    <w:name w:val="Hyperlink"/>
    <w:basedOn w:val="a1"/>
    <w:uiPriority w:val="99"/>
    <w:unhideWhenUsed/>
    <w:rsid w:val="00DD3167"/>
    <w:rPr>
      <w:color w:val="0563C1" w:themeColor="hyperlink"/>
      <w:u w:val="single"/>
    </w:rPr>
  </w:style>
  <w:style w:type="character" w:styleId="af7">
    <w:name w:val="Unresolved Mention"/>
    <w:basedOn w:val="a1"/>
    <w:uiPriority w:val="99"/>
    <w:semiHidden/>
    <w:unhideWhenUsed/>
    <w:rsid w:val="00DD3167"/>
    <w:rPr>
      <w:color w:val="605E5C"/>
      <w:shd w:val="clear" w:color="auto" w:fill="E1DFDD"/>
    </w:rPr>
  </w:style>
  <w:style w:type="paragraph" w:styleId="af8">
    <w:name w:val="Bibliography"/>
    <w:basedOn w:val="a0"/>
    <w:next w:val="a0"/>
    <w:uiPriority w:val="37"/>
    <w:unhideWhenUsed/>
    <w:rsid w:val="00DD3167"/>
    <w:pPr>
      <w:spacing w:line="480" w:lineRule="auto"/>
      <w:ind w:left="720" w:hanging="720"/>
    </w:pPr>
  </w:style>
  <w:style w:type="character" w:styleId="af9">
    <w:name w:val="line number"/>
    <w:basedOn w:val="a1"/>
    <w:uiPriority w:val="99"/>
    <w:semiHidden/>
    <w:unhideWhenUsed/>
    <w:rsid w:val="00DD3167"/>
  </w:style>
  <w:style w:type="paragraph" w:styleId="afa">
    <w:name w:val="caption"/>
    <w:basedOn w:val="a0"/>
    <w:next w:val="a0"/>
    <w:uiPriority w:val="35"/>
    <w:unhideWhenUsed/>
    <w:qFormat/>
    <w:rsid w:val="00DD3167"/>
    <w:rPr>
      <w:rFonts w:asciiTheme="majorHAnsi" w:eastAsia="黑体" w:hAnsiTheme="majorHAnsi" w:cstheme="majorBidi"/>
      <w:sz w:val="20"/>
      <w:szCs w:val="20"/>
    </w:rPr>
  </w:style>
  <w:style w:type="table" w:styleId="afb">
    <w:name w:val="Table Grid"/>
    <w:basedOn w:val="a2"/>
    <w:uiPriority w:val="39"/>
    <w:rsid w:val="00DD3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Revision"/>
    <w:hidden/>
    <w:uiPriority w:val="99"/>
    <w:semiHidden/>
    <w:rsid w:val="00DD3167"/>
  </w:style>
  <w:style w:type="paragraph" w:styleId="TOC">
    <w:name w:val="TOC Heading"/>
    <w:basedOn w:val="1"/>
    <w:next w:val="a0"/>
    <w:uiPriority w:val="39"/>
    <w:unhideWhenUsed/>
    <w:qFormat/>
    <w:rsid w:val="00DD316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DD3167"/>
    <w:pPr>
      <w:tabs>
        <w:tab w:val="right" w:leader="dot" w:pos="8296"/>
      </w:tabs>
      <w:spacing w:beforeLines="50" w:before="156" w:afterLines="50" w:after="156"/>
    </w:pPr>
    <w:rPr>
      <w:rFonts w:ascii="Times New Roman" w:eastAsia="宋体" w:hAnsi="Times New Roman" w:cs="Times New Roman"/>
      <w:b/>
      <w:bCs/>
      <w:noProof/>
      <w:sz w:val="24"/>
      <w:szCs w:val="24"/>
    </w:rPr>
  </w:style>
  <w:style w:type="paragraph" w:styleId="TOC2">
    <w:name w:val="toc 2"/>
    <w:basedOn w:val="a0"/>
    <w:next w:val="a0"/>
    <w:autoRedefine/>
    <w:uiPriority w:val="39"/>
    <w:unhideWhenUsed/>
    <w:rsid w:val="00DD3167"/>
    <w:pPr>
      <w:ind w:leftChars="200" w:left="420"/>
    </w:pPr>
  </w:style>
  <w:style w:type="paragraph" w:customStyle="1" w:styleId="msonormal0">
    <w:name w:val="msonormal"/>
    <w:basedOn w:val="a0"/>
    <w:rsid w:val="00DD3167"/>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0"/>
    <w:rsid w:val="00DD3167"/>
    <w:pPr>
      <w:widowControl/>
      <w:spacing w:before="100" w:beforeAutospacing="1" w:after="100" w:afterAutospacing="1"/>
      <w:jc w:val="left"/>
    </w:pPr>
    <w:rPr>
      <w:rFonts w:ascii="等线" w:eastAsia="等线" w:hAnsi="等线" w:cs="宋体"/>
      <w:kern w:val="0"/>
      <w:sz w:val="18"/>
      <w:szCs w:val="18"/>
    </w:rPr>
  </w:style>
  <w:style w:type="paragraph" w:customStyle="1" w:styleId="xl67">
    <w:name w:val="xl67"/>
    <w:basedOn w:val="a0"/>
    <w:rsid w:val="00DD3167"/>
    <w:pPr>
      <w:widowControl/>
      <w:spacing w:before="100" w:beforeAutospacing="1" w:after="100" w:afterAutospacing="1"/>
      <w:jc w:val="center"/>
    </w:pPr>
    <w:rPr>
      <w:rFonts w:ascii="宋体" w:eastAsia="宋体" w:hAnsi="宋体" w:cs="宋体"/>
      <w:b/>
      <w:bCs/>
      <w:kern w:val="0"/>
      <w:sz w:val="24"/>
      <w:szCs w:val="24"/>
    </w:rPr>
  </w:style>
  <w:style w:type="paragraph" w:customStyle="1" w:styleId="xl68">
    <w:name w:val="xl68"/>
    <w:basedOn w:val="a0"/>
    <w:rsid w:val="00DD3167"/>
    <w:pPr>
      <w:widowControl/>
      <w:spacing w:before="100" w:beforeAutospacing="1" w:after="100" w:afterAutospacing="1"/>
      <w:jc w:val="center"/>
    </w:pPr>
    <w:rPr>
      <w:rFonts w:ascii="宋体" w:eastAsia="宋体" w:hAnsi="宋体" w:cs="宋体"/>
      <w:b/>
      <w:bCs/>
      <w:kern w:val="0"/>
      <w:sz w:val="24"/>
      <w:szCs w:val="24"/>
    </w:rPr>
  </w:style>
  <w:style w:type="paragraph" w:customStyle="1" w:styleId="xl69">
    <w:name w:val="xl69"/>
    <w:basedOn w:val="a0"/>
    <w:rsid w:val="00DD3167"/>
    <w:pPr>
      <w:widowControl/>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0"/>
    <w:rsid w:val="00DD3167"/>
    <w:pPr>
      <w:widowControl/>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0"/>
    <w:rsid w:val="00DD3167"/>
    <w:pPr>
      <w:widowControl/>
      <w:spacing w:before="100" w:beforeAutospacing="1" w:after="100" w:afterAutospacing="1"/>
      <w:jc w:val="left"/>
    </w:pPr>
    <w:rPr>
      <w:rFonts w:ascii="宋体" w:eastAsia="宋体" w:hAnsi="宋体" w:cs="宋体"/>
      <w:b/>
      <w:bCs/>
      <w:kern w:val="0"/>
      <w:sz w:val="24"/>
      <w:szCs w:val="24"/>
    </w:rPr>
  </w:style>
  <w:style w:type="paragraph" w:customStyle="1" w:styleId="xl72">
    <w:name w:val="xl72"/>
    <w:basedOn w:val="a0"/>
    <w:rsid w:val="00DD3167"/>
    <w:pPr>
      <w:widowControl/>
      <w:spacing w:before="100" w:beforeAutospacing="1" w:after="100" w:afterAutospacing="1"/>
      <w:jc w:val="center"/>
    </w:pPr>
    <w:rPr>
      <w:rFonts w:ascii="宋体" w:eastAsia="宋体" w:hAnsi="宋体" w:cs="宋体"/>
      <w:kern w:val="0"/>
      <w:sz w:val="24"/>
      <w:szCs w:val="24"/>
    </w:rPr>
  </w:style>
  <w:style w:type="paragraph" w:customStyle="1" w:styleId="xl73">
    <w:name w:val="xl73"/>
    <w:basedOn w:val="a0"/>
    <w:rsid w:val="00DD3167"/>
    <w:pPr>
      <w:widowControl/>
      <w:spacing w:before="100" w:beforeAutospacing="1" w:after="100" w:afterAutospacing="1"/>
      <w:jc w:val="center"/>
    </w:pPr>
    <w:rPr>
      <w:rFonts w:ascii="宋体" w:eastAsia="宋体" w:hAnsi="宋体" w:cs="宋体"/>
      <w:b/>
      <w:bCs/>
      <w:kern w:val="0"/>
      <w:sz w:val="24"/>
      <w:szCs w:val="24"/>
    </w:rPr>
  </w:style>
  <w:style w:type="paragraph" w:customStyle="1" w:styleId="xl74">
    <w:name w:val="xl74"/>
    <w:basedOn w:val="a0"/>
    <w:rsid w:val="00DD3167"/>
    <w:pPr>
      <w:widowControl/>
      <w:spacing w:before="100" w:beforeAutospacing="1" w:after="100" w:afterAutospacing="1"/>
      <w:jc w:val="left"/>
    </w:pPr>
    <w:rPr>
      <w:rFonts w:ascii="宋体" w:eastAsia="宋体" w:hAnsi="宋体" w:cs="宋体"/>
      <w:b/>
      <w:bCs/>
      <w:kern w:val="0"/>
      <w:sz w:val="24"/>
      <w:szCs w:val="24"/>
    </w:rPr>
  </w:style>
  <w:style w:type="paragraph" w:customStyle="1" w:styleId="xl75">
    <w:name w:val="xl75"/>
    <w:basedOn w:val="a0"/>
    <w:rsid w:val="00DD3167"/>
    <w:pPr>
      <w:widowControl/>
      <w:spacing w:before="100" w:beforeAutospacing="1" w:after="100" w:afterAutospacing="1"/>
      <w:jc w:val="left"/>
    </w:pPr>
    <w:rPr>
      <w:rFonts w:ascii="宋体" w:eastAsia="宋体" w:hAnsi="宋体" w:cs="宋体"/>
      <w:b/>
      <w:bCs/>
      <w:kern w:val="0"/>
      <w:sz w:val="24"/>
      <w:szCs w:val="24"/>
    </w:rPr>
  </w:style>
  <w:style w:type="paragraph" w:customStyle="1" w:styleId="Default">
    <w:name w:val="Default"/>
    <w:rsid w:val="00DD3167"/>
    <w:pPr>
      <w:widowControl w:val="0"/>
      <w:autoSpaceDE w:val="0"/>
      <w:autoSpaceDN w:val="0"/>
      <w:adjustRightInd w:val="0"/>
    </w:pPr>
    <w:rPr>
      <w:rFonts w:ascii="宋体" w:eastAsia="宋体" w:cs="宋体"/>
      <w:color w:val="000000"/>
      <w:kern w:val="0"/>
      <w:sz w:val="24"/>
      <w:szCs w:val="24"/>
    </w:rPr>
  </w:style>
  <w:style w:type="paragraph" w:styleId="a">
    <w:name w:val="List Bullet"/>
    <w:basedOn w:val="a0"/>
    <w:uiPriority w:val="99"/>
    <w:unhideWhenUsed/>
    <w:rsid w:val="00DD3167"/>
    <w:pPr>
      <w:numPr>
        <w:numId w:val="35"/>
      </w:numPr>
      <w:contextualSpacing/>
    </w:pPr>
  </w:style>
  <w:style w:type="paragraph" w:styleId="TOC3">
    <w:name w:val="toc 3"/>
    <w:basedOn w:val="a0"/>
    <w:next w:val="a0"/>
    <w:autoRedefine/>
    <w:uiPriority w:val="39"/>
    <w:unhideWhenUsed/>
    <w:rsid w:val="00DD3167"/>
    <w:pPr>
      <w:ind w:leftChars="400" w:left="840"/>
    </w:pPr>
  </w:style>
  <w:style w:type="paragraph" w:styleId="afd">
    <w:name w:val="Normal (Web)"/>
    <w:basedOn w:val="a0"/>
    <w:uiPriority w:val="99"/>
    <w:unhideWhenUsed/>
    <w:rsid w:val="00DD31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6213</Words>
  <Characters>35420</Characters>
  <Application>Microsoft Office Word</Application>
  <DocSecurity>0</DocSecurity>
  <Lines>295</Lines>
  <Paragraphs>83</Paragraphs>
  <ScaleCrop>false</ScaleCrop>
  <Company/>
  <LinksUpToDate>false</LinksUpToDate>
  <CharactersWithSpaces>41550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新月 邵</dc:creator>
  <cp:keywords/>
  <dc:description/>
  <cp:lastModifiedBy>新月 邵</cp:lastModifiedBy>
  <cp:revision>4</cp:revision>
  <dcterms:created xsi:type="dcterms:W3CDTF">2019-08-05T15:02:00Z</dcterms:created>
  <dcterms:modified xsi:type="dcterms:W3CDTF">2019-08-07T01:20:00Z</dcterms:modified>
</cp:coreProperties>
</file>