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Ideation Phase - Empathize &amp; Discover</w:t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Empathy Map Canvas - LegalEase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5400"/>
        <w:gridCol w:w="5400"/>
      </w:tblGrid>
      <w:tr>
        <w:tc>
          <w:tcPr>
            <w:tcW w:type="dxa" w:w="2520"/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6912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02/10/2026</w:t>
            </w:r>
          </w:p>
        </w:tc>
      </w:tr>
      <w:tr>
        <w:tc>
          <w:tcPr>
            <w:tcW w:type="dxa" w:w="2520"/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6912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SWTID-2026-9699</w:t>
            </w:r>
          </w:p>
        </w:tc>
      </w:tr>
      <w:tr>
        <w:tc>
          <w:tcPr>
            <w:tcW w:type="dxa" w:w="2520"/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6912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LegalEase AI</w:t>
            </w:r>
          </w:p>
        </w:tc>
      </w:tr>
      <w:tr>
        <w:tc>
          <w:tcPr>
            <w:tcW w:type="dxa" w:w="2520"/>
            <w:shd w:fill="D9E2F3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6912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 Marks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4046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_only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467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