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CUSTOMER JOURNEY MAP</w:t>
      </w:r>
    </w:p>
    <w:p>
      <w:pPr>
        <w:jc w:val="center"/>
      </w:pPr>
      <w:r>
        <w:rPr>
          <w:b/>
          <w:sz w:val="22"/>
        </w:rPr>
        <w:t>LegalEase – AI-Powered Legal Document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pPr>
              <w:spacing w:after="20"/>
            </w:pPr>
            <w:r>
              <w:rPr>
                <w:b/>
                <w:color w:val="1F4E79"/>
                <w:sz w:val="16"/>
              </w:rPr>
              <w:t>Team ID</w:t>
            </w:r>
          </w:p>
        </w:tc>
        <w:tc>
          <w:tcPr>
            <w:tcW w:type="dxa" w:w="7848"/>
          </w:tcPr>
          <w:p>
            <w:pPr>
              <w:spacing w:after="20"/>
            </w:pPr>
            <w:r>
              <w:rPr>
                <w:sz w:val="16"/>
              </w:rPr>
              <w:t>SWTID-2026-9699</w:t>
            </w:r>
          </w:p>
        </w:tc>
      </w:tr>
      <w:tr>
        <w:tc>
          <w:tcPr>
            <w:tcW w:type="dxa" w:w="7848"/>
          </w:tcPr>
          <w:p>
            <w:pPr>
              <w:spacing w:after="20"/>
            </w:pPr>
            <w:r>
              <w:rPr>
                <w:b/>
                <w:color w:val="1F4E79"/>
                <w:sz w:val="16"/>
              </w:rPr>
              <w:t>Scenario</w:t>
            </w:r>
          </w:p>
        </w:tc>
        <w:tc>
          <w:tcPr>
            <w:tcW w:type="dxa" w:w="7848"/>
          </w:tcPr>
          <w:p>
            <w:pPr>
              <w:spacing w:after="20"/>
            </w:pPr>
            <w:r>
              <w:rPr>
                <w:sz w:val="16"/>
              </w:rPr>
              <w:t>Creating, reviewing, and downloading an AI-assisted legal document draft</w:t>
            </w:r>
          </w:p>
        </w:tc>
      </w:tr>
    </w:tbl>
    <w:p/>
    <w:p>
      <w:pPr>
        <w:spacing w:after="80"/>
      </w:pPr>
      <w:r>
        <w:rPr>
          <w:b/>
        </w:rPr>
        <w:t xml:space="preserve">Persona / context: </w:t>
      </w:r>
      <w:r>
        <w:t>A person, freelancer, or small-business user who needs an initial agreement draft and has the information to enter into LegalEase. The journey below describes the intended workflow, not findings from customer interviews.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  <w:gridCol w:w="2616"/>
        <w:gridCol w:w="2616"/>
      </w:tblGrid>
      <w:tr>
        <w:tc>
          <w:tcPr>
            <w:tcW w:type="dxa" w:w="2088"/>
            <w:shd w:fill="1F4E79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Journey dimension</w:t>
            </w:r>
          </w:p>
        </w:tc>
        <w:tc>
          <w:tcPr>
            <w:tcW w:type="dxa" w:w="2765"/>
            <w:shd w:fill="4472C4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ENTICE</w:t>
              <w:br/>
              <w:t>Become aware</w:t>
            </w:r>
          </w:p>
        </w:tc>
        <w:tc>
          <w:tcPr>
            <w:tcW w:type="dxa" w:w="2765"/>
            <w:shd w:fill="4472C4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ENTER</w:t>
              <w:br/>
              <w:t>Start</w:t>
            </w:r>
          </w:p>
        </w:tc>
        <w:tc>
          <w:tcPr>
            <w:tcW w:type="dxa" w:w="2765"/>
            <w:shd w:fill="4472C4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ENGAGE</w:t>
              <w:br/>
              <w:t>Create draft</w:t>
            </w:r>
          </w:p>
        </w:tc>
        <w:tc>
          <w:tcPr>
            <w:tcW w:type="dxa" w:w="2765"/>
            <w:shd w:fill="4472C4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EXIT</w:t>
              <w:br/>
              <w:t>Download</w:t>
            </w:r>
          </w:p>
        </w:tc>
        <w:tc>
          <w:tcPr>
            <w:tcW w:type="dxa" w:w="2765"/>
            <w:shd w:fill="4472C4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EXTEND</w:t>
              <w:br/>
              <w:t>After use</w:t>
            </w:r>
          </w:p>
        </w:tc>
      </w:tr>
      <w:tr>
        <w:tc>
          <w:tcPr>
            <w:tcW w:type="dxa" w:w="2088"/>
            <w:vAlign w:val="top"/>
            <w:shd w:fill="DCEAF7"/>
          </w:tcPr>
          <w:p>
            <w:pPr>
              <w:spacing w:after="20" w:line="240" w:lineRule="auto"/>
            </w:pPr>
            <w:r>
              <w:rPr>
                <w:b/>
                <w:color w:val="1F4E79"/>
                <w:sz w:val="14"/>
              </w:rPr>
              <w:t>Steps</w:t>
            </w:r>
          </w:p>
        </w:tc>
        <w:tc>
          <w:tcPr>
            <w:tcW w:type="dxa" w:w="2765"/>
            <w:vAlign w:val="top"/>
            <w:shd w:fill="DCEAF7"/>
          </w:tcPr>
          <w:p>
            <w:pPr>
              <w:spacing w:after="20" w:line="240" w:lineRule="auto"/>
            </w:pPr>
            <w:r>
              <w:rPr>
                <w:sz w:val="14"/>
              </w:rPr>
              <w:t>Learns about LegalEase and its purpose.</w:t>
            </w:r>
          </w:p>
        </w:tc>
        <w:tc>
          <w:tcPr>
            <w:tcW w:type="dxa" w:w="2765"/>
            <w:vAlign w:val="top"/>
            <w:shd w:fill="DCEAF7"/>
          </w:tcPr>
          <w:p>
            <w:pPr>
              <w:spacing w:after="20" w:line="240" w:lineRule="auto"/>
            </w:pPr>
            <w:r>
              <w:rPr>
                <w:sz w:val="14"/>
              </w:rPr>
              <w:t>Opens the LegalEase web app and reviews the legal-use notice.</w:t>
            </w:r>
          </w:p>
        </w:tc>
        <w:tc>
          <w:tcPr>
            <w:tcW w:type="dxa" w:w="2765"/>
            <w:vAlign w:val="top"/>
            <w:shd w:fill="DCEAF7"/>
          </w:tcPr>
          <w:p>
            <w:pPr>
              <w:spacing w:after="20" w:line="240" w:lineRule="auto"/>
            </w:pPr>
            <w:r>
              <w:rPr>
                <w:sz w:val="14"/>
              </w:rPr>
              <w:t>Selects a document type and enters parties, terms, and optional date/brand; clicks Generate.</w:t>
            </w:r>
          </w:p>
        </w:tc>
        <w:tc>
          <w:tcPr>
            <w:tcW w:type="dxa" w:w="2765"/>
            <w:vAlign w:val="top"/>
            <w:shd w:fill="DCEAF7"/>
          </w:tcPr>
          <w:p>
            <w:pPr>
              <w:spacing w:after="20" w:line="240" w:lineRule="auto"/>
            </w:pPr>
            <w:r>
              <w:rPr>
                <w:sz w:val="14"/>
              </w:rPr>
              <w:t>Reviews the generated draft and downloads TXT, DOCX, or PDF.</w:t>
            </w:r>
          </w:p>
        </w:tc>
        <w:tc>
          <w:tcPr>
            <w:tcW w:type="dxa" w:w="2765"/>
            <w:vAlign w:val="top"/>
            <w:shd w:fill="DCEAF7"/>
          </w:tcPr>
          <w:p>
            <w:pPr>
              <w:spacing w:after="20" w:line="240" w:lineRule="auto"/>
            </w:pPr>
            <w:r>
              <w:rPr>
                <w:sz w:val="14"/>
              </w:rPr>
              <w:t>Opens, edits, shares, or prints the downloaded draft and seeks professional review before use.</w:t>
            </w:r>
          </w:p>
        </w:tc>
      </w:tr>
      <w:tr>
        <w:tc>
          <w:tcPr>
            <w:tcW w:type="dxa" w:w="2088"/>
            <w:vAlign w:val="top"/>
            <w:shd w:fill="DDEBF7"/>
          </w:tcPr>
          <w:p>
            <w:pPr>
              <w:spacing w:after="20" w:line="240" w:lineRule="auto"/>
            </w:pPr>
            <w:r>
              <w:rPr>
                <w:b/>
                <w:color w:val="1F4E79"/>
                <w:sz w:val="14"/>
              </w:rPr>
              <w:t>Interactions / touchpoints</w:t>
            </w:r>
          </w:p>
        </w:tc>
        <w:tc>
          <w:tcPr>
            <w:tcW w:type="dxa" w:w="2765"/>
            <w:vAlign w:val="top"/>
            <w:shd w:fill="DDEBF7"/>
          </w:tcPr>
          <w:p>
            <w:pPr>
              <w:spacing w:after="20" w:line="240" w:lineRule="auto"/>
            </w:pPr>
            <w:r>
              <w:rPr>
                <w:sz w:val="14"/>
              </w:rPr>
              <w:t>Project page, shared app link, or demonstration.</w:t>
            </w:r>
          </w:p>
        </w:tc>
        <w:tc>
          <w:tcPr>
            <w:tcW w:type="dxa" w:w="2765"/>
            <w:vAlign w:val="top"/>
            <w:shd w:fill="DDEBF7"/>
          </w:tcPr>
          <w:p>
            <w:pPr>
              <w:spacing w:after="20" w:line="240" w:lineRule="auto"/>
            </w:pPr>
            <w:r>
              <w:rPr>
                <w:sz w:val="14"/>
              </w:rPr>
              <w:t>Streamlit interface; introductory warning and document form.</w:t>
            </w:r>
          </w:p>
        </w:tc>
        <w:tc>
          <w:tcPr>
            <w:tcW w:type="dxa" w:w="2765"/>
            <w:vAlign w:val="top"/>
            <w:shd w:fill="DDEBF7"/>
          </w:tcPr>
          <w:p>
            <w:pPr>
              <w:spacing w:after="20" w:line="240" w:lineRule="auto"/>
            </w:pPr>
            <w:r>
              <w:rPr>
                <w:sz w:val="14"/>
              </w:rPr>
              <w:t>Document-type selector, text fields, Generate button, Gemini-backed generation.</w:t>
            </w:r>
          </w:p>
        </w:tc>
        <w:tc>
          <w:tcPr>
            <w:tcW w:type="dxa" w:w="2765"/>
            <w:vAlign w:val="top"/>
            <w:shd w:fill="DDEBF7"/>
          </w:tcPr>
          <w:p>
            <w:pPr>
              <w:spacing w:after="20" w:line="240" w:lineRule="auto"/>
            </w:pPr>
            <w:r>
              <w:rPr>
                <w:sz w:val="14"/>
              </w:rPr>
              <w:t>Generated-document preview and download buttons.</w:t>
            </w:r>
          </w:p>
        </w:tc>
        <w:tc>
          <w:tcPr>
            <w:tcW w:type="dxa" w:w="2765"/>
            <w:vAlign w:val="top"/>
            <w:shd w:fill="DDEBF7"/>
          </w:tcPr>
          <w:p>
            <w:pPr>
              <w:spacing w:after="20" w:line="240" w:lineRule="auto"/>
            </w:pPr>
            <w:r>
              <w:rPr>
                <w:sz w:val="14"/>
              </w:rPr>
              <w:t>Downloaded file in a document viewer/editor; discussion with the other party or legal professional.</w:t>
            </w:r>
          </w:p>
        </w:tc>
      </w:tr>
      <w:tr>
        <w:tc>
          <w:tcPr>
            <w:tcW w:type="dxa" w:w="2088"/>
            <w:vAlign w:val="top"/>
            <w:shd w:fill="E2F0D9"/>
          </w:tcPr>
          <w:p>
            <w:pPr>
              <w:spacing w:after="20" w:line="240" w:lineRule="auto"/>
            </w:pPr>
            <w:r>
              <w:rPr>
                <w:b/>
                <w:color w:val="1F4E79"/>
                <w:sz w:val="14"/>
              </w:rPr>
              <w:t>Goals &amp; motivations</w:t>
            </w:r>
          </w:p>
        </w:tc>
        <w:tc>
          <w:tcPr>
            <w:tcW w:type="dxa" w:w="2765"/>
            <w:vAlign w:val="top"/>
            <w:shd w:fill="E2F0D9"/>
          </w:tcPr>
          <w:p>
            <w:pPr>
              <w:spacing w:after="20" w:line="240" w:lineRule="auto"/>
            </w:pPr>
            <w:r>
              <w:rPr>
                <w:sz w:val="14"/>
              </w:rPr>
              <w:t>Help me understand what the tool can do.</w:t>
            </w:r>
          </w:p>
        </w:tc>
        <w:tc>
          <w:tcPr>
            <w:tcW w:type="dxa" w:w="2765"/>
            <w:vAlign w:val="top"/>
            <w:shd w:fill="E2F0D9"/>
          </w:tcPr>
          <w:p>
            <w:pPr>
              <w:spacing w:after="20" w:line="240" w:lineRule="auto"/>
            </w:pPr>
            <w:r>
              <w:rPr>
                <w:sz w:val="14"/>
              </w:rPr>
              <w:t>Help me start creating a document without searching for a blank template.</w:t>
            </w:r>
          </w:p>
        </w:tc>
        <w:tc>
          <w:tcPr>
            <w:tcW w:type="dxa" w:w="2765"/>
            <w:vAlign w:val="top"/>
            <w:shd w:fill="E2F0D9"/>
          </w:tcPr>
          <w:p>
            <w:pPr>
              <w:spacing w:after="20" w:line="240" w:lineRule="auto"/>
            </w:pPr>
            <w:r>
              <w:rPr>
                <w:sz w:val="14"/>
              </w:rPr>
              <w:t>Help me turn my details into a structured first draft.</w:t>
            </w:r>
          </w:p>
        </w:tc>
        <w:tc>
          <w:tcPr>
            <w:tcW w:type="dxa" w:w="2765"/>
            <w:vAlign w:val="top"/>
            <w:shd w:fill="E2F0D9"/>
          </w:tcPr>
          <w:p>
            <w:pPr>
              <w:spacing w:after="20" w:line="240" w:lineRule="auto"/>
            </w:pPr>
            <w:r>
              <w:rPr>
                <w:sz w:val="14"/>
              </w:rPr>
              <w:t>Help me inspect the draft and save it in a usable format.</w:t>
            </w:r>
          </w:p>
        </w:tc>
        <w:tc>
          <w:tcPr>
            <w:tcW w:type="dxa" w:w="2765"/>
            <w:vAlign w:val="top"/>
            <w:shd w:fill="E2F0D9"/>
          </w:tcPr>
          <w:p>
            <w:pPr>
              <w:spacing w:after="20" w:line="240" w:lineRule="auto"/>
            </w:pPr>
            <w:r>
              <w:rPr>
                <w:sz w:val="14"/>
              </w:rPr>
              <w:t>Help me refine the draft and make an informed decision about using it.</w:t>
            </w:r>
          </w:p>
        </w:tc>
      </w:tr>
      <w:tr>
        <w:tc>
          <w:tcPr>
            <w:tcW w:type="dxa" w:w="2088"/>
            <w:vAlign w:val="top"/>
            <w:shd w:fill="E4DFEC"/>
          </w:tcPr>
          <w:p>
            <w:pPr>
              <w:spacing w:after="20" w:line="240" w:lineRule="auto"/>
            </w:pPr>
            <w:r>
              <w:rPr>
                <w:b/>
                <w:color w:val="1F4E79"/>
                <w:sz w:val="14"/>
              </w:rPr>
              <w:t>Positive moments</w:t>
            </w:r>
          </w:p>
        </w:tc>
        <w:tc>
          <w:tcPr>
            <w:tcW w:type="dxa" w:w="2765"/>
            <w:vAlign w:val="top"/>
            <w:shd w:fill="E4DFEC"/>
          </w:tcPr>
          <w:p>
            <w:pPr>
              <w:spacing w:after="20" w:line="240" w:lineRule="auto"/>
            </w:pPr>
            <w:r>
              <w:rPr>
                <w:sz w:val="14"/>
              </w:rPr>
              <w:t>A clear description may make the tool easy to understand.</w:t>
            </w:r>
          </w:p>
        </w:tc>
        <w:tc>
          <w:tcPr>
            <w:tcW w:type="dxa" w:w="2765"/>
            <w:vAlign w:val="top"/>
            <w:shd w:fill="E4DFEC"/>
          </w:tcPr>
          <w:p>
            <w:pPr>
              <w:spacing w:after="20" w:line="240" w:lineRule="auto"/>
            </w:pPr>
            <w:r>
              <w:rPr>
                <w:sz w:val="14"/>
              </w:rPr>
              <w:t>A single interface provides the supported document types and required fields.</w:t>
            </w:r>
          </w:p>
        </w:tc>
        <w:tc>
          <w:tcPr>
            <w:tcW w:type="dxa" w:w="2765"/>
            <w:vAlign w:val="top"/>
            <w:shd w:fill="E4DFEC"/>
          </w:tcPr>
          <w:p>
            <w:pPr>
              <w:spacing w:after="20" w:line="240" w:lineRule="auto"/>
            </w:pPr>
            <w:r>
              <w:rPr>
                <w:sz w:val="14"/>
              </w:rPr>
              <w:t>A generated draft can reduce the effort of starting from scratch.</w:t>
            </w:r>
          </w:p>
        </w:tc>
        <w:tc>
          <w:tcPr>
            <w:tcW w:type="dxa" w:w="2765"/>
            <w:vAlign w:val="top"/>
            <w:shd w:fill="E4DFEC"/>
          </w:tcPr>
          <w:p>
            <w:pPr>
              <w:spacing w:after="20" w:line="240" w:lineRule="auto"/>
            </w:pPr>
            <w:r>
              <w:rPr>
                <w:sz w:val="14"/>
              </w:rPr>
              <w:t>Preview and multiple download formats support review and further editing.</w:t>
            </w:r>
          </w:p>
        </w:tc>
        <w:tc>
          <w:tcPr>
            <w:tcW w:type="dxa" w:w="2765"/>
            <w:vAlign w:val="top"/>
            <w:shd w:fill="E4DFEC"/>
          </w:tcPr>
          <w:p>
            <w:pPr>
              <w:spacing w:after="20" w:line="240" w:lineRule="auto"/>
            </w:pPr>
            <w:r>
              <w:rPr>
                <w:sz w:val="14"/>
              </w:rPr>
              <w:t>A saved file can be reviewed and revised outside the application.</w:t>
            </w:r>
          </w:p>
        </w:tc>
      </w:tr>
      <w:tr>
        <w:tc>
          <w:tcPr>
            <w:tcW w:type="dxa" w:w="2088"/>
            <w:vAlign w:val="top"/>
            <w:shd w:fill="FCE4D6"/>
          </w:tcPr>
          <w:p>
            <w:pPr>
              <w:spacing w:after="20" w:line="240" w:lineRule="auto"/>
            </w:pPr>
            <w:r>
              <w:rPr>
                <w:b/>
                <w:color w:val="1F4E79"/>
                <w:sz w:val="14"/>
              </w:rPr>
              <w:t>Negative moments / pain points</w:t>
            </w:r>
          </w:p>
        </w:tc>
        <w:tc>
          <w:tcPr>
            <w:tcW w:type="dxa" w:w="2765"/>
            <w:vAlign w:val="top"/>
            <w:shd w:fill="FCE4D6"/>
          </w:tcPr>
          <w:p>
            <w:pPr>
              <w:spacing w:after="20" w:line="240" w:lineRule="auto"/>
            </w:pPr>
            <w:r>
              <w:rPr>
                <w:sz w:val="14"/>
              </w:rPr>
              <w:t>Users may not know whether the tool fits their document need.</w:t>
            </w:r>
          </w:p>
        </w:tc>
        <w:tc>
          <w:tcPr>
            <w:tcW w:type="dxa" w:w="2765"/>
            <w:vAlign w:val="top"/>
            <w:shd w:fill="FCE4D6"/>
          </w:tcPr>
          <w:p>
            <w:pPr>
              <w:spacing w:after="20" w:line="240" w:lineRule="auto"/>
            </w:pPr>
            <w:r>
              <w:rPr>
                <w:sz w:val="14"/>
              </w:rPr>
              <w:t>Users may be unsure what details to enter or may have incomplete information.</w:t>
            </w:r>
          </w:p>
        </w:tc>
        <w:tc>
          <w:tcPr>
            <w:tcW w:type="dxa" w:w="2765"/>
            <w:vAlign w:val="top"/>
            <w:shd w:fill="FCE4D6"/>
          </w:tcPr>
          <w:p>
            <w:pPr>
              <w:spacing w:after="20" w:line="240" w:lineRule="auto"/>
            </w:pPr>
            <w:r>
              <w:rPr>
                <w:sz w:val="14"/>
              </w:rPr>
              <w:t>Generation can fail if the API key, network, or Gemini service is unavailable; output may need correction.</w:t>
            </w:r>
          </w:p>
        </w:tc>
        <w:tc>
          <w:tcPr>
            <w:tcW w:type="dxa" w:w="2765"/>
            <w:vAlign w:val="top"/>
            <w:shd w:fill="FCE4D6"/>
          </w:tcPr>
          <w:p>
            <w:pPr>
              <w:spacing w:after="20" w:line="240" w:lineRule="auto"/>
            </w:pPr>
            <w:r>
              <w:rPr>
                <w:sz w:val="14"/>
              </w:rPr>
              <w:t>Long or complex drafts may be difficult to review; export formatting may need checking.</w:t>
            </w:r>
          </w:p>
        </w:tc>
        <w:tc>
          <w:tcPr>
            <w:tcW w:type="dxa" w:w="2765"/>
            <w:vAlign w:val="top"/>
            <w:shd w:fill="FCE4D6"/>
          </w:tcPr>
          <w:p>
            <w:pPr>
              <w:spacing w:after="20" w:line="240" w:lineRule="auto"/>
            </w:pPr>
            <w:r>
              <w:rPr>
                <w:sz w:val="14"/>
              </w:rPr>
              <w:t>Users may mistake an AI draft for legal advice or a legally validated document.</w:t>
            </w:r>
          </w:p>
        </w:tc>
      </w:tr>
      <w:tr>
        <w:tc>
          <w:tcPr>
            <w:tcW w:type="dxa" w:w="2088"/>
            <w:vAlign w:val="top"/>
            <w:shd w:fill="FFF2CC"/>
          </w:tcPr>
          <w:p>
            <w:pPr>
              <w:spacing w:after="20" w:line="240" w:lineRule="auto"/>
            </w:pPr>
            <w:r>
              <w:rPr>
                <w:b/>
                <w:color w:val="1F4E79"/>
                <w:sz w:val="14"/>
              </w:rPr>
              <w:t>Areas of opportunity</w:t>
            </w:r>
          </w:p>
        </w:tc>
        <w:tc>
          <w:tcPr>
            <w:tcW w:type="dxa" w:w="2765"/>
            <w:vAlign w:val="top"/>
            <w:shd w:fill="FFF2CC"/>
          </w:tcPr>
          <w:p>
            <w:pPr>
              <w:spacing w:after="20" w:line="240" w:lineRule="auto"/>
            </w:pPr>
            <w:r>
              <w:rPr>
                <w:sz w:val="14"/>
              </w:rPr>
              <w:t>Explain supported document types and the tool's limitations.</w:t>
            </w:r>
          </w:p>
        </w:tc>
        <w:tc>
          <w:tcPr>
            <w:tcW w:type="dxa" w:w="2765"/>
            <w:vAlign w:val="top"/>
            <w:shd w:fill="FFF2CC"/>
          </w:tcPr>
          <w:p>
            <w:pPr>
              <w:spacing w:after="20" w:line="240" w:lineRule="auto"/>
            </w:pPr>
            <w:r>
              <w:rPr>
                <w:sz w:val="14"/>
              </w:rPr>
              <w:t>Add concise field guidance and examples; make required and optional fields clear.</w:t>
            </w:r>
          </w:p>
        </w:tc>
        <w:tc>
          <w:tcPr>
            <w:tcW w:type="dxa" w:w="2765"/>
            <w:vAlign w:val="top"/>
            <w:shd w:fill="FFF2CC"/>
          </w:tcPr>
          <w:p>
            <w:pPr>
              <w:spacing w:after="20" w:line="240" w:lineRule="auto"/>
            </w:pPr>
            <w:r>
              <w:rPr>
                <w:sz w:val="14"/>
              </w:rPr>
              <w:t>Show progress and actionable errors; preserve user terms and use placeholders for missing facts.</w:t>
            </w:r>
          </w:p>
        </w:tc>
        <w:tc>
          <w:tcPr>
            <w:tcW w:type="dxa" w:w="2765"/>
            <w:vAlign w:val="top"/>
            <w:shd w:fill="FFF2CC"/>
          </w:tcPr>
          <w:p>
            <w:pPr>
              <w:spacing w:after="20" w:line="240" w:lineRule="auto"/>
            </w:pPr>
            <w:r>
              <w:rPr>
                <w:sz w:val="14"/>
              </w:rPr>
              <w:t>Improve readability and make it easy to regenerate or copy/edit the draft; verify each export format.</w:t>
            </w:r>
          </w:p>
        </w:tc>
        <w:tc>
          <w:tcPr>
            <w:tcW w:type="dxa" w:w="2765"/>
            <w:vAlign w:val="top"/>
            <w:shd w:fill="FFF2CC"/>
          </w:tcPr>
          <w:p>
            <w:pPr>
              <w:spacing w:after="20" w:line="240" w:lineRule="auto"/>
            </w:pPr>
            <w:r>
              <w:rPr>
                <w:sz w:val="14"/>
              </w:rPr>
              <w:t>Keep the AI-draft notice visible and provide a clear professional-review reminder.</w:t>
            </w:r>
          </w:p>
        </w:tc>
      </w:tr>
    </w:tbl>
    <w:p/>
    <w:p>
      <w:pPr>
        <w:spacing w:before="60" w:after="40"/>
      </w:pPr>
      <w:r>
        <w:rPr>
          <w:b/>
          <w:color w:val="1F4E79"/>
        </w:rPr>
        <w:t xml:space="preserve">Validation note: </w:t>
      </w:r>
      <w:r>
        <w:t>This journey map is based on the supplied LegalEase phase documentation and source code. It represents an expected user journey and design opportunities; it is not based on completed user interviews, observed sessions, or measured satisfaction data.</w:t>
      </w:r>
    </w:p>
    <w:p>
      <w:pPr>
        <w:jc w:val="center"/>
      </w:pPr>
      <w:r>
        <w:rPr>
          <w:color w:val="646464"/>
          <w:sz w:val="16"/>
        </w:rPr>
        <w:t>Team ID: SWTID-2026-9699  |  LegalEase</w:t>
      </w:r>
    </w:p>
    <w:sectPr w:rsidR="00FC693F" w:rsidRPr="0006063C" w:rsidSect="00034616">
      <w:pgSz w:w="16848" w:h="11952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