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PHASE-II</w:t>
      </w:r>
    </w:p>
    <w:p>
      <w:pPr>
        <w:jc w:val="center"/>
      </w:pPr>
      <w:r>
        <w:rPr>
          <w:b/>
          <w:sz w:val="28"/>
        </w:rPr>
        <w:t>Data Flow Diagrams &amp; User Stories</w:t>
      </w:r>
    </w:p>
    <w:tbl>
      <w:tblPr>
        <w:tblStyle w:val="TableGrid"/>
        <w:tblW w:type="auto" w:w="0"/>
        <w:jc w:val="center"/>
        <w:tblLook w:firstColumn="1" w:firstRow="1" w:lastColumn="0" w:lastRow="0" w:noHBand="0" w:noVBand="1" w:val="04A0"/>
      </w:tblPr>
      <w:tblGrid>
        <w:gridCol w:w="5328"/>
        <w:gridCol w:w="5328"/>
      </w:tblGrid>
      <w:tr>
        <w:tc>
          <w:tcPr>
            <w:tcW w:type="dxa" w:w="3168"/>
            <w:vAlign w:val="center"/>
          </w:tcPr>
          <w:p>
            <w:r>
              <w:rPr>
                <w:sz w:val="18"/>
              </w:rPr>
              <w:t>Date</w:t>
            </w:r>
          </w:p>
        </w:tc>
        <w:tc>
          <w:tcPr>
            <w:tcW w:type="dxa" w:w="8352"/>
            <w:vAlign w:val="center"/>
          </w:tcPr>
          <w:p>
            <w:r>
              <w:rPr>
                <w:sz w:val="18"/>
              </w:rPr>
              <w:t>02 October 2026</w:t>
            </w:r>
          </w:p>
        </w:tc>
      </w:tr>
      <w:tr>
        <w:tc>
          <w:tcPr>
            <w:tcW w:type="dxa" w:w="3168"/>
            <w:vAlign w:val="center"/>
          </w:tcPr>
          <w:p>
            <w:r>
              <w:rPr>
                <w:sz w:val="18"/>
              </w:rPr>
              <w:t>Team ID</w:t>
            </w:r>
          </w:p>
        </w:tc>
        <w:tc>
          <w:tcPr>
            <w:tcW w:type="dxa" w:w="8352"/>
            <w:vAlign w:val="center"/>
          </w:tcPr>
          <w:p>
            <w:r>
              <w:rPr>
                <w:sz w:val="18"/>
              </w:rPr>
              <w:t>SWTID-2026-9699</w:t>
            </w:r>
          </w:p>
        </w:tc>
      </w:tr>
      <w:tr>
        <w:tc>
          <w:tcPr>
            <w:tcW w:type="dxa" w:w="3168"/>
            <w:vAlign w:val="center"/>
          </w:tcPr>
          <w:p>
            <w:r>
              <w:rPr>
                <w:sz w:val="18"/>
              </w:rPr>
              <w:t>Project Name</w:t>
            </w:r>
          </w:p>
        </w:tc>
        <w:tc>
          <w:tcPr>
            <w:tcW w:type="dxa" w:w="8352"/>
            <w:vAlign w:val="center"/>
          </w:tcPr>
          <w:p>
            <w:r>
              <w:rPr>
                <w:sz w:val="18"/>
              </w:rPr>
              <w:t>LegalEase – AI-Powered Legal Document Generator</w:t>
            </w:r>
          </w:p>
        </w:tc>
      </w:tr>
      <w:tr>
        <w:tc>
          <w:tcPr>
            <w:tcW w:type="dxa" w:w="3168"/>
            <w:vAlign w:val="center"/>
          </w:tcPr>
          <w:p>
            <w:r>
              <w:rPr>
                <w:sz w:val="18"/>
              </w:rPr>
              <w:t>Maximum Marks</w:t>
            </w:r>
          </w:p>
        </w:tc>
        <w:tc>
          <w:tcPr>
            <w:tcW w:type="dxa" w:w="8352"/>
            <w:vAlign w:val="center"/>
          </w:tcPr>
          <w:p>
            <w:r>
              <w:rPr>
                <w:sz w:val="18"/>
              </w:rPr>
              <w:t>4 Marks</w:t>
            </w:r>
          </w:p>
        </w:tc>
      </w:tr>
    </w:tbl>
    <w:p>
      <w:pPr>
        <w:pStyle w:val="Heading1"/>
      </w:pPr>
      <w:r>
        <w:t>Data Flow Diagrams</w:t>
      </w:r>
    </w:p>
    <w:p>
      <w:r>
        <w:t>A Data Flow Diagram (DFD) represents how information moves through LegalEase, how it is processed, and how the generated document is returned to the user. The diagrams below are based on the supplied project documentation and code.</w:t>
      </w:r>
    </w:p>
    <w:p>
      <w:pPr>
        <w:pStyle w:val="Heading2"/>
      </w:pPr>
      <w:r>
        <w:t>DFD Level 0 — Context Diagram</w:t>
      </w:r>
    </w:p>
    <w:p>
      <w:pPr>
        <w:jc w:val="center"/>
      </w:pPr>
      <w:r>
        <w:drawing>
          <wp:inline xmlns:a="http://schemas.openxmlformats.org/drawingml/2006/main" xmlns:pic="http://schemas.openxmlformats.org/drawingml/2006/picture">
            <wp:extent cx="6858000" cy="2963807"/>
            <wp:docPr id="1" name="Picture 1"/>
            <wp:cNvGraphicFramePr>
              <a:graphicFrameLocks noChangeAspect="1"/>
            </wp:cNvGraphicFramePr>
            <a:graphic>
              <a:graphicData uri="http://schemas.openxmlformats.org/drawingml/2006/picture">
                <pic:pic>
                  <pic:nvPicPr>
                    <pic:cNvPr id="0" name="legalease_dfd_level0.png"/>
                    <pic:cNvPicPr/>
                  </pic:nvPicPr>
                  <pic:blipFill>
                    <a:blip r:embed="rId9"/>
                    <a:stretch>
                      <a:fillRect/>
                    </a:stretch>
                  </pic:blipFill>
                  <pic:spPr>
                    <a:xfrm>
                      <a:off x="0" y="0"/>
                      <a:ext cx="6858000" cy="2963807"/>
                    </a:xfrm>
                    <a:prstGeom prst="rect"/>
                  </pic:spPr>
                </pic:pic>
              </a:graphicData>
            </a:graphic>
          </wp:inline>
        </w:drawing>
      </w:r>
    </w:p>
    <w:p>
      <w:r>
        <w:t>The user submits document details to LegalEase. The application sends a prompt and the supplied details to the Google Gemini API, receives generated draft text, and returns the draft or an error to the user.</w:t>
      </w:r>
    </w:p>
    <w:p>
      <w:pPr>
        <w:pStyle w:val="Heading2"/>
      </w:pPr>
      <w:r>
        <w:t>DFD Level 1 — Document Generation Flow</w:t>
      </w:r>
    </w:p>
    <w:p>
      <w:pPr>
        <w:jc w:val="center"/>
      </w:pPr>
      <w:r>
        <w:drawing>
          <wp:inline xmlns:a="http://schemas.openxmlformats.org/drawingml/2006/main" xmlns:pic="http://schemas.openxmlformats.org/drawingml/2006/picture">
            <wp:extent cx="6949440" cy="3470293"/>
            <wp:docPr id="2" name="Picture 2"/>
            <wp:cNvGraphicFramePr>
              <a:graphicFrameLocks noChangeAspect="1"/>
            </wp:cNvGraphicFramePr>
            <a:graphic>
              <a:graphicData uri="http://schemas.openxmlformats.org/drawingml/2006/picture">
                <pic:pic>
                  <pic:nvPicPr>
                    <pic:cNvPr id="0" name="legalease_dfd_level1.png"/>
                    <pic:cNvPicPr/>
                  </pic:nvPicPr>
                  <pic:blipFill>
                    <a:blip r:embed="rId10"/>
                    <a:stretch>
                      <a:fillRect/>
                    </a:stretch>
                  </pic:blipFill>
                  <pic:spPr>
                    <a:xfrm>
                      <a:off x="0" y="0"/>
                      <a:ext cx="6949440" cy="3470293"/>
                    </a:xfrm>
                    <a:prstGeom prst="rect"/>
                  </pic:spPr>
                </pic:pic>
              </a:graphicData>
            </a:graphic>
          </wp:inline>
        </w:drawing>
      </w:r>
    </w:p>
    <w:p>
      <w:r>
        <w:t>Processing sequence: (1) capture document type, parties, terms, optional effective date, and optional brand name; (2) validate required fields; (3) construct the prompt and request a first draft from Gemini; (4) format the result as TXT, DOCX, and PDF; and (5) display the draft and provide download options. The supplied implementation does not show a persistent database.</w:t>
      </w:r>
    </w:p>
    <w:p>
      <w:r>
        <w:t>Safety note: LegalEase generates a first draft only. It must not be represented as legal advice or guaranteed legally valid; missing details should remain placeholders and the draft should be reviewed by a qualified professional.</w:t>
      </w:r>
    </w:p>
    <w:p>
      <w:pPr>
        <w:pStyle w:val="Heading1"/>
      </w:pPr>
      <w:r>
        <w:t>User Stories</w:t>
      </w:r>
    </w:p>
    <w:p>
      <w:r>
        <w:t>The following user stories describe the user-facing functions supported by the supplied LegalEase documentation and code. Priorities and sprint assignments are proposed for planning; they are not evidence of completed releases.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12"/>
            <w:vAlign w:val="center"/>
          </w:tcPr>
          <w:p>
            <w:pPr>
              <w:spacing w:after="20"/>
            </w:pPr>
            <w:r>
              <w:rPr>
                <w:rFonts w:ascii="Arial" w:hAnsi="Arial"/>
                <w:sz w:val="14"/>
              </w:rPr>
              <w:t>User Type</w:t>
            </w:r>
          </w:p>
        </w:tc>
        <w:tc>
          <w:tcPr>
            <w:tcW w:type="dxa" w:w="1656"/>
            <w:vAlign w:val="center"/>
          </w:tcPr>
          <w:p>
            <w:pPr>
              <w:spacing w:after="20"/>
            </w:pPr>
            <w:r>
              <w:rPr>
                <w:rFonts w:ascii="Arial" w:hAnsi="Arial"/>
                <w:sz w:val="14"/>
              </w:rPr>
              <w:t>Functional Requirement (Epic)</w:t>
            </w:r>
          </w:p>
        </w:tc>
        <w:tc>
          <w:tcPr>
            <w:tcW w:type="dxa" w:w="936"/>
            <w:vAlign w:val="center"/>
          </w:tcPr>
          <w:p>
            <w:pPr>
              <w:spacing w:after="20"/>
            </w:pPr>
            <w:r>
              <w:rPr>
                <w:rFonts w:ascii="Arial" w:hAnsi="Arial"/>
                <w:sz w:val="14"/>
              </w:rPr>
              <w:t>User Story Number</w:t>
            </w:r>
          </w:p>
        </w:tc>
        <w:tc>
          <w:tcPr>
            <w:tcW w:type="dxa" w:w="3240"/>
            <w:vAlign w:val="center"/>
          </w:tcPr>
          <w:p>
            <w:pPr>
              <w:spacing w:after="20"/>
            </w:pPr>
            <w:r>
              <w:rPr>
                <w:rFonts w:ascii="Arial" w:hAnsi="Arial"/>
                <w:sz w:val="14"/>
              </w:rPr>
              <w:t>User Story / Task</w:t>
            </w:r>
          </w:p>
        </w:tc>
        <w:tc>
          <w:tcPr>
            <w:tcW w:type="dxa" w:w="3312"/>
            <w:vAlign w:val="center"/>
          </w:tcPr>
          <w:p>
            <w:pPr>
              <w:spacing w:after="20"/>
            </w:pPr>
            <w:r>
              <w:rPr>
                <w:rFonts w:ascii="Arial" w:hAnsi="Arial"/>
                <w:sz w:val="14"/>
              </w:rPr>
              <w:t>Acceptance Criteria</w:t>
            </w:r>
          </w:p>
        </w:tc>
        <w:tc>
          <w:tcPr>
            <w:tcW w:type="dxa" w:w="864"/>
            <w:vAlign w:val="center"/>
          </w:tcPr>
          <w:p>
            <w:pPr>
              <w:spacing w:after="20"/>
            </w:pPr>
            <w:r>
              <w:rPr>
                <w:rFonts w:ascii="Arial" w:hAnsi="Arial"/>
                <w:sz w:val="14"/>
              </w:rPr>
              <w:t>Priority</w:t>
            </w:r>
          </w:p>
        </w:tc>
        <w:tc>
          <w:tcPr>
            <w:tcW w:type="dxa" w:w="1008"/>
            <w:vAlign w:val="center"/>
          </w:tcPr>
          <w:p>
            <w:pPr>
              <w:spacing w:after="20"/>
            </w:pPr>
            <w:r>
              <w:rPr>
                <w:rFonts w:ascii="Arial" w:hAnsi="Arial"/>
                <w:sz w:val="14"/>
              </w:rPr>
              <w:t>Release</w:t>
            </w:r>
          </w:p>
        </w:tc>
      </w:tr>
      <w:tr>
        <w:tc>
          <w:tcPr>
            <w:tcW w:type="dxa" w:w="1512"/>
            <w:vAlign w:val="center"/>
          </w:tcPr>
          <w:p>
            <w:pPr>
              <w:spacing w:after="20"/>
            </w:pPr>
            <w:r>
              <w:rPr>
                <w:rFonts w:ascii="Arial" w:hAnsi="Arial"/>
                <w:sz w:val="14"/>
              </w:rPr>
              <w:t>Customer (Web user)</w:t>
            </w:r>
          </w:p>
        </w:tc>
        <w:tc>
          <w:tcPr>
            <w:tcW w:type="dxa" w:w="1656"/>
            <w:vAlign w:val="center"/>
          </w:tcPr>
          <w:p>
            <w:pPr>
              <w:spacing w:after="20"/>
            </w:pPr>
            <w:r>
              <w:rPr>
                <w:rFonts w:ascii="Arial" w:hAnsi="Arial"/>
                <w:sz w:val="14"/>
              </w:rPr>
              <w:t>Document selection</w:t>
            </w:r>
          </w:p>
        </w:tc>
        <w:tc>
          <w:tcPr>
            <w:tcW w:type="dxa" w:w="936"/>
            <w:vAlign w:val="center"/>
          </w:tcPr>
          <w:p>
            <w:pPr>
              <w:spacing w:after="20"/>
            </w:pPr>
            <w:r>
              <w:rPr>
                <w:rFonts w:ascii="Arial" w:hAnsi="Arial"/>
                <w:sz w:val="14"/>
              </w:rPr>
              <w:t>USN-1</w:t>
            </w:r>
          </w:p>
        </w:tc>
        <w:tc>
          <w:tcPr>
            <w:tcW w:type="dxa" w:w="3240"/>
            <w:vAlign w:val="center"/>
          </w:tcPr>
          <w:p>
            <w:pPr>
              <w:spacing w:after="20"/>
            </w:pPr>
            <w:r>
              <w:rPr>
                <w:rFonts w:ascii="Arial" w:hAnsi="Arial"/>
                <w:sz w:val="14"/>
              </w:rPr>
              <w:t>As a user, I can select the type of legal document I want to prepare.</w:t>
            </w:r>
          </w:p>
        </w:tc>
        <w:tc>
          <w:tcPr>
            <w:tcW w:type="dxa" w:w="3312"/>
            <w:vAlign w:val="center"/>
          </w:tcPr>
          <w:p>
            <w:pPr>
              <w:spacing w:after="20"/>
            </w:pPr>
            <w:r>
              <w:rPr>
                <w:rFonts w:ascii="Arial" w:hAnsi="Arial"/>
                <w:sz w:val="14"/>
              </w:rPr>
              <w:t>The user can select from the document types offered by the interface: NDA, service, employment, lease, partnership, freelance, or general legal agreement.</w:t>
            </w:r>
          </w:p>
        </w:tc>
        <w:tc>
          <w:tcPr>
            <w:tcW w:type="dxa" w:w="864"/>
            <w:vAlign w:val="center"/>
          </w:tcPr>
          <w:p>
            <w:pPr>
              <w:spacing w:after="20"/>
            </w:pPr>
            <w:r>
              <w:rPr>
                <w:rFonts w:ascii="Arial" w:hAnsi="Arial"/>
                <w:sz w:val="14"/>
              </w:rPr>
              <w:t>High</w:t>
            </w:r>
          </w:p>
        </w:tc>
        <w:tc>
          <w:tcPr>
            <w:tcW w:type="dxa" w:w="1008"/>
            <w:vAlign w:val="center"/>
          </w:tcPr>
          <w:p>
            <w:pPr>
              <w:spacing w:after="20"/>
            </w:pPr>
            <w:r>
              <w:rPr>
                <w:rFonts w:ascii="Arial" w:hAnsi="Arial"/>
                <w:sz w:val="14"/>
              </w:rPr>
              <w:t>Sprint-1</w:t>
            </w:r>
          </w:p>
        </w:tc>
      </w:tr>
      <w:tr>
        <w:tc>
          <w:tcPr>
            <w:tcW w:type="dxa" w:w="1512"/>
            <w:vAlign w:val="center"/>
          </w:tcPr>
          <w:p>
            <w:pPr>
              <w:spacing w:after="20"/>
            </w:pPr>
            <w:r>
              <w:rPr>
                <w:rFonts w:ascii="Arial" w:hAnsi="Arial"/>
                <w:sz w:val="14"/>
              </w:rPr>
              <w:t>Customer (Web user)</w:t>
            </w:r>
          </w:p>
        </w:tc>
        <w:tc>
          <w:tcPr>
            <w:tcW w:type="dxa" w:w="1656"/>
            <w:vAlign w:val="center"/>
          </w:tcPr>
          <w:p>
            <w:pPr>
              <w:spacing w:after="20"/>
            </w:pPr>
            <w:r>
              <w:rPr>
                <w:rFonts w:ascii="Arial" w:hAnsi="Arial"/>
                <w:sz w:val="14"/>
              </w:rPr>
              <w:t>Enter document details</w:t>
            </w:r>
          </w:p>
        </w:tc>
        <w:tc>
          <w:tcPr>
            <w:tcW w:type="dxa" w:w="936"/>
            <w:vAlign w:val="center"/>
          </w:tcPr>
          <w:p>
            <w:pPr>
              <w:spacing w:after="20"/>
            </w:pPr>
            <w:r>
              <w:rPr>
                <w:rFonts w:ascii="Arial" w:hAnsi="Arial"/>
                <w:sz w:val="14"/>
              </w:rPr>
              <w:t>USN-2</w:t>
            </w:r>
          </w:p>
        </w:tc>
        <w:tc>
          <w:tcPr>
            <w:tcW w:type="dxa" w:w="3240"/>
            <w:vAlign w:val="center"/>
          </w:tcPr>
          <w:p>
            <w:pPr>
              <w:spacing w:after="20"/>
            </w:pPr>
            <w:r>
              <w:rPr>
                <w:rFonts w:ascii="Arial" w:hAnsi="Arial"/>
                <w:sz w:val="14"/>
              </w:rPr>
              <w:t>As a user, I can enter the parties and terms for my legal document.</w:t>
            </w:r>
          </w:p>
        </w:tc>
        <w:tc>
          <w:tcPr>
            <w:tcW w:type="dxa" w:w="3312"/>
            <w:vAlign w:val="center"/>
          </w:tcPr>
          <w:p>
            <w:pPr>
              <w:spacing w:after="20"/>
            </w:pPr>
            <w:r>
              <w:rPr>
                <w:rFonts w:ascii="Arial" w:hAnsi="Arial"/>
                <w:sz w:val="14"/>
              </w:rPr>
              <w:t>The form accepts parties and terms; required fields are checked before generation.</w:t>
            </w:r>
          </w:p>
        </w:tc>
        <w:tc>
          <w:tcPr>
            <w:tcW w:type="dxa" w:w="864"/>
            <w:vAlign w:val="center"/>
          </w:tcPr>
          <w:p>
            <w:pPr>
              <w:spacing w:after="20"/>
            </w:pPr>
            <w:r>
              <w:rPr>
                <w:rFonts w:ascii="Arial" w:hAnsi="Arial"/>
                <w:sz w:val="14"/>
              </w:rPr>
              <w:t>High</w:t>
            </w:r>
          </w:p>
        </w:tc>
        <w:tc>
          <w:tcPr>
            <w:tcW w:type="dxa" w:w="1008"/>
            <w:vAlign w:val="center"/>
          </w:tcPr>
          <w:p>
            <w:pPr>
              <w:spacing w:after="20"/>
            </w:pPr>
            <w:r>
              <w:rPr>
                <w:rFonts w:ascii="Arial" w:hAnsi="Arial"/>
                <w:sz w:val="14"/>
              </w:rPr>
              <w:t>Sprint-1</w:t>
            </w:r>
          </w:p>
        </w:tc>
      </w:tr>
      <w:tr>
        <w:tc>
          <w:tcPr>
            <w:tcW w:type="dxa" w:w="1512"/>
            <w:vAlign w:val="center"/>
          </w:tcPr>
          <w:p>
            <w:pPr>
              <w:spacing w:after="20"/>
            </w:pPr>
            <w:r>
              <w:rPr>
                <w:rFonts w:ascii="Arial" w:hAnsi="Arial"/>
                <w:sz w:val="14"/>
              </w:rPr>
              <w:t>Customer (Web user)</w:t>
            </w:r>
          </w:p>
        </w:tc>
        <w:tc>
          <w:tcPr>
            <w:tcW w:type="dxa" w:w="1656"/>
            <w:vAlign w:val="center"/>
          </w:tcPr>
          <w:p>
            <w:pPr>
              <w:spacing w:after="20"/>
            </w:pPr>
            <w:r>
              <w:rPr>
                <w:rFonts w:ascii="Arial" w:hAnsi="Arial"/>
                <w:sz w:val="14"/>
              </w:rPr>
              <w:t>Enter optional details</w:t>
            </w:r>
          </w:p>
        </w:tc>
        <w:tc>
          <w:tcPr>
            <w:tcW w:type="dxa" w:w="936"/>
            <w:vAlign w:val="center"/>
          </w:tcPr>
          <w:p>
            <w:pPr>
              <w:spacing w:after="20"/>
            </w:pPr>
            <w:r>
              <w:rPr>
                <w:rFonts w:ascii="Arial" w:hAnsi="Arial"/>
                <w:sz w:val="14"/>
              </w:rPr>
              <w:t>USN-3</w:t>
            </w:r>
          </w:p>
        </w:tc>
        <w:tc>
          <w:tcPr>
            <w:tcW w:type="dxa" w:w="3240"/>
            <w:vAlign w:val="center"/>
          </w:tcPr>
          <w:p>
            <w:pPr>
              <w:spacing w:after="20"/>
            </w:pPr>
            <w:r>
              <w:rPr>
                <w:rFonts w:ascii="Arial" w:hAnsi="Arial"/>
                <w:sz w:val="14"/>
              </w:rPr>
              <w:t>As a user, I can provide an effective date and optional brand name.</w:t>
            </w:r>
          </w:p>
        </w:tc>
        <w:tc>
          <w:tcPr>
            <w:tcW w:type="dxa" w:w="3312"/>
            <w:vAlign w:val="center"/>
          </w:tcPr>
          <w:p>
            <w:pPr>
              <w:spacing w:after="20"/>
            </w:pPr>
            <w:r>
              <w:rPr>
                <w:rFonts w:ascii="Arial" w:hAnsi="Arial"/>
                <w:sz w:val="14"/>
              </w:rPr>
              <w:t>The effective date and brand name can be supplied when applicable; they are passed to the document-generation flow.</w:t>
            </w:r>
          </w:p>
        </w:tc>
        <w:tc>
          <w:tcPr>
            <w:tcW w:type="dxa" w:w="864"/>
            <w:vAlign w:val="center"/>
          </w:tcPr>
          <w:p>
            <w:pPr>
              <w:spacing w:after="20"/>
            </w:pPr>
            <w:r>
              <w:rPr>
                <w:rFonts w:ascii="Arial" w:hAnsi="Arial"/>
                <w:sz w:val="14"/>
              </w:rPr>
              <w:t>Medium</w:t>
            </w:r>
          </w:p>
        </w:tc>
        <w:tc>
          <w:tcPr>
            <w:tcW w:type="dxa" w:w="1008"/>
            <w:vAlign w:val="center"/>
          </w:tcPr>
          <w:p>
            <w:pPr>
              <w:spacing w:after="20"/>
            </w:pPr>
            <w:r>
              <w:rPr>
                <w:rFonts w:ascii="Arial" w:hAnsi="Arial"/>
                <w:sz w:val="14"/>
              </w:rPr>
              <w:t>Sprint-1</w:t>
            </w:r>
          </w:p>
        </w:tc>
      </w:tr>
      <w:tr>
        <w:tc>
          <w:tcPr>
            <w:tcW w:type="dxa" w:w="1512"/>
            <w:vAlign w:val="center"/>
          </w:tcPr>
          <w:p>
            <w:pPr>
              <w:spacing w:after="20"/>
            </w:pPr>
            <w:r>
              <w:rPr>
                <w:rFonts w:ascii="Arial" w:hAnsi="Arial"/>
                <w:sz w:val="14"/>
              </w:rPr>
              <w:t>Customer (Web user)</w:t>
            </w:r>
          </w:p>
        </w:tc>
        <w:tc>
          <w:tcPr>
            <w:tcW w:type="dxa" w:w="1656"/>
            <w:vAlign w:val="center"/>
          </w:tcPr>
          <w:p>
            <w:pPr>
              <w:spacing w:after="20"/>
            </w:pPr>
            <w:r>
              <w:rPr>
                <w:rFonts w:ascii="Arial" w:hAnsi="Arial"/>
                <w:sz w:val="14"/>
              </w:rPr>
              <w:t>Generate draft</w:t>
            </w:r>
          </w:p>
        </w:tc>
        <w:tc>
          <w:tcPr>
            <w:tcW w:type="dxa" w:w="936"/>
            <w:vAlign w:val="center"/>
          </w:tcPr>
          <w:p>
            <w:pPr>
              <w:spacing w:after="20"/>
            </w:pPr>
            <w:r>
              <w:rPr>
                <w:rFonts w:ascii="Arial" w:hAnsi="Arial"/>
                <w:sz w:val="14"/>
              </w:rPr>
              <w:t>USN-4</w:t>
            </w:r>
          </w:p>
        </w:tc>
        <w:tc>
          <w:tcPr>
            <w:tcW w:type="dxa" w:w="3240"/>
            <w:vAlign w:val="center"/>
          </w:tcPr>
          <w:p>
            <w:pPr>
              <w:spacing w:after="20"/>
            </w:pPr>
            <w:r>
              <w:rPr>
                <w:rFonts w:ascii="Arial" w:hAnsi="Arial"/>
                <w:sz w:val="14"/>
              </w:rPr>
              <w:t>As a user, I can generate a first draft from the details I entered.</w:t>
            </w:r>
          </w:p>
        </w:tc>
        <w:tc>
          <w:tcPr>
            <w:tcW w:type="dxa" w:w="3312"/>
            <w:vAlign w:val="center"/>
          </w:tcPr>
          <w:p>
            <w:pPr>
              <w:spacing w:after="20"/>
            </w:pPr>
            <w:r>
              <w:rPr>
                <w:rFonts w:ascii="Arial" w:hAnsi="Arial"/>
                <w:sz w:val="14"/>
              </w:rPr>
              <w:t>The application submits the request to the generation service and displays the returned draft when generation succeeds.</w:t>
            </w:r>
          </w:p>
        </w:tc>
        <w:tc>
          <w:tcPr>
            <w:tcW w:type="dxa" w:w="864"/>
            <w:vAlign w:val="center"/>
          </w:tcPr>
          <w:p>
            <w:pPr>
              <w:spacing w:after="20"/>
            </w:pPr>
            <w:r>
              <w:rPr>
                <w:rFonts w:ascii="Arial" w:hAnsi="Arial"/>
                <w:sz w:val="14"/>
              </w:rPr>
              <w:t>High</w:t>
            </w:r>
          </w:p>
        </w:tc>
        <w:tc>
          <w:tcPr>
            <w:tcW w:type="dxa" w:w="1008"/>
            <w:vAlign w:val="center"/>
          </w:tcPr>
          <w:p>
            <w:pPr>
              <w:spacing w:after="20"/>
            </w:pPr>
            <w:r>
              <w:rPr>
                <w:rFonts w:ascii="Arial" w:hAnsi="Arial"/>
                <w:sz w:val="14"/>
              </w:rPr>
              <w:t>Sprint-1</w:t>
            </w:r>
          </w:p>
        </w:tc>
      </w:tr>
      <w:tr>
        <w:tc>
          <w:tcPr>
            <w:tcW w:type="dxa" w:w="1512"/>
            <w:vAlign w:val="center"/>
          </w:tcPr>
          <w:p>
            <w:pPr>
              <w:spacing w:after="20"/>
            </w:pPr>
            <w:r>
              <w:rPr>
                <w:rFonts w:ascii="Arial" w:hAnsi="Arial"/>
                <w:sz w:val="14"/>
              </w:rPr>
              <w:t>Customer (Web user)</w:t>
            </w:r>
          </w:p>
        </w:tc>
        <w:tc>
          <w:tcPr>
            <w:tcW w:type="dxa" w:w="1656"/>
            <w:vAlign w:val="center"/>
          </w:tcPr>
          <w:p>
            <w:pPr>
              <w:spacing w:after="20"/>
            </w:pPr>
            <w:r>
              <w:rPr>
                <w:rFonts w:ascii="Arial" w:hAnsi="Arial"/>
                <w:sz w:val="14"/>
              </w:rPr>
              <w:t>Review draft</w:t>
            </w:r>
          </w:p>
        </w:tc>
        <w:tc>
          <w:tcPr>
            <w:tcW w:type="dxa" w:w="936"/>
            <w:vAlign w:val="center"/>
          </w:tcPr>
          <w:p>
            <w:pPr>
              <w:spacing w:after="20"/>
            </w:pPr>
            <w:r>
              <w:rPr>
                <w:rFonts w:ascii="Arial" w:hAnsi="Arial"/>
                <w:sz w:val="14"/>
              </w:rPr>
              <w:t>USN-5</w:t>
            </w:r>
          </w:p>
        </w:tc>
        <w:tc>
          <w:tcPr>
            <w:tcW w:type="dxa" w:w="3240"/>
            <w:vAlign w:val="center"/>
          </w:tcPr>
          <w:p>
            <w:pPr>
              <w:spacing w:after="20"/>
            </w:pPr>
            <w:r>
              <w:rPr>
                <w:rFonts w:ascii="Arial" w:hAnsi="Arial"/>
                <w:sz w:val="14"/>
              </w:rPr>
              <w:t>As a user, I can review the generated legal document before downloading it.</w:t>
            </w:r>
          </w:p>
        </w:tc>
        <w:tc>
          <w:tcPr>
            <w:tcW w:type="dxa" w:w="3312"/>
            <w:vAlign w:val="center"/>
          </w:tcPr>
          <w:p>
            <w:pPr>
              <w:spacing w:after="20"/>
            </w:pPr>
            <w:r>
              <w:rPr>
                <w:rFonts w:ascii="Arial" w:hAnsi="Arial"/>
                <w:sz w:val="14"/>
              </w:rPr>
              <w:t>The generated document text is displayed for review and is identified as an AI-generated first draft.</w:t>
            </w:r>
          </w:p>
        </w:tc>
        <w:tc>
          <w:tcPr>
            <w:tcW w:type="dxa" w:w="864"/>
            <w:vAlign w:val="center"/>
          </w:tcPr>
          <w:p>
            <w:pPr>
              <w:spacing w:after="20"/>
            </w:pPr>
            <w:r>
              <w:rPr>
                <w:rFonts w:ascii="Arial" w:hAnsi="Arial"/>
                <w:sz w:val="14"/>
              </w:rPr>
              <w:t>High</w:t>
            </w:r>
          </w:p>
        </w:tc>
        <w:tc>
          <w:tcPr>
            <w:tcW w:type="dxa" w:w="1008"/>
            <w:vAlign w:val="center"/>
          </w:tcPr>
          <w:p>
            <w:pPr>
              <w:spacing w:after="20"/>
            </w:pPr>
            <w:r>
              <w:rPr>
                <w:rFonts w:ascii="Arial" w:hAnsi="Arial"/>
                <w:sz w:val="14"/>
              </w:rPr>
              <w:t>Sprint-1</w:t>
            </w:r>
          </w:p>
        </w:tc>
      </w:tr>
      <w:tr>
        <w:tc>
          <w:tcPr>
            <w:tcW w:type="dxa" w:w="1512"/>
            <w:vAlign w:val="center"/>
          </w:tcPr>
          <w:p>
            <w:pPr>
              <w:spacing w:after="20"/>
            </w:pPr>
            <w:r>
              <w:rPr>
                <w:rFonts w:ascii="Arial" w:hAnsi="Arial"/>
                <w:sz w:val="14"/>
              </w:rPr>
              <w:t>Customer (Web user)</w:t>
            </w:r>
          </w:p>
        </w:tc>
        <w:tc>
          <w:tcPr>
            <w:tcW w:type="dxa" w:w="1656"/>
            <w:vAlign w:val="center"/>
          </w:tcPr>
          <w:p>
            <w:pPr>
              <w:spacing w:after="20"/>
            </w:pPr>
            <w:r>
              <w:rPr>
                <w:rFonts w:ascii="Arial" w:hAnsi="Arial"/>
                <w:sz w:val="14"/>
              </w:rPr>
              <w:t>Download document</w:t>
            </w:r>
          </w:p>
        </w:tc>
        <w:tc>
          <w:tcPr>
            <w:tcW w:type="dxa" w:w="936"/>
            <w:vAlign w:val="center"/>
          </w:tcPr>
          <w:p>
            <w:pPr>
              <w:spacing w:after="20"/>
            </w:pPr>
            <w:r>
              <w:rPr>
                <w:rFonts w:ascii="Arial" w:hAnsi="Arial"/>
                <w:sz w:val="14"/>
              </w:rPr>
              <w:t>USN-6</w:t>
            </w:r>
          </w:p>
        </w:tc>
        <w:tc>
          <w:tcPr>
            <w:tcW w:type="dxa" w:w="3240"/>
            <w:vAlign w:val="center"/>
          </w:tcPr>
          <w:p>
            <w:pPr>
              <w:spacing w:after="20"/>
            </w:pPr>
            <w:r>
              <w:rPr>
                <w:rFonts w:ascii="Arial" w:hAnsi="Arial"/>
                <w:sz w:val="14"/>
              </w:rPr>
              <w:t>As a user, I can download the generated document in a format I can use.</w:t>
            </w:r>
          </w:p>
        </w:tc>
        <w:tc>
          <w:tcPr>
            <w:tcW w:type="dxa" w:w="3312"/>
            <w:vAlign w:val="center"/>
          </w:tcPr>
          <w:p>
            <w:pPr>
              <w:spacing w:after="20"/>
            </w:pPr>
            <w:r>
              <w:rPr>
                <w:rFonts w:ascii="Arial" w:hAnsi="Arial"/>
                <w:sz w:val="14"/>
              </w:rPr>
              <w:t>Download options are provided for TXT, DOCX, and PDF.</w:t>
            </w:r>
          </w:p>
        </w:tc>
        <w:tc>
          <w:tcPr>
            <w:tcW w:type="dxa" w:w="864"/>
            <w:vAlign w:val="center"/>
          </w:tcPr>
          <w:p>
            <w:pPr>
              <w:spacing w:after="20"/>
            </w:pPr>
            <w:r>
              <w:rPr>
                <w:rFonts w:ascii="Arial" w:hAnsi="Arial"/>
                <w:sz w:val="14"/>
              </w:rPr>
              <w:t>High</w:t>
            </w:r>
          </w:p>
        </w:tc>
        <w:tc>
          <w:tcPr>
            <w:tcW w:type="dxa" w:w="1008"/>
            <w:vAlign w:val="center"/>
          </w:tcPr>
          <w:p>
            <w:pPr>
              <w:spacing w:after="20"/>
            </w:pPr>
            <w:r>
              <w:rPr>
                <w:rFonts w:ascii="Arial" w:hAnsi="Arial"/>
                <w:sz w:val="14"/>
              </w:rPr>
              <w:t>Sprint-1</w:t>
            </w:r>
          </w:p>
        </w:tc>
      </w:tr>
      <w:tr>
        <w:tc>
          <w:tcPr>
            <w:tcW w:type="dxa" w:w="1512"/>
            <w:vAlign w:val="center"/>
          </w:tcPr>
          <w:p>
            <w:pPr>
              <w:spacing w:after="20"/>
            </w:pPr>
            <w:r>
              <w:rPr>
                <w:rFonts w:ascii="Arial" w:hAnsi="Arial"/>
                <w:sz w:val="14"/>
              </w:rPr>
              <w:t>Customer (Web user)</w:t>
            </w:r>
          </w:p>
        </w:tc>
        <w:tc>
          <w:tcPr>
            <w:tcW w:type="dxa" w:w="1656"/>
            <w:vAlign w:val="center"/>
          </w:tcPr>
          <w:p>
            <w:pPr>
              <w:spacing w:after="20"/>
            </w:pPr>
            <w:r>
              <w:rPr>
                <w:rFonts w:ascii="Arial" w:hAnsi="Arial"/>
                <w:sz w:val="14"/>
              </w:rPr>
              <w:t>Handle generation errors</w:t>
            </w:r>
          </w:p>
        </w:tc>
        <w:tc>
          <w:tcPr>
            <w:tcW w:type="dxa" w:w="936"/>
            <w:vAlign w:val="center"/>
          </w:tcPr>
          <w:p>
            <w:pPr>
              <w:spacing w:after="20"/>
            </w:pPr>
            <w:r>
              <w:rPr>
                <w:rFonts w:ascii="Arial" w:hAnsi="Arial"/>
                <w:sz w:val="14"/>
              </w:rPr>
              <w:t>USN-7</w:t>
            </w:r>
          </w:p>
        </w:tc>
        <w:tc>
          <w:tcPr>
            <w:tcW w:type="dxa" w:w="3240"/>
            <w:vAlign w:val="center"/>
          </w:tcPr>
          <w:p>
            <w:pPr>
              <w:spacing w:after="20"/>
            </w:pPr>
            <w:r>
              <w:rPr>
                <w:rFonts w:ascii="Arial" w:hAnsi="Arial"/>
                <w:sz w:val="14"/>
              </w:rPr>
              <w:t>As a user, I want to know when document generation fails.</w:t>
            </w:r>
          </w:p>
        </w:tc>
        <w:tc>
          <w:tcPr>
            <w:tcW w:type="dxa" w:w="3312"/>
            <w:vAlign w:val="center"/>
          </w:tcPr>
          <w:p>
            <w:pPr>
              <w:spacing w:after="20"/>
            </w:pPr>
            <w:r>
              <w:rPr>
                <w:rFonts w:ascii="Arial" w:hAnsi="Arial"/>
                <w:sz w:val="14"/>
              </w:rPr>
              <w:t>If generation raises an error, the application returns or displays an error rather than presenting a failed result as a completed draft.</w:t>
            </w:r>
          </w:p>
        </w:tc>
        <w:tc>
          <w:tcPr>
            <w:tcW w:type="dxa" w:w="864"/>
            <w:vAlign w:val="center"/>
          </w:tcPr>
          <w:p>
            <w:pPr>
              <w:spacing w:after="20"/>
            </w:pPr>
            <w:r>
              <w:rPr>
                <w:rFonts w:ascii="Arial" w:hAnsi="Arial"/>
                <w:sz w:val="14"/>
              </w:rPr>
              <w:t>Medium</w:t>
            </w:r>
          </w:p>
        </w:tc>
        <w:tc>
          <w:tcPr>
            <w:tcW w:type="dxa" w:w="1008"/>
            <w:vAlign w:val="center"/>
          </w:tcPr>
          <w:p>
            <w:pPr>
              <w:spacing w:after="20"/>
            </w:pPr>
            <w:r>
              <w:rPr>
                <w:rFonts w:ascii="Arial" w:hAnsi="Arial"/>
                <w:sz w:val="14"/>
              </w:rPr>
              <w:t>Sprint-2</w:t>
            </w:r>
          </w:p>
        </w:tc>
      </w:tr>
      <w:tr>
        <w:tc>
          <w:tcPr>
            <w:tcW w:type="dxa" w:w="1512"/>
            <w:vAlign w:val="center"/>
          </w:tcPr>
          <w:p>
            <w:pPr>
              <w:spacing w:after="20"/>
            </w:pPr>
            <w:r>
              <w:rPr>
                <w:rFonts w:ascii="Arial" w:hAnsi="Arial"/>
                <w:sz w:val="14"/>
              </w:rPr>
              <w:t>Customer (Web user)</w:t>
            </w:r>
          </w:p>
        </w:tc>
        <w:tc>
          <w:tcPr>
            <w:tcW w:type="dxa" w:w="1656"/>
            <w:vAlign w:val="center"/>
          </w:tcPr>
          <w:p>
            <w:pPr>
              <w:spacing w:after="20"/>
            </w:pPr>
            <w:r>
              <w:rPr>
                <w:rFonts w:ascii="Arial" w:hAnsi="Arial"/>
                <w:sz w:val="14"/>
              </w:rPr>
              <w:t>Safe draft generation</w:t>
            </w:r>
          </w:p>
        </w:tc>
        <w:tc>
          <w:tcPr>
            <w:tcW w:type="dxa" w:w="936"/>
            <w:vAlign w:val="center"/>
          </w:tcPr>
          <w:p>
            <w:pPr>
              <w:spacing w:after="20"/>
            </w:pPr>
            <w:r>
              <w:rPr>
                <w:rFonts w:ascii="Arial" w:hAnsi="Arial"/>
                <w:sz w:val="14"/>
              </w:rPr>
              <w:t>USN-8</w:t>
            </w:r>
          </w:p>
        </w:tc>
        <w:tc>
          <w:tcPr>
            <w:tcW w:type="dxa" w:w="3240"/>
            <w:vAlign w:val="center"/>
          </w:tcPr>
          <w:p>
            <w:pPr>
              <w:spacing w:after="20"/>
            </w:pPr>
            <w:r>
              <w:rPr>
                <w:rFonts w:ascii="Arial" w:hAnsi="Arial"/>
                <w:sz w:val="14"/>
              </w:rPr>
              <w:t>As a user, I want missing information to be clearly identified instead of invented.</w:t>
            </w:r>
          </w:p>
        </w:tc>
        <w:tc>
          <w:tcPr>
            <w:tcW w:type="dxa" w:w="3312"/>
            <w:vAlign w:val="center"/>
          </w:tcPr>
          <w:p>
            <w:pPr>
              <w:spacing w:after="20"/>
            </w:pPr>
            <w:r>
              <w:rPr>
                <w:rFonts w:ascii="Arial" w:hAnsi="Arial"/>
                <w:sz w:val="14"/>
              </w:rPr>
              <w:t>The generation instructions prohibit fabricated names, dates, amounts, laws, jurisdictions, and signatures; missing details use placeholders.</w:t>
            </w:r>
          </w:p>
        </w:tc>
        <w:tc>
          <w:tcPr>
            <w:tcW w:type="dxa" w:w="864"/>
            <w:vAlign w:val="center"/>
          </w:tcPr>
          <w:p>
            <w:pPr>
              <w:spacing w:after="20"/>
            </w:pPr>
            <w:r>
              <w:rPr>
                <w:rFonts w:ascii="Arial" w:hAnsi="Arial"/>
                <w:sz w:val="14"/>
              </w:rPr>
              <w:t>High</w:t>
            </w:r>
          </w:p>
        </w:tc>
        <w:tc>
          <w:tcPr>
            <w:tcW w:type="dxa" w:w="1008"/>
            <w:vAlign w:val="center"/>
          </w:tcPr>
          <w:p>
            <w:pPr>
              <w:spacing w:after="20"/>
            </w:pPr>
            <w:r>
              <w:rPr>
                <w:rFonts w:ascii="Arial" w:hAnsi="Arial"/>
                <w:sz w:val="14"/>
              </w:rPr>
              <w:t>Sprint-1</w:t>
            </w:r>
          </w:p>
        </w:tc>
      </w:tr>
    </w:tbl>
    <w:p>
      <w:pPr>
        <w:pStyle w:val="Heading1"/>
      </w:pPr>
      <w:r>
        <w:t>Scope and Evidence Note</w:t>
      </w:r>
    </w:p>
    <w:p>
      <w:r>
        <w:t>The DFDs reflect the documented Streamlit frontend, FastAPI endpoint (POST /api/generate), Gemini generation service, and TXT/DOCX/PDF export flow. No login, customer-care role, administrator workflow, or persistent database is included because these are not shown in the supplied project materials. Sprint and priority values are planning suggestions. Verify the running application before marking any story as completed.</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