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PROJECT DESIGN PHASE-II</w:t>
      </w:r>
    </w:p>
    <w:p>
      <w:pPr>
        <w:jc w:val="center"/>
      </w:pPr>
      <w:r>
        <w:rPr>
          <w:b/>
          <w:sz w:val="26"/>
        </w:rPr>
        <w:t>Solution Requirements (Functional &amp; Non-functional)</w:t>
      </w:r>
    </w:p>
    <w:tbl>
      <w:tblPr>
        <w:tblStyle w:val="TableGrid"/>
        <w:tblW w:type="auto" w:w="0"/>
        <w:jc w:val="center"/>
        <w:tblLook w:firstColumn="1" w:firstRow="1" w:lastColumn="0" w:lastRow="0" w:noHBand="0" w:noVBand="1" w:val="04A0"/>
      </w:tblPr>
      <w:tblGrid>
        <w:gridCol w:w="5328"/>
        <w:gridCol w:w="5328"/>
      </w:tblGrid>
      <w:tr>
        <w:tc>
          <w:tcPr>
            <w:tcW w:type="dxa" w:w="5328"/>
            <w:vAlign w:val="center"/>
          </w:tcPr>
          <w:p>
            <w:r>
              <w:rPr>
                <w:sz w:val="17"/>
              </w:rPr>
              <w:t>Date</w:t>
            </w:r>
          </w:p>
        </w:tc>
        <w:tc>
          <w:tcPr>
            <w:tcW w:type="dxa" w:w="5328"/>
            <w:vAlign w:val="center"/>
          </w:tcPr>
          <w:p>
            <w:r>
              <w:rPr>
                <w:sz w:val="17"/>
              </w:rPr>
              <w:t>02 October 2026</w:t>
            </w:r>
          </w:p>
        </w:tc>
      </w:tr>
      <w:tr>
        <w:tc>
          <w:tcPr>
            <w:tcW w:type="dxa" w:w="5328"/>
            <w:vAlign w:val="center"/>
          </w:tcPr>
          <w:p>
            <w:r>
              <w:rPr>
                <w:sz w:val="17"/>
              </w:rPr>
              <w:t>Team ID</w:t>
            </w:r>
          </w:p>
        </w:tc>
        <w:tc>
          <w:tcPr>
            <w:tcW w:type="dxa" w:w="5328"/>
            <w:vAlign w:val="center"/>
          </w:tcPr>
          <w:p>
            <w:r>
              <w:rPr>
                <w:sz w:val="17"/>
              </w:rPr>
              <w:t>SWTID-2026-9699</w:t>
            </w:r>
          </w:p>
        </w:tc>
      </w:tr>
      <w:tr>
        <w:tc>
          <w:tcPr>
            <w:tcW w:type="dxa" w:w="5328"/>
            <w:vAlign w:val="center"/>
          </w:tcPr>
          <w:p>
            <w:r>
              <w:rPr>
                <w:sz w:val="17"/>
              </w:rPr>
              <w:t>Project Name</w:t>
            </w:r>
          </w:p>
        </w:tc>
        <w:tc>
          <w:tcPr>
            <w:tcW w:type="dxa" w:w="5328"/>
            <w:vAlign w:val="center"/>
          </w:tcPr>
          <w:p>
            <w:r>
              <w:rPr>
                <w:sz w:val="17"/>
              </w:rPr>
              <w:t>LegalEase – AI-Powered Legal Document Generator</w:t>
            </w:r>
          </w:p>
        </w:tc>
      </w:tr>
      <w:tr>
        <w:tc>
          <w:tcPr>
            <w:tcW w:type="dxa" w:w="5328"/>
            <w:vAlign w:val="center"/>
          </w:tcPr>
          <w:p>
            <w:r>
              <w:rPr>
                <w:sz w:val="17"/>
              </w:rPr>
              <w:t>Maximum Marks</w:t>
            </w:r>
          </w:p>
        </w:tc>
        <w:tc>
          <w:tcPr>
            <w:tcW w:type="dxa" w:w="5328"/>
            <w:vAlign w:val="center"/>
          </w:tcPr>
          <w:p>
            <w:r>
              <w:rPr>
                <w:sz w:val="17"/>
              </w:rPr>
              <w:t>4 Marks</w:t>
            </w:r>
          </w:p>
        </w:tc>
      </w:tr>
    </w:tbl>
    <w:p>
      <w:pPr>
        <w:pStyle w:val="Heading1"/>
      </w:pPr>
      <w:r>
        <w:t>Functional Requirements</w:t>
      </w:r>
    </w:p>
    <w:p>
      <w:r>
        <w:t>Following are the functional requirements of the LegalEase solution, based on the supplied project documentation and code.</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F7"/>
          </w:tcPr>
          <w:p>
            <w:pPr>
              <w:spacing w:after="20"/>
            </w:pPr>
            <w:r>
              <w:rPr>
                <w:rFonts w:ascii="Arial" w:hAnsi="Arial"/>
                <w:b/>
                <w:sz w:val="16"/>
              </w:rPr>
              <w:t>FR No.</w:t>
            </w:r>
          </w:p>
        </w:tc>
        <w:tc>
          <w:tcPr>
            <w:tcW w:type="dxa" w:w="3552"/>
            <w:vAlign w:val="center"/>
            <w:shd w:fill="D9EAF7"/>
          </w:tcPr>
          <w:p>
            <w:pPr>
              <w:spacing w:after="20"/>
            </w:pPr>
            <w:r>
              <w:rPr>
                <w:rFonts w:ascii="Arial" w:hAnsi="Arial"/>
                <w:b/>
                <w:sz w:val="16"/>
              </w:rPr>
              <w:t>Functional Requirement (Epic)</w:t>
            </w:r>
          </w:p>
        </w:tc>
        <w:tc>
          <w:tcPr>
            <w:tcW w:type="dxa" w:w="3552"/>
            <w:vAlign w:val="center"/>
            <w:shd w:fill="D9EAF7"/>
          </w:tcPr>
          <w:p>
            <w:pPr>
              <w:spacing w:after="20"/>
            </w:pPr>
            <w:r>
              <w:rPr>
                <w:rFonts w:ascii="Arial" w:hAnsi="Arial"/>
                <w:b/>
                <w:sz w:val="16"/>
              </w:rPr>
              <w:t>Sub Requirement (Story / Sub-Task)</w:t>
            </w:r>
          </w:p>
        </w:tc>
      </w:tr>
      <w:tr>
        <w:tc>
          <w:tcPr>
            <w:tcW w:type="dxa" w:w="3552"/>
            <w:vAlign w:val="center"/>
          </w:tcPr>
          <w:p>
            <w:pPr>
              <w:spacing w:after="20"/>
            </w:pPr>
            <w:r>
              <w:rPr>
                <w:rFonts w:ascii="Arial" w:hAnsi="Arial"/>
                <w:sz w:val="16"/>
              </w:rPr>
              <w:t>FR-1</w:t>
            </w:r>
          </w:p>
        </w:tc>
        <w:tc>
          <w:tcPr>
            <w:tcW w:type="dxa" w:w="3552"/>
            <w:vAlign w:val="center"/>
          </w:tcPr>
          <w:p>
            <w:pPr>
              <w:spacing w:after="20"/>
            </w:pPr>
            <w:r>
              <w:rPr>
                <w:rFonts w:ascii="Arial" w:hAnsi="Arial"/>
                <w:sz w:val="16"/>
              </w:rPr>
              <w:t>Document Type Selection</w:t>
            </w:r>
          </w:p>
        </w:tc>
        <w:tc>
          <w:tcPr>
            <w:tcW w:type="dxa" w:w="3552"/>
            <w:vAlign w:val="center"/>
          </w:tcPr>
          <w:p>
            <w:pPr>
              <w:spacing w:after="20"/>
            </w:pPr>
            <w:r>
              <w:rPr>
                <w:rFonts w:ascii="Arial" w:hAnsi="Arial"/>
                <w:sz w:val="16"/>
              </w:rPr>
              <w:t>The user can select a supported document type: Non-Disclosure, Service, Employment, Lease, Partnership, Freelance, or General Legal Agreement.</w:t>
            </w:r>
          </w:p>
        </w:tc>
      </w:tr>
      <w:tr>
        <w:tc>
          <w:tcPr>
            <w:tcW w:type="dxa" w:w="3552"/>
            <w:vAlign w:val="center"/>
          </w:tcPr>
          <w:p>
            <w:pPr>
              <w:spacing w:after="20"/>
            </w:pPr>
            <w:r>
              <w:rPr>
                <w:rFonts w:ascii="Arial" w:hAnsi="Arial"/>
                <w:sz w:val="16"/>
              </w:rPr>
              <w:t>FR-2</w:t>
            </w:r>
          </w:p>
        </w:tc>
        <w:tc>
          <w:tcPr>
            <w:tcW w:type="dxa" w:w="3552"/>
            <w:vAlign w:val="center"/>
          </w:tcPr>
          <w:p>
            <w:pPr>
              <w:spacing w:after="20"/>
            </w:pPr>
            <w:r>
              <w:rPr>
                <w:rFonts w:ascii="Arial" w:hAnsi="Arial"/>
                <w:sz w:val="16"/>
              </w:rPr>
              <w:t>Document Details Input</w:t>
            </w:r>
          </w:p>
        </w:tc>
        <w:tc>
          <w:tcPr>
            <w:tcW w:type="dxa" w:w="3552"/>
            <w:vAlign w:val="center"/>
          </w:tcPr>
          <w:p>
            <w:pPr>
              <w:spacing w:after="20"/>
            </w:pPr>
            <w:r>
              <w:rPr>
                <w:rFonts w:ascii="Arial" w:hAnsi="Arial"/>
                <w:sz w:val="16"/>
              </w:rPr>
              <w:t>The user can enter the parties and terms and conditions required for the document.</w:t>
            </w:r>
          </w:p>
        </w:tc>
      </w:tr>
      <w:tr>
        <w:tc>
          <w:tcPr>
            <w:tcW w:type="dxa" w:w="3552"/>
            <w:vAlign w:val="center"/>
          </w:tcPr>
          <w:p>
            <w:pPr>
              <w:spacing w:after="20"/>
            </w:pPr>
            <w:r>
              <w:rPr>
                <w:rFonts w:ascii="Arial" w:hAnsi="Arial"/>
                <w:sz w:val="16"/>
              </w:rPr>
              <w:t>FR-3</w:t>
            </w:r>
          </w:p>
        </w:tc>
        <w:tc>
          <w:tcPr>
            <w:tcW w:type="dxa" w:w="3552"/>
            <w:vAlign w:val="center"/>
          </w:tcPr>
          <w:p>
            <w:pPr>
              <w:spacing w:after="20"/>
            </w:pPr>
            <w:r>
              <w:rPr>
                <w:rFonts w:ascii="Arial" w:hAnsi="Arial"/>
                <w:sz w:val="16"/>
              </w:rPr>
              <w:t>Optional Document Details</w:t>
            </w:r>
          </w:p>
        </w:tc>
        <w:tc>
          <w:tcPr>
            <w:tcW w:type="dxa" w:w="3552"/>
            <w:vAlign w:val="center"/>
          </w:tcPr>
          <w:p>
            <w:pPr>
              <w:spacing w:after="20"/>
            </w:pPr>
            <w:r>
              <w:rPr>
                <w:rFonts w:ascii="Arial" w:hAnsi="Arial"/>
                <w:sz w:val="16"/>
              </w:rPr>
              <w:t>The user can provide an optional effective date and brand name.</w:t>
            </w:r>
          </w:p>
        </w:tc>
      </w:tr>
      <w:tr>
        <w:tc>
          <w:tcPr>
            <w:tcW w:type="dxa" w:w="3552"/>
            <w:vAlign w:val="center"/>
          </w:tcPr>
          <w:p>
            <w:pPr>
              <w:spacing w:after="20"/>
            </w:pPr>
            <w:r>
              <w:rPr>
                <w:rFonts w:ascii="Arial" w:hAnsi="Arial"/>
                <w:sz w:val="16"/>
              </w:rPr>
              <w:t>FR-4</w:t>
            </w:r>
          </w:p>
        </w:tc>
        <w:tc>
          <w:tcPr>
            <w:tcW w:type="dxa" w:w="3552"/>
            <w:vAlign w:val="center"/>
          </w:tcPr>
          <w:p>
            <w:pPr>
              <w:spacing w:after="20"/>
            </w:pPr>
            <w:r>
              <w:rPr>
                <w:rFonts w:ascii="Arial" w:hAnsi="Arial"/>
                <w:sz w:val="16"/>
              </w:rPr>
              <w:t>Input Validation</w:t>
            </w:r>
          </w:p>
        </w:tc>
        <w:tc>
          <w:tcPr>
            <w:tcW w:type="dxa" w:w="3552"/>
            <w:vAlign w:val="center"/>
          </w:tcPr>
          <w:p>
            <w:pPr>
              <w:spacing w:after="20"/>
            </w:pPr>
            <w:r>
              <w:rPr>
                <w:rFonts w:ascii="Arial" w:hAnsi="Arial"/>
                <w:sz w:val="16"/>
              </w:rPr>
              <w:t>The application checks required inputs before generation. The API schema requires a non-empty document type and parties.</w:t>
            </w:r>
          </w:p>
        </w:tc>
      </w:tr>
      <w:tr>
        <w:tc>
          <w:tcPr>
            <w:tcW w:type="dxa" w:w="3552"/>
            <w:vAlign w:val="center"/>
          </w:tcPr>
          <w:p>
            <w:pPr>
              <w:spacing w:after="20"/>
            </w:pPr>
            <w:r>
              <w:rPr>
                <w:rFonts w:ascii="Arial" w:hAnsi="Arial"/>
                <w:sz w:val="16"/>
              </w:rPr>
              <w:t>FR-5</w:t>
            </w:r>
          </w:p>
        </w:tc>
        <w:tc>
          <w:tcPr>
            <w:tcW w:type="dxa" w:w="3552"/>
            <w:vAlign w:val="center"/>
          </w:tcPr>
          <w:p>
            <w:pPr>
              <w:spacing w:after="20"/>
            </w:pPr>
            <w:r>
              <w:rPr>
                <w:rFonts w:ascii="Arial" w:hAnsi="Arial"/>
                <w:sz w:val="16"/>
              </w:rPr>
              <w:t>AI Draft Generation</w:t>
            </w:r>
          </w:p>
        </w:tc>
        <w:tc>
          <w:tcPr>
            <w:tcW w:type="dxa" w:w="3552"/>
            <w:vAlign w:val="center"/>
          </w:tcPr>
          <w:p>
            <w:pPr>
              <w:spacing w:after="20"/>
            </w:pPr>
            <w:r>
              <w:rPr>
                <w:rFonts w:ascii="Arial" w:hAnsi="Arial"/>
                <w:sz w:val="16"/>
              </w:rPr>
              <w:t>The system constructs a prompt and sends the document details to Google Gemini to generate a professional first draft.</w:t>
            </w:r>
          </w:p>
        </w:tc>
      </w:tr>
      <w:tr>
        <w:tc>
          <w:tcPr>
            <w:tcW w:type="dxa" w:w="3552"/>
            <w:vAlign w:val="center"/>
          </w:tcPr>
          <w:p>
            <w:pPr>
              <w:spacing w:after="20"/>
            </w:pPr>
            <w:r>
              <w:rPr>
                <w:rFonts w:ascii="Arial" w:hAnsi="Arial"/>
                <w:sz w:val="16"/>
              </w:rPr>
              <w:t>FR-6</w:t>
            </w:r>
          </w:p>
        </w:tc>
        <w:tc>
          <w:tcPr>
            <w:tcW w:type="dxa" w:w="3552"/>
            <w:vAlign w:val="center"/>
          </w:tcPr>
          <w:p>
            <w:pPr>
              <w:spacing w:after="20"/>
            </w:pPr>
            <w:r>
              <w:rPr>
                <w:rFonts w:ascii="Arial" w:hAnsi="Arial"/>
                <w:sz w:val="16"/>
              </w:rPr>
              <w:t>Draft Preview</w:t>
            </w:r>
          </w:p>
        </w:tc>
        <w:tc>
          <w:tcPr>
            <w:tcW w:type="dxa" w:w="3552"/>
            <w:vAlign w:val="center"/>
          </w:tcPr>
          <w:p>
            <w:pPr>
              <w:spacing w:after="20"/>
            </w:pPr>
            <w:r>
              <w:rPr>
                <w:rFonts w:ascii="Arial" w:hAnsi="Arial"/>
                <w:sz w:val="16"/>
              </w:rPr>
              <w:t>The application displays the generated document text so the user can review it.</w:t>
            </w:r>
          </w:p>
        </w:tc>
      </w:tr>
      <w:tr>
        <w:tc>
          <w:tcPr>
            <w:tcW w:type="dxa" w:w="3552"/>
            <w:vAlign w:val="center"/>
          </w:tcPr>
          <w:p>
            <w:pPr>
              <w:spacing w:after="20"/>
            </w:pPr>
            <w:r>
              <w:rPr>
                <w:rFonts w:ascii="Arial" w:hAnsi="Arial"/>
                <w:sz w:val="16"/>
              </w:rPr>
              <w:t>FR-7</w:t>
            </w:r>
          </w:p>
        </w:tc>
        <w:tc>
          <w:tcPr>
            <w:tcW w:type="dxa" w:w="3552"/>
            <w:vAlign w:val="center"/>
          </w:tcPr>
          <w:p>
            <w:pPr>
              <w:spacing w:after="20"/>
            </w:pPr>
            <w:r>
              <w:rPr>
                <w:rFonts w:ascii="Arial" w:hAnsi="Arial"/>
                <w:sz w:val="16"/>
              </w:rPr>
              <w:t>Document Export</w:t>
            </w:r>
          </w:p>
        </w:tc>
        <w:tc>
          <w:tcPr>
            <w:tcW w:type="dxa" w:w="3552"/>
            <w:vAlign w:val="center"/>
          </w:tcPr>
          <w:p>
            <w:pPr>
              <w:spacing w:after="20"/>
            </w:pPr>
            <w:r>
              <w:rPr>
                <w:rFonts w:ascii="Arial" w:hAnsi="Arial"/>
                <w:sz w:val="16"/>
              </w:rPr>
              <w:t>The user can download the generated document in TXT, DOCX, or PDF format.</w:t>
            </w:r>
          </w:p>
        </w:tc>
      </w:tr>
      <w:tr>
        <w:tc>
          <w:tcPr>
            <w:tcW w:type="dxa" w:w="3552"/>
            <w:vAlign w:val="center"/>
          </w:tcPr>
          <w:p>
            <w:pPr>
              <w:spacing w:after="20"/>
            </w:pPr>
            <w:r>
              <w:rPr>
                <w:rFonts w:ascii="Arial" w:hAnsi="Arial"/>
                <w:sz w:val="16"/>
              </w:rPr>
              <w:t>FR-8</w:t>
            </w:r>
          </w:p>
        </w:tc>
        <w:tc>
          <w:tcPr>
            <w:tcW w:type="dxa" w:w="3552"/>
            <w:vAlign w:val="center"/>
          </w:tcPr>
          <w:p>
            <w:pPr>
              <w:spacing w:after="20"/>
            </w:pPr>
            <w:r>
              <w:rPr>
                <w:rFonts w:ascii="Arial" w:hAnsi="Arial"/>
                <w:sz w:val="16"/>
              </w:rPr>
              <w:t>Error Handling</w:t>
            </w:r>
          </w:p>
        </w:tc>
        <w:tc>
          <w:tcPr>
            <w:tcW w:type="dxa" w:w="3552"/>
            <w:vAlign w:val="center"/>
          </w:tcPr>
          <w:p>
            <w:pPr>
              <w:spacing w:after="20"/>
            </w:pPr>
            <w:r>
              <w:rPr>
                <w:rFonts w:ascii="Arial" w:hAnsi="Arial"/>
                <w:sz w:val="16"/>
              </w:rPr>
              <w:t>The API returns an error response if document generation fails; the frontend should communicate failure rather than show a completed draft.</w:t>
            </w:r>
          </w:p>
        </w:tc>
      </w:tr>
      <w:tr>
        <w:tc>
          <w:tcPr>
            <w:tcW w:type="dxa" w:w="3552"/>
            <w:vAlign w:val="center"/>
          </w:tcPr>
          <w:p>
            <w:pPr>
              <w:spacing w:after="20"/>
            </w:pPr>
            <w:r>
              <w:rPr>
                <w:rFonts w:ascii="Arial" w:hAnsi="Arial"/>
                <w:sz w:val="16"/>
              </w:rPr>
              <w:t>FR-9</w:t>
            </w:r>
          </w:p>
        </w:tc>
        <w:tc>
          <w:tcPr>
            <w:tcW w:type="dxa" w:w="3552"/>
            <w:vAlign w:val="center"/>
          </w:tcPr>
          <w:p>
            <w:pPr>
              <w:spacing w:after="20"/>
            </w:pPr>
            <w:r>
              <w:rPr>
                <w:rFonts w:ascii="Arial" w:hAnsi="Arial"/>
                <w:sz w:val="16"/>
              </w:rPr>
              <w:t>Safe Drafting</w:t>
            </w:r>
          </w:p>
        </w:tc>
        <w:tc>
          <w:tcPr>
            <w:tcW w:type="dxa" w:w="3552"/>
            <w:vAlign w:val="center"/>
          </w:tcPr>
          <w:p>
            <w:pPr>
              <w:spacing w:after="20"/>
            </w:pPr>
            <w:r>
              <w:rPr>
                <w:rFonts w:ascii="Arial" w:hAnsi="Arial"/>
                <w:sz w:val="16"/>
              </w:rPr>
              <w:t>The generation instructions prohibit fabricated facts and require placeholders for missing information; the output must be identified as a first draft, not legal advice.</w:t>
            </w:r>
          </w:p>
        </w:tc>
      </w:tr>
    </w:tbl>
    <w:p>
      <w:pPr>
        <w:pStyle w:val="Heading1"/>
      </w:pPr>
      <w:r>
        <w:t>Non-functional Requirements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F7"/>
          </w:tcPr>
          <w:p>
            <w:pPr>
              <w:spacing w:after="20"/>
            </w:pPr>
            <w:r>
              <w:rPr>
                <w:rFonts w:ascii="Arial" w:hAnsi="Arial"/>
                <w:b/>
                <w:sz w:val="16"/>
              </w:rPr>
              <w:t>NFR No.</w:t>
            </w:r>
          </w:p>
        </w:tc>
        <w:tc>
          <w:tcPr>
            <w:tcW w:type="dxa" w:w="3552"/>
            <w:vAlign w:val="center"/>
            <w:shd w:fill="D9EAF7"/>
          </w:tcPr>
          <w:p>
            <w:pPr>
              <w:spacing w:after="20"/>
            </w:pPr>
            <w:r>
              <w:rPr>
                <w:rFonts w:ascii="Arial" w:hAnsi="Arial"/>
                <w:b/>
                <w:sz w:val="16"/>
              </w:rPr>
              <w:t>Non-Functional Requirement</w:t>
            </w:r>
          </w:p>
        </w:tc>
        <w:tc>
          <w:tcPr>
            <w:tcW w:type="dxa" w:w="3552"/>
            <w:vAlign w:val="center"/>
            <w:shd w:fill="D9EAF7"/>
          </w:tcPr>
          <w:p>
            <w:pPr>
              <w:spacing w:after="20"/>
            </w:pPr>
            <w:r>
              <w:rPr>
                <w:rFonts w:ascii="Arial" w:hAnsi="Arial"/>
                <w:b/>
                <w:sz w:val="16"/>
              </w:rPr>
              <w:t>Description</w:t>
            </w:r>
          </w:p>
        </w:tc>
      </w:tr>
      <w:tr>
        <w:tc>
          <w:tcPr>
            <w:tcW w:type="dxa" w:w="3552"/>
            <w:vAlign w:val="center"/>
          </w:tcPr>
          <w:p>
            <w:pPr>
              <w:spacing w:after="20"/>
            </w:pPr>
            <w:r>
              <w:rPr>
                <w:rFonts w:ascii="Arial" w:hAnsi="Arial"/>
                <w:sz w:val="16"/>
              </w:rPr>
              <w:t>NFR-1</w:t>
            </w:r>
          </w:p>
        </w:tc>
        <w:tc>
          <w:tcPr>
            <w:tcW w:type="dxa" w:w="3552"/>
            <w:vAlign w:val="center"/>
          </w:tcPr>
          <w:p>
            <w:pPr>
              <w:spacing w:after="20"/>
            </w:pPr>
            <w:r>
              <w:rPr>
                <w:rFonts w:ascii="Arial" w:hAnsi="Arial"/>
                <w:sz w:val="16"/>
              </w:rPr>
              <w:t>Usability</w:t>
            </w:r>
          </w:p>
        </w:tc>
        <w:tc>
          <w:tcPr>
            <w:tcW w:type="dxa" w:w="3552"/>
            <w:vAlign w:val="center"/>
          </w:tcPr>
          <w:p>
            <w:pPr>
              <w:spacing w:after="20"/>
            </w:pPr>
            <w:r>
              <w:rPr>
                <w:rFonts w:ascii="Arial" w:hAnsi="Arial"/>
                <w:sz w:val="16"/>
              </w:rPr>
              <w:t>The Streamlit interface provides a document-type selector, input fields, a generation action, a draft preview, and download buttons.</w:t>
            </w:r>
          </w:p>
        </w:tc>
      </w:tr>
      <w:tr>
        <w:tc>
          <w:tcPr>
            <w:tcW w:type="dxa" w:w="3552"/>
            <w:vAlign w:val="center"/>
          </w:tcPr>
          <w:p>
            <w:pPr>
              <w:spacing w:after="20"/>
            </w:pPr>
            <w:r>
              <w:rPr>
                <w:rFonts w:ascii="Arial" w:hAnsi="Arial"/>
                <w:sz w:val="16"/>
              </w:rPr>
              <w:t>NFR-2</w:t>
            </w:r>
          </w:p>
        </w:tc>
        <w:tc>
          <w:tcPr>
            <w:tcW w:type="dxa" w:w="3552"/>
            <w:vAlign w:val="center"/>
          </w:tcPr>
          <w:p>
            <w:pPr>
              <w:spacing w:after="20"/>
            </w:pPr>
            <w:r>
              <w:rPr>
                <w:rFonts w:ascii="Arial" w:hAnsi="Arial"/>
                <w:sz w:val="16"/>
              </w:rPr>
              <w:t>Security</w:t>
            </w:r>
          </w:p>
        </w:tc>
        <w:tc>
          <w:tcPr>
            <w:tcW w:type="dxa" w:w="3552"/>
            <w:vAlign w:val="center"/>
          </w:tcPr>
          <w:p>
            <w:pPr>
              <w:spacing w:after="20"/>
            </w:pPr>
            <w:r>
              <w:rPr>
                <w:rFonts w:ascii="Arial" w:hAnsi="Arial"/>
                <w:sz w:val="16"/>
              </w:rPr>
              <w:t>The Gemini API key is configured through GEMINI_API_KEY. The supplied code does not confirm user authentication, authorization, or encryption at rest; these should be assessed for the deployment environment.</w:t>
            </w:r>
          </w:p>
        </w:tc>
      </w:tr>
      <w:tr>
        <w:tc>
          <w:tcPr>
            <w:tcW w:type="dxa" w:w="3552"/>
            <w:vAlign w:val="center"/>
          </w:tcPr>
          <w:p>
            <w:pPr>
              <w:spacing w:after="20"/>
            </w:pPr>
            <w:r>
              <w:rPr>
                <w:rFonts w:ascii="Arial" w:hAnsi="Arial"/>
                <w:sz w:val="16"/>
              </w:rPr>
              <w:t>NFR-3</w:t>
            </w:r>
          </w:p>
        </w:tc>
        <w:tc>
          <w:tcPr>
            <w:tcW w:type="dxa" w:w="3552"/>
            <w:vAlign w:val="center"/>
          </w:tcPr>
          <w:p>
            <w:pPr>
              <w:spacing w:after="20"/>
            </w:pPr>
            <w:r>
              <w:rPr>
                <w:rFonts w:ascii="Arial" w:hAnsi="Arial"/>
                <w:sz w:val="16"/>
              </w:rPr>
              <w:t>Reliability</w:t>
            </w:r>
          </w:p>
        </w:tc>
        <w:tc>
          <w:tcPr>
            <w:tcW w:type="dxa" w:w="3552"/>
            <w:vAlign w:val="center"/>
          </w:tcPr>
          <w:p>
            <w:pPr>
              <w:spacing w:after="20"/>
            </w:pPr>
            <w:r>
              <w:rPr>
                <w:rFonts w:ascii="Arial" w:hAnsi="Arial"/>
                <w:sz w:val="16"/>
              </w:rPr>
              <w:t>The API uses Pydantic request/response schemas and exposes a /health endpoint. Generation depends on a valid Gemini API key and network availability.</w:t>
            </w:r>
          </w:p>
        </w:tc>
      </w:tr>
      <w:tr>
        <w:tc>
          <w:tcPr>
            <w:tcW w:type="dxa" w:w="3552"/>
            <w:vAlign w:val="center"/>
          </w:tcPr>
          <w:p>
            <w:pPr>
              <w:spacing w:after="20"/>
            </w:pPr>
            <w:r>
              <w:rPr>
                <w:rFonts w:ascii="Arial" w:hAnsi="Arial"/>
                <w:sz w:val="16"/>
              </w:rPr>
              <w:t>NFR-4</w:t>
            </w:r>
          </w:p>
        </w:tc>
        <w:tc>
          <w:tcPr>
            <w:tcW w:type="dxa" w:w="3552"/>
            <w:vAlign w:val="center"/>
          </w:tcPr>
          <w:p>
            <w:pPr>
              <w:spacing w:after="20"/>
            </w:pPr>
            <w:r>
              <w:rPr>
                <w:rFonts w:ascii="Arial" w:hAnsi="Arial"/>
                <w:sz w:val="16"/>
              </w:rPr>
              <w:t>Performance</w:t>
            </w:r>
          </w:p>
        </w:tc>
        <w:tc>
          <w:tcPr>
            <w:tcW w:type="dxa" w:w="3552"/>
            <w:vAlign w:val="center"/>
          </w:tcPr>
          <w:p>
            <w:pPr>
              <w:spacing w:after="20"/>
            </w:pPr>
            <w:r>
              <w:rPr>
                <w:rFonts w:ascii="Arial" w:hAnsi="Arial"/>
                <w:sz w:val="16"/>
              </w:rPr>
              <w:t>Document generation requires an external Gemini API call. No measured response-time target, requests-per-second figure, or caching mechanism is specified in the supplied materials.</w:t>
            </w:r>
          </w:p>
        </w:tc>
      </w:tr>
      <w:tr>
        <w:tc>
          <w:tcPr>
            <w:tcW w:type="dxa" w:w="3552"/>
            <w:vAlign w:val="center"/>
          </w:tcPr>
          <w:p>
            <w:pPr>
              <w:spacing w:after="20"/>
            </w:pPr>
            <w:r>
              <w:rPr>
                <w:rFonts w:ascii="Arial" w:hAnsi="Arial"/>
                <w:sz w:val="16"/>
              </w:rPr>
              <w:t>NFR-5</w:t>
            </w:r>
          </w:p>
        </w:tc>
        <w:tc>
          <w:tcPr>
            <w:tcW w:type="dxa" w:w="3552"/>
            <w:vAlign w:val="center"/>
          </w:tcPr>
          <w:p>
            <w:pPr>
              <w:spacing w:after="20"/>
            </w:pPr>
            <w:r>
              <w:rPr>
                <w:rFonts w:ascii="Arial" w:hAnsi="Arial"/>
                <w:sz w:val="16"/>
              </w:rPr>
              <w:t>Availability</w:t>
            </w:r>
          </w:p>
        </w:tc>
        <w:tc>
          <w:tcPr>
            <w:tcW w:type="dxa" w:w="3552"/>
            <w:vAlign w:val="center"/>
          </w:tcPr>
          <w:p>
            <w:pPr>
              <w:spacing w:after="20"/>
            </w:pPr>
            <w:r>
              <w:rPr>
                <w:rFonts w:ascii="Arial" w:hAnsi="Arial"/>
                <w:sz w:val="16"/>
              </w:rPr>
              <w:t>The application can expose an API health endpoint. Redundancy, load balancing, uptime target, and production hosting are not specified in the supplied materials.</w:t>
            </w:r>
          </w:p>
        </w:tc>
      </w:tr>
      <w:tr>
        <w:tc>
          <w:tcPr>
            <w:tcW w:type="dxa" w:w="3552"/>
            <w:vAlign w:val="center"/>
          </w:tcPr>
          <w:p>
            <w:pPr>
              <w:spacing w:after="20"/>
            </w:pPr>
            <w:r>
              <w:rPr>
                <w:rFonts w:ascii="Arial" w:hAnsi="Arial"/>
                <w:sz w:val="16"/>
              </w:rPr>
              <w:t>NFR-6</w:t>
            </w:r>
          </w:p>
        </w:tc>
        <w:tc>
          <w:tcPr>
            <w:tcW w:type="dxa" w:w="3552"/>
            <w:vAlign w:val="center"/>
          </w:tcPr>
          <w:p>
            <w:pPr>
              <w:spacing w:after="20"/>
            </w:pPr>
            <w:r>
              <w:rPr>
                <w:rFonts w:ascii="Arial" w:hAnsi="Arial"/>
                <w:sz w:val="16"/>
              </w:rPr>
              <w:t>Scalability</w:t>
            </w:r>
          </w:p>
        </w:tc>
        <w:tc>
          <w:tcPr>
            <w:tcW w:type="dxa" w:w="3552"/>
            <w:vAlign w:val="center"/>
          </w:tcPr>
          <w:p>
            <w:pPr>
              <w:spacing w:after="20"/>
            </w:pPr>
            <w:r>
              <w:rPr>
                <w:rFonts w:ascii="Arial" w:hAnsi="Arial"/>
                <w:sz w:val="16"/>
              </w:rPr>
              <w:t>Frontend, API routing, generation, and document formatting are separated into components. The supplied code does not establish a distributed or independently autoscaled architecture.</w:t>
            </w:r>
          </w:p>
        </w:tc>
      </w:tr>
    </w:tbl>
    <w:p>
      <w:pPr>
        <w:pStyle w:val="Heading1"/>
      </w:pPr>
      <w:r>
        <w:t>Scope and Evidence Note</w:t>
      </w:r>
    </w:p>
    <w:p>
      <w:r>
        <w:t>These requirements describe capabilities and constraints supported by the supplied LegalEase project materials. User registration, Gmail/LinkedIn login, email confirmation, and OTP confirmation are not included because they are not shown in the supplied implementation. Performance targets and production availability commitments have not been provided and should not be treated as verified.</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