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DESIGN PHASE-II</w:t>
      </w:r>
    </w:p>
    <w:p>
      <w:pPr>
        <w:jc w:val="center"/>
      </w:pPr>
      <w:r>
        <w:rPr>
          <w:b/>
          <w:sz w:val="26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7"/>
              </w:rPr>
              <w:t>02 October 2026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7"/>
              </w:rPr>
              <w:t>SWTID-2026-9699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7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7"/>
              </w:rPr>
              <w:t>LegalEase – AI-Powered Legal Document Generator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sz w:val="17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r>
              <w:rPr>
                <w:sz w:val="17"/>
              </w:rPr>
              <w:t>4 Marks</w:t>
            </w:r>
          </w:p>
        </w:tc>
      </w:tr>
    </w:tbl>
    <w:p>
      <w:pPr>
        <w:pStyle w:val="Heading1"/>
      </w:pPr>
      <w:r>
        <w:t>Technical Architecture</w:t>
      </w:r>
    </w:p>
    <w:p>
      <w:r>
        <w:t>LegalEase is organized as a Streamlit user interface, a FastAPI backend, a Gemini-based generation service, and a document-formatting service. The architecture below shows the main components and the flow between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364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lEase_Technical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Deployment boundary: the application can be run locally or hosted, depending on the configured environment. The supplied project material does not identify a confirmed production hosting configuration. Gemini is an external API. No persistent database is shown in the supplied implementation.</w:t>
      </w:r>
    </w:p>
    <w:p>
      <w:pPr>
        <w:pStyle w:val="Heading1"/>
      </w:pPr>
      <w:r>
        <w:t>Table-1: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>
              <w:rPr>
                <w:rFonts w:ascii="Arial" w:hAnsi="Arial"/>
                <w:b/>
                <w:sz w:val="14"/>
              </w:rPr>
              <w:t>S.No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>
              <w:rPr>
                <w:rFonts w:ascii="Arial" w:hAnsi="Arial"/>
                <w:b/>
                <w:sz w:val="14"/>
              </w:rPr>
              <w:t>Component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>
              <w:rPr>
                <w:rFonts w:ascii="Arial" w:hAnsi="Arial"/>
                <w:b/>
                <w:sz w:val="14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User Interface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Web interface for selecting a document type, entering details, viewing the generated draft, and downloading files.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Python, Streamlit (frontend/app.py)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Application Logic-1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Receives and validates the document-generation request.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Python, FastAPI, Pydantic (backend/main.py, schemas.py, routes.py)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Application Logic-2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Builds the prompt and requests a legal-document first draft.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Google GenAI SDK; Gemini model (default: gemini-2.5-flash)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Application Logic-3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Normalizes generated content and creates downloadable document formats.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Python; python-docx; ReportLab (document_service.py)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Database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The supplied implementation does not show a database for persistent application records.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Not specified / not present in supplied code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Cloud Database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 cloud database service is shown in the supplied project materials.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Not specified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File Storage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Generated TXT, DOCX, and PDF files are prepared for user download. Persistent server-side storage is not established by the supplied code.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In-memory generation and download response; local file system may be used by runtime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External API-1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Generates the requested first-draft legal document from the prompt and user-provided details.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Google Gemini API via Google GenAI SDK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External API-2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 second external API is identified in the supplied project code.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Not applicable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Machine Learning Model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Language generation for drafting document text.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Gemini; default model gemini-2.5-flash; configurable using GEMINI_MODEL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Infrastructure (Server / Cloud)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Streamlit frontend and FastAPI backend run as application services. Environment variables configure the Gemini key/model.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4"/>
              </w:rPr>
              <w:t>Local or hosted runtime; Docker support is included; production host not confirmed</w:t>
            </w:r>
          </w:p>
        </w:tc>
      </w:tr>
    </w:tbl>
    <w:p>
      <w:pPr>
        <w:pStyle w:val="Heading1"/>
      </w:pPr>
      <w:r>
        <w:t>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S.No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Characteristics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Description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Technology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Open-Source Frameworks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The application uses open-source Python frameworks and document-generation libraries.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Streamlit, FastAPI, Pydantic, python-docx, ReportLab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Security Implementations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The Gemini API key is read from GEMINI_API_KEY rather than hard-coded in the generator. The supplied code does not establish authentication, role-based access, or encryption at rest.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Environment variable configuration; additional access controls should be verified before deployment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Scalable Architecture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The frontend, API routes, generation service, and document formatting service are separated into components. The supplied material does not demonstrate independently scaled microservices.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Streamlit + FastAPI + service modules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Availability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The API includes a /health endpoint. High availability, load balancing, and distributed deployment are not evidenced in the supplied files.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FastAPI health endpoint; hosting configuration dependent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Performance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Generation calls an external Gemini model. Prompt generation uses temperature 0.2; no measured requests-per-second, cache, or CDN configuration is supplied.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Gemini API; asynchronous throughput / caching not claimed</w:t>
            </w:r>
          </w:p>
        </w:tc>
      </w:tr>
    </w:tbl>
    <w:p>
      <w:pPr>
        <w:pStyle w:val="Heading1"/>
      </w:pPr>
      <w:r>
        <w:t>Configuration &amp; Notes</w:t>
      </w:r>
    </w:p>
    <w:p>
      <w:r>
        <w:t>Required configuration: GEMINI_API_KEY. Optional configuration: GEMINI_MODEL, which overrides the default model. Generated content is a first draft and should be reviewed by a qualified legal professional. The technology and deployment details above are limited to what is described in the supplied LegalEase project documentation and code.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