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ACCEPTANCE TESTING</w:t>
      </w:r>
    </w:p>
    <w:p>
      <w:pPr>
        <w:jc w:val="center"/>
      </w:pPr>
      <w:r>
        <w:rPr>
          <w:b/>
          <w:sz w:val="24"/>
        </w:rPr>
        <w:t>UAT Execution &amp; Report Submission</w:t>
      </w:r>
    </w:p>
    <w:p>
      <w:pPr>
        <w:jc w:val="center"/>
      </w:pPr>
      <w:r>
        <w:rPr>
          <w:b/>
          <w:sz w:val="20"/>
        </w:rPr>
        <w:t>LegalEase – AI-Powered Legal Document Generator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spacing w:after="20"/>
            </w:pPr>
            <w:r>
              <w:rPr>
                <w:rFonts w:ascii="Arial" w:hAnsi="Arial"/>
                <w:b/>
                <w:color w:val="1F4E79"/>
                <w:sz w:val="18"/>
              </w:rPr>
              <w:t>Date</w:t>
            </w:r>
          </w:p>
        </w:tc>
        <w:tc>
          <w:tcPr>
            <w:tcW w:type="dxa" w:w="5184"/>
            <w:vAlign w:val="center"/>
          </w:tcPr>
          <w:p>
            <w:pPr>
              <w:spacing w:after="20"/>
            </w:pPr>
            <w:r>
              <w:rPr>
                <w:rFonts w:ascii="Arial" w:hAnsi="Arial"/>
                <w:sz w:val="18"/>
              </w:rPr>
              <w:t>02 October 2026</w:t>
            </w:r>
          </w:p>
        </w:tc>
      </w:tr>
      <w:tr>
        <w:tc>
          <w:tcPr>
            <w:tcW w:type="dxa" w:w="5184"/>
            <w:vAlign w:val="center"/>
          </w:tcPr>
          <w:p>
            <w:pPr>
              <w:spacing w:after="20"/>
            </w:pPr>
            <w:r>
              <w:rPr>
                <w:rFonts w:ascii="Arial" w:hAnsi="Arial"/>
                <w:b/>
                <w:color w:val="1F4E79"/>
                <w:sz w:val="18"/>
              </w:rPr>
              <w:t>Team ID</w:t>
            </w:r>
          </w:p>
        </w:tc>
        <w:tc>
          <w:tcPr>
            <w:tcW w:type="dxa" w:w="5184"/>
            <w:vAlign w:val="center"/>
          </w:tcPr>
          <w:p>
            <w:pPr>
              <w:spacing w:after="20"/>
            </w:pPr>
            <w:r>
              <w:rPr>
                <w:rFonts w:ascii="Arial" w:hAnsi="Arial"/>
                <w:sz w:val="18"/>
              </w:rPr>
              <w:t>SWTID-2026-9699</w:t>
            </w:r>
          </w:p>
        </w:tc>
      </w:tr>
      <w:tr>
        <w:tc>
          <w:tcPr>
            <w:tcW w:type="dxa" w:w="5184"/>
            <w:vAlign w:val="center"/>
          </w:tcPr>
          <w:p>
            <w:pPr>
              <w:spacing w:after="20"/>
            </w:pPr>
            <w:r>
              <w:rPr>
                <w:rFonts w:ascii="Arial" w:hAnsi="Arial"/>
                <w:b/>
                <w:color w:val="1F4E79"/>
                <w:sz w:val="18"/>
              </w:rPr>
              <w:t>Project Name</w:t>
            </w:r>
          </w:p>
        </w:tc>
        <w:tc>
          <w:tcPr>
            <w:tcW w:type="dxa" w:w="5184"/>
            <w:vAlign w:val="center"/>
          </w:tcPr>
          <w:p>
            <w:pPr>
              <w:spacing w:after="20"/>
            </w:pPr>
            <w:r>
              <w:rPr>
                <w:rFonts w:ascii="Arial" w:hAnsi="Arial"/>
                <w:sz w:val="18"/>
              </w:rPr>
              <w:t>LegalEase</w:t>
            </w:r>
          </w:p>
        </w:tc>
      </w:tr>
      <w:tr>
        <w:tc>
          <w:tcPr>
            <w:tcW w:type="dxa" w:w="5184"/>
            <w:vAlign w:val="center"/>
          </w:tcPr>
          <w:p>
            <w:pPr>
              <w:spacing w:after="20"/>
            </w:pPr>
            <w:r>
              <w:rPr>
                <w:rFonts w:ascii="Arial" w:hAnsi="Arial"/>
                <w:b/>
                <w:color w:val="1F4E79"/>
                <w:sz w:val="18"/>
              </w:rPr>
              <w:t>Maximum Marks</w:t>
            </w:r>
          </w:p>
        </w:tc>
        <w:tc>
          <w:tcPr>
            <w:tcW w:type="dxa" w:w="5184"/>
            <w:vAlign w:val="center"/>
          </w:tcPr>
          <w:p>
            <w:pPr>
              <w:spacing w:after="20"/>
            </w:pPr>
            <w:r>
              <w:rPr>
                <w:rFonts w:ascii="Arial" w:hAnsi="Arial"/>
                <w:sz w:val="18"/>
              </w:rPr>
              <w:t>4 Marks</w:t>
            </w:r>
          </w:p>
        </w:tc>
      </w:tr>
    </w:tbl>
    <w:p/>
    <w:p>
      <w:r>
        <w:rPr>
          <w:b/>
          <w:color w:val="1F4E79"/>
          <w:sz w:val="24"/>
        </w:rPr>
        <w:t>1. Purpose of Document</w:t>
      </w:r>
    </w:p>
    <w:p>
      <w:r>
        <w:t>This document summarizes the User Acceptance Testing (UAT) coverage and known issue status for LegalEase, an AI-powered legal document generator. It is prepared for the UAT stage using the available project description and test scenarios. The report records planned coverage; execution results have not been supplied.</w:t>
      </w:r>
    </w:p>
    <w:p>
      <w:r>
        <w:rPr>
          <w:b/>
          <w:color w:val="1F4E79"/>
          <w:sz w:val="24"/>
        </w:rPr>
        <w:t>2. Defect Analysis</w:t>
      </w:r>
    </w:p>
    <w:p>
      <w:r>
        <w:t>This section is intended to summarize defects by resolution and severity. No executed UAT defect log or verified defect counts were provided. Therefore, defect quantities are marked as Not Recorded rather than being assumed to be zero.</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9"/>
          </w:tcPr>
          <w:p>
            <w:pPr>
              <w:spacing w:after="20" w:before="20"/>
            </w:pPr>
            <w:r>
              <w:rPr>
                <w:rFonts w:ascii="Arial" w:hAnsi="Arial"/>
                <w:b/>
                <w:color w:val="FFFFFF"/>
                <w:sz w:val="15"/>
              </w:rPr>
              <w:t>Resolution</w:t>
            </w:r>
          </w:p>
        </w:tc>
        <w:tc>
          <w:tcPr>
            <w:tcW w:type="dxa" w:w="1728"/>
            <w:vAlign w:val="center"/>
            <w:shd w:fill="1F4E79"/>
          </w:tcPr>
          <w:p>
            <w:pPr>
              <w:spacing w:after="20" w:before="20"/>
            </w:pPr>
            <w:r>
              <w:rPr>
                <w:rFonts w:ascii="Arial" w:hAnsi="Arial"/>
                <w:b/>
                <w:color w:val="FFFFFF"/>
                <w:sz w:val="15"/>
              </w:rPr>
              <w:t>Severity 1</w:t>
            </w:r>
          </w:p>
        </w:tc>
        <w:tc>
          <w:tcPr>
            <w:tcW w:type="dxa" w:w="1728"/>
            <w:vAlign w:val="center"/>
            <w:shd w:fill="1F4E79"/>
          </w:tcPr>
          <w:p>
            <w:pPr>
              <w:spacing w:after="20" w:before="20"/>
            </w:pPr>
            <w:r>
              <w:rPr>
                <w:rFonts w:ascii="Arial" w:hAnsi="Arial"/>
                <w:b/>
                <w:color w:val="FFFFFF"/>
                <w:sz w:val="15"/>
              </w:rPr>
              <w:t>Severity 2</w:t>
            </w:r>
          </w:p>
        </w:tc>
        <w:tc>
          <w:tcPr>
            <w:tcW w:type="dxa" w:w="1728"/>
            <w:vAlign w:val="center"/>
            <w:shd w:fill="1F4E79"/>
          </w:tcPr>
          <w:p>
            <w:pPr>
              <w:spacing w:after="20" w:before="20"/>
            </w:pPr>
            <w:r>
              <w:rPr>
                <w:rFonts w:ascii="Arial" w:hAnsi="Arial"/>
                <w:b/>
                <w:color w:val="FFFFFF"/>
                <w:sz w:val="15"/>
              </w:rPr>
              <w:t>Severity 3</w:t>
            </w:r>
          </w:p>
        </w:tc>
        <w:tc>
          <w:tcPr>
            <w:tcW w:type="dxa" w:w="1728"/>
            <w:vAlign w:val="center"/>
            <w:shd w:fill="1F4E79"/>
          </w:tcPr>
          <w:p>
            <w:pPr>
              <w:spacing w:after="20" w:before="20"/>
            </w:pPr>
            <w:r>
              <w:rPr>
                <w:rFonts w:ascii="Arial" w:hAnsi="Arial"/>
                <w:b/>
                <w:color w:val="FFFFFF"/>
                <w:sz w:val="15"/>
              </w:rPr>
              <w:t>Severity 4</w:t>
            </w:r>
          </w:p>
        </w:tc>
        <w:tc>
          <w:tcPr>
            <w:tcW w:type="dxa" w:w="1728"/>
            <w:vAlign w:val="center"/>
            <w:shd w:fill="1F4E79"/>
          </w:tcPr>
          <w:p>
            <w:pPr>
              <w:spacing w:after="20" w:before="20"/>
            </w:pPr>
            <w:r>
              <w:rPr>
                <w:rFonts w:ascii="Arial" w:hAnsi="Arial"/>
                <w:b/>
                <w:color w:val="FFFFFF"/>
                <w:sz w:val="15"/>
              </w:rPr>
              <w:t>Subtotal</w:t>
            </w:r>
          </w:p>
        </w:tc>
      </w:tr>
      <w:tr>
        <w:tc>
          <w:tcPr>
            <w:tcW w:type="dxa" w:w="1728"/>
            <w:vAlign w:val="center"/>
          </w:tcPr>
          <w:p>
            <w:pPr>
              <w:spacing w:after="20" w:before="20"/>
            </w:pPr>
            <w:r>
              <w:rPr>
                <w:rFonts w:ascii="Arial" w:hAnsi="Arial"/>
                <w:sz w:val="15"/>
              </w:rPr>
              <w:t>By Design</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r>
      <w:tr>
        <w:tc>
          <w:tcPr>
            <w:tcW w:type="dxa" w:w="1728"/>
            <w:vAlign w:val="center"/>
            <w:shd w:fill="F1F5F9"/>
          </w:tcPr>
          <w:p>
            <w:pPr>
              <w:spacing w:after="20" w:before="20"/>
            </w:pPr>
            <w:r>
              <w:rPr>
                <w:rFonts w:ascii="Arial" w:hAnsi="Arial"/>
                <w:sz w:val="15"/>
              </w:rPr>
              <w:t>Duplicate</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r>
      <w:tr>
        <w:tc>
          <w:tcPr>
            <w:tcW w:type="dxa" w:w="1728"/>
            <w:vAlign w:val="center"/>
          </w:tcPr>
          <w:p>
            <w:pPr>
              <w:spacing w:after="20" w:before="20"/>
            </w:pPr>
            <w:r>
              <w:rPr>
                <w:rFonts w:ascii="Arial" w:hAnsi="Arial"/>
                <w:sz w:val="15"/>
              </w:rPr>
              <w:t>External</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r>
      <w:tr>
        <w:tc>
          <w:tcPr>
            <w:tcW w:type="dxa" w:w="1728"/>
            <w:vAlign w:val="center"/>
            <w:shd w:fill="F1F5F9"/>
          </w:tcPr>
          <w:p>
            <w:pPr>
              <w:spacing w:after="20" w:before="20"/>
            </w:pPr>
            <w:r>
              <w:rPr>
                <w:rFonts w:ascii="Arial" w:hAnsi="Arial"/>
                <w:sz w:val="15"/>
              </w:rPr>
              <w:t>Fixed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r>
      <w:tr>
        <w:tc>
          <w:tcPr>
            <w:tcW w:type="dxa" w:w="1728"/>
            <w:vAlign w:val="center"/>
          </w:tcPr>
          <w:p>
            <w:pPr>
              <w:spacing w:after="20" w:before="20"/>
            </w:pPr>
            <w:r>
              <w:rPr>
                <w:rFonts w:ascii="Arial" w:hAnsi="Arial"/>
                <w:sz w:val="15"/>
              </w:rPr>
              <w:t>Not Reproduced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r>
      <w:tr>
        <w:tc>
          <w:tcPr>
            <w:tcW w:type="dxa" w:w="1728"/>
            <w:vAlign w:val="center"/>
            <w:shd w:fill="F1F5F9"/>
          </w:tcPr>
          <w:p>
            <w:pPr>
              <w:spacing w:after="20" w:before="20"/>
            </w:pPr>
            <w:r>
              <w:rPr>
                <w:rFonts w:ascii="Arial" w:hAnsi="Arial"/>
                <w:sz w:val="15"/>
              </w:rPr>
              <w:t>Skipped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r>
      <w:tr>
        <w:tc>
          <w:tcPr>
            <w:tcW w:type="dxa" w:w="1728"/>
            <w:vAlign w:val="center"/>
          </w:tcPr>
          <w:p>
            <w:pPr>
              <w:spacing w:after="20" w:before="20"/>
            </w:pPr>
            <w:r>
              <w:rPr>
                <w:rFonts w:ascii="Arial" w:hAnsi="Arial"/>
                <w:sz w:val="15"/>
              </w:rPr>
              <w:t>Won't Fix</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c>
          <w:tcPr>
            <w:tcW w:type="dxa" w:w="1728"/>
            <w:vAlign w:val="center"/>
          </w:tcPr>
          <w:p>
            <w:pPr>
              <w:spacing w:after="20" w:before="20"/>
            </w:pPr>
            <w:r>
              <w:rPr>
                <w:rFonts w:ascii="Arial" w:hAnsi="Arial"/>
                <w:sz w:val="15"/>
              </w:rPr>
              <w:t>Not recorded</w:t>
            </w:r>
          </w:p>
        </w:tc>
      </w:tr>
      <w:tr>
        <w:tc>
          <w:tcPr>
            <w:tcW w:type="dxa" w:w="1728"/>
            <w:vAlign w:val="center"/>
            <w:shd w:fill="F1F5F9"/>
          </w:tcPr>
          <w:p>
            <w:pPr>
              <w:spacing w:after="20" w:before="20"/>
            </w:pPr>
            <w:r>
              <w:rPr>
                <w:rFonts w:ascii="Arial" w:hAnsi="Arial"/>
                <w:sz w:val="15"/>
              </w:rPr>
              <w:t>Totals</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c>
          <w:tcPr>
            <w:tcW w:type="dxa" w:w="1728"/>
            <w:vAlign w:val="center"/>
            <w:shd w:fill="F1F5F9"/>
          </w:tcPr>
          <w:p>
            <w:pPr>
              <w:spacing w:after="20" w:before="20"/>
            </w:pPr>
            <w:r>
              <w:rPr>
                <w:rFonts w:ascii="Arial" w:hAnsi="Arial"/>
                <w:sz w:val="15"/>
              </w:rPr>
              <w:t>Not recorded</w:t>
            </w:r>
          </w:p>
        </w:tc>
      </w:tr>
    </w:tbl>
    <w:p>
      <w:r>
        <w:rPr>
          <w:b/>
          <w:color w:val="1F4E79"/>
          <w:sz w:val="24"/>
        </w:rPr>
        <w:t>3. Test Case Analysis</w:t>
      </w:r>
    </w:p>
    <w:p>
      <w:r>
        <w:t>The following table summarizes the seven functional and performance test cases prepared for LegalEase. All cases remain untested because no execution evidence was provided.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pPr>
              <w:spacing w:after="20" w:before="20"/>
            </w:pPr>
            <w:r>
              <w:rPr>
                <w:rFonts w:ascii="Arial" w:hAnsi="Arial"/>
                <w:b/>
                <w:color w:val="FFFFFF"/>
                <w:sz w:val="16"/>
              </w:rPr>
              <w:t>Section</w:t>
            </w:r>
          </w:p>
        </w:tc>
        <w:tc>
          <w:tcPr>
            <w:tcW w:type="dxa" w:w="2074"/>
            <w:vAlign w:val="center"/>
            <w:shd w:fill="1F4E79"/>
          </w:tcPr>
          <w:p>
            <w:pPr>
              <w:spacing w:after="20" w:before="20"/>
            </w:pPr>
            <w:r>
              <w:rPr>
                <w:rFonts w:ascii="Arial" w:hAnsi="Arial"/>
                <w:b/>
                <w:color w:val="FFFFFF"/>
                <w:sz w:val="16"/>
              </w:rPr>
              <w:t>Total Cases</w:t>
            </w:r>
          </w:p>
        </w:tc>
        <w:tc>
          <w:tcPr>
            <w:tcW w:type="dxa" w:w="2074"/>
            <w:vAlign w:val="center"/>
            <w:shd w:fill="1F4E79"/>
          </w:tcPr>
          <w:p>
            <w:pPr>
              <w:spacing w:after="20" w:before="20"/>
            </w:pPr>
            <w:r>
              <w:rPr>
                <w:rFonts w:ascii="Arial" w:hAnsi="Arial"/>
                <w:b/>
                <w:color w:val="FFFFFF"/>
                <w:sz w:val="16"/>
              </w:rPr>
              <w:t>Not Tested</w:t>
            </w:r>
          </w:p>
        </w:tc>
        <w:tc>
          <w:tcPr>
            <w:tcW w:type="dxa" w:w="2074"/>
            <w:vAlign w:val="center"/>
            <w:shd w:fill="1F4E79"/>
          </w:tcPr>
          <w:p>
            <w:pPr>
              <w:spacing w:after="20" w:before="20"/>
            </w:pPr>
            <w:r>
              <w:rPr>
                <w:rFonts w:ascii="Arial" w:hAnsi="Arial"/>
                <w:b/>
                <w:color w:val="FFFFFF"/>
                <w:sz w:val="16"/>
              </w:rPr>
              <w:t>Fail</w:t>
            </w:r>
          </w:p>
        </w:tc>
        <w:tc>
          <w:tcPr>
            <w:tcW w:type="dxa" w:w="2074"/>
            <w:vAlign w:val="center"/>
            <w:shd w:fill="1F4E79"/>
          </w:tcPr>
          <w:p>
            <w:pPr>
              <w:spacing w:after="20" w:before="20"/>
            </w:pPr>
            <w:r>
              <w:rPr>
                <w:rFonts w:ascii="Arial" w:hAnsi="Arial"/>
                <w:b/>
                <w:color w:val="FFFFFF"/>
                <w:sz w:val="16"/>
              </w:rPr>
              <w:t>Pass</w:t>
            </w:r>
          </w:p>
        </w:tc>
      </w:tr>
      <w:tr>
        <w:tc>
          <w:tcPr>
            <w:tcW w:type="dxa" w:w="2074"/>
            <w:vAlign w:val="center"/>
          </w:tcPr>
          <w:p>
            <w:pPr>
              <w:spacing w:after="20" w:before="20"/>
            </w:pPr>
            <w:r>
              <w:rPr>
                <w:rFonts w:ascii="Arial" w:hAnsi="Arial"/>
                <w:sz w:val="16"/>
              </w:rPr>
              <w:t>Functional Testing</w:t>
            </w:r>
          </w:p>
        </w:tc>
        <w:tc>
          <w:tcPr>
            <w:tcW w:type="dxa" w:w="2074"/>
            <w:vAlign w:val="center"/>
          </w:tcPr>
          <w:p>
            <w:pPr>
              <w:spacing w:after="20" w:before="20"/>
            </w:pPr>
            <w:r>
              <w:rPr>
                <w:rFonts w:ascii="Arial" w:hAnsi="Arial"/>
                <w:sz w:val="16"/>
              </w:rPr>
              <w:t>4</w:t>
            </w:r>
          </w:p>
        </w:tc>
        <w:tc>
          <w:tcPr>
            <w:tcW w:type="dxa" w:w="2074"/>
            <w:vAlign w:val="center"/>
          </w:tcPr>
          <w:p>
            <w:pPr>
              <w:spacing w:after="20" w:before="20"/>
            </w:pPr>
            <w:r>
              <w:rPr>
                <w:rFonts w:ascii="Arial" w:hAnsi="Arial"/>
                <w:sz w:val="16"/>
              </w:rPr>
              <w:t>4</w:t>
            </w:r>
          </w:p>
        </w:tc>
        <w:tc>
          <w:tcPr>
            <w:tcW w:type="dxa" w:w="2074"/>
            <w:vAlign w:val="center"/>
          </w:tcPr>
          <w:p>
            <w:pPr>
              <w:spacing w:after="20" w:before="20"/>
            </w:pPr>
            <w:r>
              <w:rPr>
                <w:rFonts w:ascii="Arial" w:hAnsi="Arial"/>
                <w:sz w:val="16"/>
              </w:rPr>
              <w:t>0</w:t>
            </w:r>
          </w:p>
        </w:tc>
        <w:tc>
          <w:tcPr>
            <w:tcW w:type="dxa" w:w="2074"/>
            <w:vAlign w:val="center"/>
          </w:tcPr>
          <w:p>
            <w:pPr>
              <w:spacing w:after="20" w:before="20"/>
            </w:pPr>
            <w:r>
              <w:rPr>
                <w:rFonts w:ascii="Arial" w:hAnsi="Arial"/>
                <w:sz w:val="16"/>
              </w:rPr>
              <w:t>0</w:t>
            </w:r>
          </w:p>
        </w:tc>
      </w:tr>
      <w:tr>
        <w:tc>
          <w:tcPr>
            <w:tcW w:type="dxa" w:w="2074"/>
            <w:vAlign w:val="center"/>
            <w:shd w:fill="F1F5F9"/>
          </w:tcPr>
          <w:p>
            <w:pPr>
              <w:spacing w:after="20" w:before="20"/>
            </w:pPr>
            <w:r>
              <w:rPr>
                <w:rFonts w:ascii="Arial" w:hAnsi="Arial"/>
                <w:sz w:val="16"/>
              </w:rPr>
              <w:t>Performance Testing</w:t>
            </w:r>
          </w:p>
        </w:tc>
        <w:tc>
          <w:tcPr>
            <w:tcW w:type="dxa" w:w="2074"/>
            <w:vAlign w:val="center"/>
            <w:shd w:fill="F1F5F9"/>
          </w:tcPr>
          <w:p>
            <w:pPr>
              <w:spacing w:after="20" w:before="20"/>
            </w:pPr>
            <w:r>
              <w:rPr>
                <w:rFonts w:ascii="Arial" w:hAnsi="Arial"/>
                <w:sz w:val="16"/>
              </w:rPr>
              <w:t>3</w:t>
            </w:r>
          </w:p>
        </w:tc>
        <w:tc>
          <w:tcPr>
            <w:tcW w:type="dxa" w:w="2074"/>
            <w:vAlign w:val="center"/>
            <w:shd w:fill="F1F5F9"/>
          </w:tcPr>
          <w:p>
            <w:pPr>
              <w:spacing w:after="20" w:before="20"/>
            </w:pPr>
            <w:r>
              <w:rPr>
                <w:rFonts w:ascii="Arial" w:hAnsi="Arial"/>
                <w:sz w:val="16"/>
              </w:rPr>
              <w:t>3</w:t>
            </w:r>
          </w:p>
        </w:tc>
        <w:tc>
          <w:tcPr>
            <w:tcW w:type="dxa" w:w="2074"/>
            <w:vAlign w:val="center"/>
            <w:shd w:fill="F1F5F9"/>
          </w:tcPr>
          <w:p>
            <w:pPr>
              <w:spacing w:after="20" w:before="20"/>
            </w:pPr>
            <w:r>
              <w:rPr>
                <w:rFonts w:ascii="Arial" w:hAnsi="Arial"/>
                <w:sz w:val="16"/>
              </w:rPr>
              <w:t>0</w:t>
            </w:r>
          </w:p>
        </w:tc>
        <w:tc>
          <w:tcPr>
            <w:tcW w:type="dxa" w:w="2074"/>
            <w:vAlign w:val="center"/>
            <w:shd w:fill="F1F5F9"/>
          </w:tcPr>
          <w:p>
            <w:pPr>
              <w:spacing w:after="20" w:before="20"/>
            </w:pPr>
            <w:r>
              <w:rPr>
                <w:rFonts w:ascii="Arial" w:hAnsi="Arial"/>
                <w:sz w:val="16"/>
              </w:rPr>
              <w:t>0</w:t>
            </w:r>
          </w:p>
        </w:tc>
      </w:tr>
      <w:tr>
        <w:tc>
          <w:tcPr>
            <w:tcW w:type="dxa" w:w="2074"/>
            <w:vAlign w:val="center"/>
          </w:tcPr>
          <w:p>
            <w:pPr>
              <w:spacing w:after="20" w:before="20"/>
            </w:pPr>
            <w:r>
              <w:rPr>
                <w:rFonts w:ascii="Arial" w:hAnsi="Arial"/>
                <w:sz w:val="16"/>
              </w:rPr>
              <w:t>Total</w:t>
            </w:r>
          </w:p>
        </w:tc>
        <w:tc>
          <w:tcPr>
            <w:tcW w:type="dxa" w:w="2074"/>
            <w:vAlign w:val="center"/>
          </w:tcPr>
          <w:p>
            <w:pPr>
              <w:spacing w:after="20" w:before="20"/>
            </w:pPr>
            <w:r>
              <w:rPr>
                <w:rFonts w:ascii="Arial" w:hAnsi="Arial"/>
                <w:sz w:val="16"/>
              </w:rPr>
              <w:t>7</w:t>
            </w:r>
          </w:p>
        </w:tc>
        <w:tc>
          <w:tcPr>
            <w:tcW w:type="dxa" w:w="2074"/>
            <w:vAlign w:val="center"/>
          </w:tcPr>
          <w:p>
            <w:pPr>
              <w:spacing w:after="20" w:before="20"/>
            </w:pPr>
            <w:r>
              <w:rPr>
                <w:rFonts w:ascii="Arial" w:hAnsi="Arial"/>
                <w:sz w:val="16"/>
              </w:rPr>
              <w:t>7</w:t>
            </w:r>
          </w:p>
        </w:tc>
        <w:tc>
          <w:tcPr>
            <w:tcW w:type="dxa" w:w="2074"/>
            <w:vAlign w:val="center"/>
          </w:tcPr>
          <w:p>
            <w:pPr>
              <w:spacing w:after="20" w:before="20"/>
            </w:pPr>
            <w:r>
              <w:rPr>
                <w:rFonts w:ascii="Arial" w:hAnsi="Arial"/>
                <w:sz w:val="16"/>
              </w:rPr>
              <w:t>0</w:t>
            </w:r>
          </w:p>
        </w:tc>
        <w:tc>
          <w:tcPr>
            <w:tcW w:type="dxa" w:w="2074"/>
            <w:vAlign w:val="center"/>
          </w:tcPr>
          <w:p>
            <w:pPr>
              <w:spacing w:after="20" w:before="20"/>
            </w:pPr>
            <w:r>
              <w:rPr>
                <w:rFonts w:ascii="Arial" w:hAnsi="Arial"/>
                <w:sz w:val="16"/>
              </w:rPr>
              <w:t>0</w:t>
            </w:r>
          </w:p>
        </w:tc>
      </w:tr>
    </w:tbl>
    <w:p>
      <w:r>
        <w:rPr>
          <w:b/>
          <w:color w:val="1F4E79"/>
          <w:sz w:val="24"/>
        </w:rPr>
        <w:t>4. UAT Coverage</w:t>
      </w:r>
    </w:p>
    <w:p>
      <w:r>
        <w:t>Functional coverage includes document input validation, AI-assisted legal document generation, preview and export to TXT/DOCX/PDF, and API connection/error handling. Performance coverage includes document-generation response time, concurrent API requests, and stability of generated-file exports.</w:t>
      </w:r>
    </w:p>
    <w:p>
      <w:r>
        <w:rPr>
          <w:b/>
          <w:color w:val="1F4E79"/>
          <w:sz w:val="24"/>
        </w:rPr>
        <w:t>5. Open Issues and Release Status</w:t>
      </w:r>
    </w:p>
    <w:p>
      <w:r>
        <w:t>No verified UAT defects or resolved issues were supplied for this report. UAT execution is pending, so the release acceptance status cannot yet be determined. Run the test cases, record observed results, log any defects with severity and resolution, and update the pass/fail totals before submitting the final report.</w:t>
      </w:r>
    </w:p>
    <w:p>
      <w:r>
        <w:rPr>
          <w:b/>
          <w:color w:val="1F4E79"/>
        </w:rPr>
        <w:t xml:space="preserve">Testing Note: </w:t>
      </w:r>
      <w:r>
        <w:t>The response-time target of under 3 seconds is retained from the supplied Functional &amp; Performance Testing template. Actual response times and UAT acceptance have not been measured or confirmed.</w:t>
      </w:r>
    </w:p>
    <w:p>
      <w:pPr>
        <w:jc w:val="center"/>
      </w:pPr>
      <w:r>
        <w:rPr>
          <w:color w:val="646464"/>
          <w:sz w:val="16"/>
        </w:rPr>
        <w:t>Team ID: SWTID-2026-9699  |  LegalEase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