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12: Thread Synchronization using Semaphores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Aim &amp; Objective</w:t>
      </w:r>
    </w:p>
    <w:p>
      <w:r>
        <w:t>To solve the Producer-Consumer problem and achieve mutual exclusion/synchronization using POSIX semaphores.</w:t>
      </w:r>
    </w:p>
    <w:p>
      <w:pPr>
        <w:pStyle w:val="Heading2"/>
      </w:pPr>
      <w:r>
        <w:t>2. Source Code &amp; Implementation</w:t>
      </w:r>
    </w:p>
    <w:p>
      <w:r>
        <w:t>Source Code Screenshot (main.c):</w:t>
      </w:r>
    </w:p>
    <w:p>
      <w:r>
        <w:drawing>
          <wp:inline xmlns:a="http://schemas.openxmlformats.org/drawingml/2006/main" xmlns:pic="http://schemas.openxmlformats.org/drawingml/2006/picture">
            <wp:extent cx="5486400" cy="7006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06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Output Screenshots</w:t>
      </w:r>
    </w:p>
    <w:p>
      <w:r>
        <w:t>Terminal Execution &amp; Output: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Technical Discussion &amp; Key Concepts</w:t>
      </w:r>
    </w:p>
    <w:p>
      <w:r>
        <w:t>Semaphores provide signaling mechanisms (sem_wait decrements, sem_post increments) to coordinate resource access between threads.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