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Operating Systems &amp; System Programming (OSSP)</w:t>
      </w:r>
    </w:p>
    <w:p>
      <w:pPr>
        <w:pStyle w:val="Heading1"/>
      </w:pPr>
      <w:r>
        <w:t>Practical Experiment 12: Thread Synchronization using Semaphores</w:t>
      </w:r>
    </w:p>
    <w:p>
      <w:r>
        <w:t>Team / Roll No: 2520090137</w:t>
        <w:br/>
        <w:t>Course: OSSP (Operating Systems and System Programming)</w:t>
      </w:r>
    </w:p>
    <w:p>
      <w:pPr>
        <w:pStyle w:val="Heading2"/>
      </w:pPr>
      <w:r>
        <w:t>1. Aim &amp; Objective</w:t>
      </w:r>
    </w:p>
    <w:p>
      <w:r>
        <w:t>To solve the Producer-Consumer problem and achieve mutual exclusion/synchronization using POSIX semaphores.</w:t>
      </w:r>
    </w:p>
    <w:p>
      <w:pPr>
        <w:pStyle w:val="Heading2"/>
      </w:pPr>
      <w:r>
        <w:t>2. Source Code &amp; Implementation</w:t>
      </w:r>
    </w:p>
    <w:p>
      <w:r>
        <w:t>Source Code Screenshot (main.c):</w:t>
      </w:r>
    </w:p>
    <w:p>
      <w:r>
        <w:drawing>
          <wp:inline xmlns:a="http://schemas.openxmlformats.org/drawingml/2006/main" xmlns:pic="http://schemas.openxmlformats.org/drawingml/2006/picture">
            <wp:extent cx="5486400" cy="70069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06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Execution &amp; Output Screenshots</w:t>
      </w:r>
    </w:p>
    <w:p>
      <w:r>
        <w:t>Terminal Execution &amp; Output:</w:t>
      </w:r>
    </w:p>
    <w:p>
      <w:r>
        <w:drawing>
          <wp:inline xmlns:a="http://schemas.openxmlformats.org/drawingml/2006/main" xmlns:pic="http://schemas.openxmlformats.org/drawingml/2006/picture">
            <wp:extent cx="5486400" cy="9718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1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Technical Discussion &amp; Key Concepts</w:t>
      </w:r>
    </w:p>
    <w:p>
      <w:r>
        <w:t>Semaphores provide signaling mechanisms (sem_wait decrements, sem_post increments) to coordinate resource access between threads.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