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1EDD" w14:textId="77777777" w:rsidR="0038016C" w:rsidRDefault="00000000">
      <w:pPr>
        <w:pStyle w:val="Heading1"/>
      </w:pPr>
      <w:r>
        <w:t>ARCHITECTURE</w:t>
      </w:r>
    </w:p>
    <w:p w14:paraId="2EEBD169" w14:textId="77777777" w:rsidR="004136E0" w:rsidRDefault="00000000" w:rsidP="004136E0">
      <w:pPr>
        <w:shd w:val="clear" w:color="auto" w:fill="FFFFFF"/>
        <w:spacing w:after="240"/>
        <w:rPr>
          <w:color w:val="31333F"/>
          <w:sz w:val="24"/>
          <w:szCs w:val="24"/>
        </w:rPr>
      </w:pPr>
      <w:r>
        <w:t xml:space="preserve"># **Enterprise Architecture Document**  </w:t>
      </w:r>
      <w:r>
        <w:br/>
        <w:t xml:space="preserve">**Project:** *Spendid_project* – Brokerage Finance Operations Command Center  </w:t>
      </w:r>
      <w:r>
        <w:br/>
        <w:t xml:space="preserve">**Industry:** Insurance – Brokerage Finance  </w:t>
      </w:r>
      <w:r>
        <w:br/>
        <w:t xml:space="preserve">**Version:** 1.0 – 2026‑10‑10  </w:t>
      </w:r>
      <w:r>
        <w:br/>
        <w:t xml:space="preserve">**Prepared by:** Enterprise Architecture Team (EA, BA, SA, SecArch, UI/UX, QA, AI‑Transformation)  </w:t>
      </w:r>
      <w:r>
        <w:br/>
      </w:r>
      <w:r>
        <w:br/>
        <w:t xml:space="preserve">---  </w:t>
      </w:r>
      <w:r>
        <w:br/>
      </w:r>
      <w:r>
        <w:br/>
        <w:t xml:space="preserve">## 1. Document Overview  </w:t>
      </w:r>
      <w:r>
        <w:br/>
      </w:r>
      <w:r>
        <w:br/>
        <w:t>| Section | Description |</w:t>
      </w:r>
      <w:r>
        <w:br/>
        <w:t>|---------|-------------|</w:t>
      </w:r>
      <w:r>
        <w:br/>
        <w:t>| **1.0** | Document purpose, scope and conventions |</w:t>
      </w:r>
      <w:r>
        <w:br/>
        <w:t>| **2.0** | Governance, compliance, and risk‑management framework |</w:t>
      </w:r>
      <w:r>
        <w:br/>
        <w:t>| **3.0** | Non‑functional requirements (NFR) – security, scalability, auditability, etc. |</w:t>
      </w:r>
      <w:r>
        <w:br/>
        <w:t>| **4.0** | **Application Architecture** – logical components, AI/agent flow, UI layers |</w:t>
      </w:r>
      <w:r>
        <w:br/>
        <w:t>| **5.0** | **Technical Architecture** – platform stack, runtime, observability |</w:t>
      </w:r>
      <w:r>
        <w:br/>
        <w:t>| **6.0** | **Integration Architecture** – inbound/outbound interfaces, data‑exchange patterns |</w:t>
      </w:r>
      <w:r>
        <w:br/>
        <w:t>| **7.0** | **Security Architecture** – identity, data protection, secure AI usage |</w:t>
      </w:r>
      <w:r>
        <w:br/>
        <w:t>| **8.0** | **Deployment Architecture** – environments, CI/CD pipeline, multi‑region scaling |</w:t>
      </w:r>
      <w:r>
        <w:br/>
        <w:t>| **9.0** | Architecture diagrams (Mermaid) |</w:t>
      </w:r>
      <w:r>
        <w:br/>
        <w:t>| **10.0** | References &amp; tool‑selection rationale |</w:t>
      </w:r>
      <w:r>
        <w:br/>
      </w:r>
      <w:r>
        <w:br/>
        <w:t>All diagrams are expressed in **Mermaid** syntax to enable version‑controlled, reproducible visual artefacts.</w:t>
      </w:r>
      <w:r>
        <w:br/>
      </w:r>
      <w:r>
        <w:br/>
        <w:t xml:space="preserve">---  </w:t>
      </w:r>
      <w:r>
        <w:br/>
      </w:r>
      <w:r>
        <w:br/>
        <w:t xml:space="preserve">## 2. Governance, Compliance &amp; Risk Management  </w:t>
      </w:r>
      <w:r>
        <w:br/>
      </w:r>
      <w:r>
        <w:br/>
        <w:t>| Aspect | Policy / Standard | Owner | Enforcement Mechanism |</w:t>
      </w:r>
      <w:r>
        <w:br/>
        <w:t>|--------|-------------------|-------|-----------------------|</w:t>
      </w:r>
      <w:r>
        <w:br/>
        <w:t>| **Enterprise Architecture Governance** | TOGAF ADM, ArchiMate 3.1 | Chief Enterprise Architect | Architecture Review Board (ARB) – quarterly |</w:t>
      </w:r>
      <w:r>
        <w:br/>
        <w:t>| **Data Privacy &amp; Protection** | GDPR, CCPA, ISO‑27001 Annex A.15 | Data Protection Officer (DPO) | Data‑flow impact analysis, DLP, encryption‑at‑rest &amp; in‑transit |</w:t>
      </w:r>
      <w:r>
        <w:br/>
        <w:t xml:space="preserve">| **Financial Controls** | SOX §404, ICAAP, internal audit charter | CFO / Finance Controls </w:t>
      </w:r>
      <w:r>
        <w:lastRenderedPageBreak/>
        <w:t>Lead | Segregation‑of‑duties (SoD) matrix, immutable audit log |</w:t>
      </w:r>
      <w:r>
        <w:br/>
        <w:t>| **AI Governance** | Responsible AI Framework (IBM, EU AI Act draft) | AI Ethics Officer | Prompt‑registry, model‑card, confidence‑threshold enforcement, human‑in‑the‑loop |</w:t>
      </w:r>
      <w:r>
        <w:br/>
        <w:t>| **Change Management** | ITIL Change Management v4 | Change Manager | CI/CD gate‑checks, automated policy compliance scans |</w:t>
      </w:r>
      <w:r>
        <w:br/>
        <w:t>| **Incident Response** | NIST 800‑61 Rev.2 | Security Operations Center (SOC) | SIEM alerts, automated playbooks, post‑mortem reviews |</w:t>
      </w:r>
      <w:r>
        <w:br/>
        <w:t>| **Vendor &amp; Tool Approval** | Enterprise‑Approved Tool List (EATL) | Procurement Lead | Procurement workflow + security vetting checklist |</w:t>
      </w:r>
      <w:r>
        <w:br/>
      </w:r>
      <w:r>
        <w:br/>
        <w:t>&gt; **Compliance Scope** – The solution must satisfy **SOX**, **GDPR/CCPA**, **PCI‑DSS** (where payment data is processed), and the **EU AI Act** (risk‑based classification). All logs are retained for **7 years** (financial) and **2 years** (AI‑model usage) per regulatory mandates.</w:t>
      </w:r>
      <w:r>
        <w:br/>
      </w:r>
      <w:r>
        <w:br/>
        <w:t xml:space="preserve">---  </w:t>
      </w:r>
      <w:r>
        <w:br/>
      </w:r>
      <w:r>
        <w:br/>
        <w:t xml:space="preserve">## 3. Non‑Functional Requirements (NFR)  </w:t>
      </w:r>
      <w:r>
        <w:br/>
      </w:r>
      <w:r>
        <w:br/>
        <w:t>| Category | Requirement | Metric / Acceptance Criteria |</w:t>
      </w:r>
      <w:r>
        <w:br/>
        <w:t>|----------|-------------|------------------------------|</w:t>
      </w:r>
      <w:r>
        <w:br/>
        <w:t>| **Performance** | End‑to‑end response ≤ 2 s for dashboard queries; ≤ 500 ms for AI‑copilot answer | Load‑test 10 k concurrent users, 95th percentile |</w:t>
      </w:r>
      <w:r>
        <w:br/>
        <w:t>| **Scalability** | Horizontal scaling to 5× peak load (≈ 50 k concurrent sessions) | Auto‑scale policies in Kubernetes |</w:t>
      </w:r>
      <w:r>
        <w:br/>
        <w:t>| **Availability** | 99.9 % SLA (≤ 43 min downtime/month) | Multi‑AZ deployment, health‑checks, fail‑over |</w:t>
      </w:r>
      <w:r>
        <w:br/>
        <w:t>| **Security** | Zero‑trust network, least‑privilege IAM, encryption TLS 1.3, AES‑256 at rest | Pen‑test OWASP Top 10, SOC‑2 Type II audit |</w:t>
      </w:r>
      <w:r>
        <w:br/>
        <w:t>| **Auditability** | Immutable append‑only audit trail for every financial transaction, AI decision, and user action | WORM storage, hash‑chained logs, tamper‑evidence |</w:t>
      </w:r>
      <w:r>
        <w:br/>
        <w:t>| **Observability** | Full‑stack metrics, distributed tracing, log aggregation, alerting | Prometheus + Grafana, OpenTelemetry, ELK |</w:t>
      </w:r>
      <w:r>
        <w:br/>
        <w:t>| **Maintainability** | Code coverage ≥ 85 %; modular micro‑service design; CI lint &amp; static analysis | SonarQube, Semgrep |</w:t>
      </w:r>
      <w:r>
        <w:br/>
        <w:t>| **Compliance** | Data residency: US‑East &amp; EU‑West; token‑level AI usage captured | Data‑location tags, token‑omics register |</w:t>
      </w:r>
      <w:r>
        <w:br/>
        <w:t>| **Disaster Recovery** | RPO ≤ 15 min, RTO ≤ 30 min | Geo‑replicated backups, automated fail‑over drills |</w:t>
      </w:r>
      <w:r>
        <w:br/>
        <w:t>| **Usability** | Persona‑driven UI with WCAG 2.1 AA compliance | Accessibility audit, user‑testing score ≥ 4.5/5 |</w:t>
      </w:r>
      <w:r>
        <w:br/>
      </w:r>
      <w:r>
        <w:br/>
        <w:t xml:space="preserve">---  </w:t>
      </w:r>
      <w:r>
        <w:br/>
      </w:r>
      <w:r>
        <w:lastRenderedPageBreak/>
        <w:br/>
        <w:t xml:space="preserve">## 4. Application Architecture  </w:t>
      </w:r>
      <w:r>
        <w:br/>
      </w:r>
      <w:r>
        <w:br/>
        <w:t xml:space="preserve">### 4.1 High‑Level Logical View  </w:t>
      </w:r>
      <w:r>
        <w:br/>
      </w:r>
      <w:r>
        <w:br/>
        <w:t>| Layer | Primary Responsibilities | Key Services / Components |</w:t>
      </w:r>
      <w:r>
        <w:br/>
        <w:t>|-------|---------------------------|----------------------------|</w:t>
      </w:r>
      <w:r>
        <w:br/>
        <w:t>| **Presentation** | Multi‑persona UI, responsive web, Copilot chat UI | React‑TS SPA, Figma‑derived component library, Streamlit/Gradio **Copilot** widget |</w:t>
      </w:r>
      <w:r>
        <w:br/>
        <w:t>| **API Gateway** | Secure entry point, request routing, rate‑limiting, auth enforcement | Kong Enterprise (or Azure API Management) |</w:t>
      </w:r>
      <w:r>
        <w:br/>
        <w:t>| **Domain Services** | Finance‑journey engine, Exception‑Workbench, Ledger, Forecasting, Reporting | - **FinanceJourneyService** (state machine, BPMN) &lt;br&gt; - **ExceptionService** (AI‑classification, clustering) &lt;br&gt; - **LedgerService** (synthetic ledger, double‑entry) &lt;br&gt; - **ForecastService** (time‑series, Prophet) |</w:t>
      </w:r>
      <w:r>
        <w:br/>
        <w:t>| **AI/Agent Layer** | LLM‑driven Copilot, classification models, token‑omics tracker | LangChain orchestrator, Azure OpenAI gpt‑4o‑mini (for low‑latency), fine‑tuned proprietary model for finance‑specific taxonomy |</w:t>
      </w:r>
      <w:r>
        <w:br/>
        <w:t>| **Data Access** | Repository pattern, transaction boundaries, audit logging | Spring Data JPA / TypeORM, PostgreSQL, Redis cache |</w:t>
      </w:r>
      <w:r>
        <w:br/>
        <w:t>| **Infrastructure Services** | Messaging, job scheduling, secrets, observability | Kafka, Celery/Sidekiq, HashiCorp Vault, OpenTelemetry, Prometheus |</w:t>
      </w:r>
      <w:r>
        <w:br/>
        <w:t>| **Security Services** | IAM, RBAC, SoD enforcement, encryption key management | Keycloak (OIDC), OPA (Open Policy Agent) for policy enforcement |</w:t>
      </w:r>
      <w:r>
        <w:br/>
      </w:r>
      <w:r>
        <w:br/>
        <w:t>### 4.2 Component Diagram (Mermaid)</w:t>
      </w:r>
      <w:r>
        <w:br/>
      </w:r>
      <w:r>
        <w:br/>
      </w:r>
      <w:r w:rsidR="002D0626">
        <w:rPr>
          <w:rFonts w:ascii="Courier New" w:eastAsia="Courier New" w:hAnsi="Courier New" w:cs="Courier New"/>
          <w:noProof/>
          <w:color w:val="BD4043"/>
          <w:sz w:val="24"/>
          <w:szCs w:val="24"/>
        </w:rPr>
        <w:lastRenderedPageBreak/>
        <w:drawing>
          <wp:inline distT="114300" distB="114300" distL="114300" distR="114300" wp14:anchorId="59EEE2E1" wp14:editId="78FF2534">
            <wp:extent cx="5486400" cy="3833446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3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>### 4.3 AI/Agent Interaction Flow (Sequence Diagram)</w:t>
      </w:r>
      <w:r>
        <w:br/>
      </w:r>
      <w:r>
        <w:br/>
      </w:r>
      <w:r w:rsidR="004136E0">
        <w:rPr>
          <w:i/>
          <w:iCs/>
          <w:color w:val="31333F"/>
          <w:sz w:val="24"/>
          <w:szCs w:val="24"/>
        </w:rPr>
        <w:t>Key security &amp; audit points</w:t>
      </w:r>
      <w:r w:rsidR="004136E0">
        <w:rPr>
          <w:color w:val="31333F"/>
          <w:sz w:val="24"/>
          <w:szCs w:val="24"/>
        </w:rPr>
        <w:t xml:space="preserve"> are highlighted in the sequence: token validation, role‑based access, audit‑log write before any UI display.</w:t>
      </w:r>
    </w:p>
    <w:p w14:paraId="497FE2C5" w14:textId="1DD8C7A9" w:rsidR="0038016C" w:rsidRDefault="00541E18">
      <w:r>
        <w:rPr>
          <w:noProof/>
          <w:color w:val="31333F"/>
          <w:sz w:val="24"/>
          <w:szCs w:val="24"/>
        </w:rPr>
        <w:drawing>
          <wp:inline distT="114300" distB="114300" distL="114300" distR="114300" wp14:anchorId="76957F4A" wp14:editId="70822BB8">
            <wp:extent cx="5486400" cy="282201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2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>
        <w:br/>
        <w:t xml:space="preserve">## 5. Technical Architecture  </w:t>
      </w:r>
      <w:r w:rsidR="00000000">
        <w:br/>
      </w:r>
      <w:r w:rsidR="00000000">
        <w:br/>
      </w:r>
      <w:r w:rsidR="00000000">
        <w:lastRenderedPageBreak/>
        <w:t>| Concern | Decision | Rationale (Tool Selection) |</w:t>
      </w:r>
      <w:r w:rsidR="00000000">
        <w:br/>
        <w:t>|---------|----------|----------------------------|</w:t>
      </w:r>
      <w:r w:rsidR="00000000">
        <w:br/>
        <w:t>| **Runtime** | **Kubernetes (EKS / AKS)** | Cloud‑native orchestration, auto‑scaling, pod‑security‑policies, multi‑AZ resilience |</w:t>
      </w:r>
      <w:r w:rsidR="00000000">
        <w:br/>
        <w:t>| **Language Stack** | **Java 17 (Spring Boot) + TypeScript (React)** | Enterprise‑grade, strong typing, mature security libraries, aligns with existing Meridian stack |</w:t>
      </w:r>
      <w:r w:rsidR="00000000">
        <w:br/>
        <w:t>| **AI Orchestration** | **LangChain (Python) running as side‑car containers** | Proven LLM workflow, easy integration with Azure OpenAI, supports tool‑use &amp; memory |</w:t>
      </w:r>
      <w:r w:rsidR="00000000">
        <w:br/>
        <w:t>| **Message Bus** | **Apache Kafka (Confluent Cloud)** | High‑throughput, exactly‑once semantics for finance events |</w:t>
      </w:r>
      <w:r w:rsidR="00000000">
        <w:br/>
        <w:t>| **Cache** | **Redis (clustered)** | Low‑latency look‑ups for ledger balances, session store |</w:t>
      </w:r>
      <w:r w:rsidR="00000000">
        <w:br/>
        <w:t>| **Search / Analytics** | **ElasticSearch + Kibana** | Full‑text search on statements, exception clustering, audit‑log exploration |</w:t>
      </w:r>
      <w:r w:rsidR="00000000">
        <w:br/>
        <w:t>| **Observability** | **OpenTelemetry SDK** (Java &amp; Python) → **Prometheus + Grafana** + **ELK** | End‑to‑end tracing across micro‑services, supports compliance reporting |</w:t>
      </w:r>
      <w:r w:rsidR="00000000">
        <w:br/>
        <w:t>| **CI/CD** | **GitHub Actions + ArgoCD** | Declarative GitOps, automated security scans (Trivy, Semgrep, SonarQube) |</w:t>
      </w:r>
      <w:r w:rsidR="00000000">
        <w:br/>
        <w:t>| **Secrets Management** | **HashiCorp Vault** (auto‑unseal via Cloud KMS) | Centralised secret rotation, least‑privilege token issuance |</w:t>
      </w:r>
      <w:r w:rsidR="00000000">
        <w:br/>
        <w:t>| **Static Code Analysis** | **Semgrep + SonarQube Community** | Detect OWASP Top‑10, enforce coding standards |</w:t>
      </w:r>
      <w:r w:rsidR="00000000">
        <w:br/>
        <w:t>| **Container Scanning** | **Trivy** | CVE detection, SBOM generation for supply‑chain security |</w:t>
      </w:r>
      <w:r w:rsidR="00000000">
        <w:br/>
        <w:t>| **Synthetic Data Generator** | **Faker + custom Python scripts** (containerized) | Guarantees no PII, reproducible test data sets |</w:t>
      </w:r>
      <w:r w:rsidR="00000000">
        <w:br/>
      </w:r>
      <w:r w:rsidR="00000000">
        <w:br/>
        <w:t>All tools are **event‑approved** (listed in the Enterprise‑Approved Tool List) and have been vetted for **no real customer data** ingestion.</w:t>
      </w:r>
      <w:r w:rsidR="00000000">
        <w:br/>
      </w:r>
      <w:r w:rsidR="00000000">
        <w:br/>
        <w:t xml:space="preserve">---  </w:t>
      </w:r>
      <w:r w:rsidR="00000000">
        <w:br/>
      </w:r>
      <w:r w:rsidR="00000000">
        <w:br/>
        <w:t xml:space="preserve">## 6. Integration Architecture  </w:t>
      </w:r>
      <w:r w:rsidR="00000000">
        <w:br/>
      </w:r>
      <w:r w:rsidR="00000000">
        <w:br/>
        <w:t xml:space="preserve">### 6.1 Core Integration Points  </w:t>
      </w:r>
      <w:r w:rsidR="00000000">
        <w:br/>
      </w:r>
      <w:r w:rsidR="00000000">
        <w:br/>
        <w:t>| System | Direction | Protocol / Format | Frequency | Governance |</w:t>
      </w:r>
      <w:r w:rsidR="00000000">
        <w:br/>
        <w:t>|--------|-----------|-------------------|-----------|------------|</w:t>
      </w:r>
      <w:r w:rsidR="00000000">
        <w:br/>
        <w:t>| **Agency Core Systems** (legacy policy admin) | Inbound – transaction feeds | SFTP (CSV/EDI) → ingestion micro‑service | Near‑real‑time (batch every 5 min) | Data‑mapping contract, checksum validation |</w:t>
      </w:r>
      <w:r w:rsidR="00000000">
        <w:br/>
        <w:t>| **Carrier Portals** | Inbound – premium statements | HTTPS (REST JSON) + optional XML | Daily at 02:00 UTC | Mutual TLS, schema validation |</w:t>
      </w:r>
      <w:r w:rsidR="00000000">
        <w:br/>
      </w:r>
      <w:r w:rsidR="00000000">
        <w:lastRenderedPageBreak/>
        <w:t>| **Bank Lockbox** | Inbound – receipt files | SFTP (fixed‑width) | Event‑driven (file arrival) | File‑level encryption, PGP |</w:t>
      </w:r>
      <w:r w:rsidR="00000000">
        <w:br/>
        <w:t>| **Payroll / Producer Compensation** | Outbound – payout instructions | ACH file (NACHA) via secure FTP | End‑of‑day batch | Dual‑control sign‑off |</w:t>
      </w:r>
      <w:r w:rsidR="00000000">
        <w:br/>
        <w:t>| **ERP / General Ledger** | Outbound – journal entries | SOAP (XML) or REST (JSON) depending on ERP | Real‑time posting after approval | Idempotent API, audit‑trail |</w:t>
      </w:r>
      <w:r w:rsidR="00000000">
        <w:br/>
        <w:t>| **External AI Provider** (Azure OpenAI) | Outbound – prompt/response | HTTPS (TLS 1.3) JSON | Per‑request (≤ 200 ms) | Prompt‑registry, token‑usage logging |</w:t>
      </w:r>
      <w:r w:rsidR="00000000">
        <w:br/>
        <w:t>| **Monitoring / SIEM** | Outbound – logs &amp; metrics | Syslog / OTLP | Continuous | Log‑retention policy, WORM storage |</w:t>
      </w:r>
      <w:r w:rsidR="00000000">
        <w:br/>
      </w:r>
      <w:r w:rsidR="00000000">
        <w:br/>
        <w:t>### 6.2 Integration Flow Diagram (Mermaid)</w:t>
      </w:r>
      <w:r w:rsidR="00000000">
        <w:br/>
      </w:r>
      <w:r w:rsidR="00000000">
        <w:br/>
      </w:r>
      <w:r w:rsidR="00CD511F">
        <w:rPr>
          <w:rFonts w:ascii="Courier New" w:eastAsia="Courier New" w:hAnsi="Courier New" w:cs="Courier New"/>
          <w:noProof/>
          <w:color w:val="BD4043"/>
          <w:sz w:val="24"/>
          <w:szCs w:val="24"/>
        </w:rPr>
        <w:drawing>
          <wp:inline distT="114300" distB="114300" distL="114300" distR="114300" wp14:anchorId="20705133" wp14:editId="1899B1F0">
            <wp:extent cx="5486400" cy="267286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 xml:space="preserve">## 7. Security Architecture  </w:t>
      </w:r>
      <w:r w:rsidR="00000000">
        <w:br/>
      </w:r>
      <w:r w:rsidR="00000000">
        <w:br/>
        <w:t xml:space="preserve">### 7.1 Security Principles  </w:t>
      </w:r>
      <w:r w:rsidR="00000000">
        <w:br/>
      </w:r>
      <w:r w:rsidR="00000000">
        <w:br/>
        <w:t xml:space="preserve">1. **Zero Trust** – Verify every request, never trust network location.  </w:t>
      </w:r>
      <w:r w:rsidR="00000000">
        <w:br/>
        <w:t xml:space="preserve">2. **Least Privilege** – Role‑based access (RBAC) enforced by Keycloak + OPA policies.  </w:t>
      </w:r>
      <w:r w:rsidR="00000000">
        <w:br/>
        <w:t xml:space="preserve">3. **Defense in Depth** – Network segmentation, pod‑security‑policies, WAF, runtime security.  </w:t>
      </w:r>
      <w:r w:rsidR="00000000">
        <w:br/>
        <w:t xml:space="preserve">4. **Secure AI** – Prompt‑registry, model‑card, confidence thresholds, human‑in‑the‑loop for any monetary action.  </w:t>
      </w:r>
      <w:r w:rsidR="00000000">
        <w:br/>
        <w:t xml:space="preserve">5. **Data Protection** – Encryption‑in‑transit (TLS 1.3), encryption‑at‑rest (AES‑256), tokenization for account numbers.  </w:t>
      </w:r>
      <w:r w:rsidR="00000000">
        <w:br/>
      </w:r>
      <w:r w:rsidR="00000000">
        <w:br/>
        <w:t xml:space="preserve">### 7.2 Threat Model (STRIDE)  </w:t>
      </w:r>
      <w:r w:rsidR="00000000">
        <w:br/>
      </w:r>
      <w:r w:rsidR="00000000">
        <w:br/>
      </w:r>
      <w:r w:rsidR="00000000">
        <w:lastRenderedPageBreak/>
        <w:t>| Threat | Asset | Mitigation |</w:t>
      </w:r>
      <w:r w:rsidR="00000000">
        <w:br/>
        <w:t>|--------|-------|------------|</w:t>
      </w:r>
      <w:r w:rsidR="00000000">
        <w:br/>
        <w:t>| **Spoofing** | API calls, user sessions | OIDC with MFA, short‑lived JWTs, rotating</w:t>
      </w:r>
    </w:p>
    <w:sectPr w:rsidR="003801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876655">
    <w:abstractNumId w:val="8"/>
  </w:num>
  <w:num w:numId="2" w16cid:durableId="1604338081">
    <w:abstractNumId w:val="6"/>
  </w:num>
  <w:num w:numId="3" w16cid:durableId="1466658783">
    <w:abstractNumId w:val="5"/>
  </w:num>
  <w:num w:numId="4" w16cid:durableId="1553808129">
    <w:abstractNumId w:val="4"/>
  </w:num>
  <w:num w:numId="5" w16cid:durableId="1622804083">
    <w:abstractNumId w:val="7"/>
  </w:num>
  <w:num w:numId="6" w16cid:durableId="732776671">
    <w:abstractNumId w:val="3"/>
  </w:num>
  <w:num w:numId="7" w16cid:durableId="75904636">
    <w:abstractNumId w:val="2"/>
  </w:num>
  <w:num w:numId="8" w16cid:durableId="1036152296">
    <w:abstractNumId w:val="1"/>
  </w:num>
  <w:num w:numId="9" w16cid:durableId="401224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626"/>
    <w:rsid w:val="002D2657"/>
    <w:rsid w:val="00326F90"/>
    <w:rsid w:val="0038016C"/>
    <w:rsid w:val="004136E0"/>
    <w:rsid w:val="00541E18"/>
    <w:rsid w:val="00AA1D8D"/>
    <w:rsid w:val="00B47730"/>
    <w:rsid w:val="00CB0664"/>
    <w:rsid w:val="00CD51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CEF3D11-6DAE-42DF-A7CC-27FD6E84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Sricharan Byreddi</cp:lastModifiedBy>
  <cp:revision>5</cp:revision>
  <dcterms:created xsi:type="dcterms:W3CDTF">2013-12-23T23:15:00Z</dcterms:created>
  <dcterms:modified xsi:type="dcterms:W3CDTF">2026-10-14T02:29:00Z</dcterms:modified>
  <cp:category/>
</cp:coreProperties>
</file>