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</w:t>
      </w:r>
    </w:p>
    <w:p>
      <w:r>
        <w:t xml:space="preserve"># **Spendid Project – Functional Requirements Document (FRD)**  </w:t>
        <w:br/>
        <w:t xml:space="preserve">*Brokerage Finance Operations Command Center*  </w:t>
        <w:br/>
        <w:t xml:space="preserve">*Version 1.0 – 2026‑10‑10*  </w:t>
        <w:br/>
        <w:br/>
        <w:t xml:space="preserve">---  </w:t>
        <w:br/>
        <w:br/>
        <w:t xml:space="preserve">## 1. Executive Summary  </w:t>
        <w:br/>
        <w:br/>
        <w:t xml:space="preserve">Meridian Brokerage Group needs a single, AI‑augmented “Finance Operations Command Center” that gives the CFO, Controllers, and Finance Operations teams a **real‑time, material‑exception‑centric view** of cash, receivables, carrier payables, producer commissions, and month‑end close. The solution must **detect, classify, and prioritize** financially material exceptions across heterogeneous legacy sources, surface actionable insights, and orchestrate **human‑in‑the‑loop** resolution while preserving segregation‑of‑duties, auditability, and regulatory compliance.  </w:t>
        <w:br/>
        <w:br/>
        <w:t xml:space="preserve">The Command Center will be built as an **enterprise‑grade, container‑native web application** with a **conversational AI Copilot** (Streamlit‑based) that leverages a vetted LLM (Azure OpenAI GPT‑4o) for exception intelligence, forecasting, and natural‑language query. All data will reside in a **PostgreSQL** data‑warehouse; synthetic data generators will seed the environment for development, testing, and demo.  </w:t>
        <w:br/>
        <w:br/>
        <w:t xml:space="preserve">---  </w:t>
        <w:br/>
        <w:br/>
        <w:t xml:space="preserve">## 2. Objectives  </w:t>
        <w:br/>
        <w:br/>
        <w:t>| # | Objective | Business Value |</w:t>
        <w:br/>
        <w:t>|---|-----------|----------------|</w:t>
        <w:br/>
        <w:t>| **O‑1** | Provide a **single source of truth** for all finance‑process exceptions (cash, receivables, payables, commissions, close) | Eliminates fragmented spreadsheets &amp; manual reconciliations |</w:t>
        <w:br/>
        <w:t>| **O‑2** | **AI‑driven classification &amp; materiality ranking** of exceptions to surface high‑impact items first | Reduces leakage, accelerates settlement |</w:t>
        <w:br/>
        <w:t>| **O‑3** | Enable **persona‑driven dashboards** (CFO, Controller, Ops, Treasury, Agency Finance) | Improves decision speed &amp; accountability |</w:t>
        <w:br/>
        <w:t>| **O‑4** | Offer a **conversational Copilot** that can answer “why” and “what‑if” questions with traceable evidence | Lowers cognitive load, speeds root‑cause analysis |</w:t>
        <w:br/>
        <w:t>| **O‑5** | Enforce **segregation of duties** and **human approval** for any ledger, payment, or commission change | Controls fraud &amp; regulatory risk |</w:t>
        <w:br/>
        <w:t>| **O‑6** | Deliver **audit‑ready** logs, immutable evidence, and compliance reports (SOC 2, ISO 27001, GLBA) | Supports internal &amp; external audits |</w:t>
        <w:br/>
        <w:t>| **O‑7** | Provide **scalable, cloud‑native deployment** with auto‑scaling, zero‑downtime upgrades, and observability | Guarantees availability during peak periods |</w:t>
        <w:br/>
        <w:t>| **O‑8** | Capture **tokenomics &amp; model economics** to optimise AI cost vs. latency | Ensures sustainable AI consumption |</w:t>
        <w:br/>
        <w:br/>
        <w:t xml:space="preserve">---  </w:t>
        <w:br/>
        <w:br/>
        <w:t xml:space="preserve">## 3. Scope  </w:t>
        <w:br/>
        <w:br/>
        <w:t>| In‑Scope | Out‑Of‑Scope |</w:t>
        <w:br/>
        <w:t>|----------|--------------|</w:t>
        <w:br/>
        <w:t>| • Finance‑process model (7 journeys) &lt;br&gt;• Synthetic finance ledger &lt;br&gt;• Command‑center UI (dashboards, workbench) &lt;br&gt;• AI Exception Intelligence &amp; Forecasting &lt;br&gt;• Conversational Copilot (LLM) &lt;br&gt;• Controlled action orchestration (tasks, approvals) &lt;br&gt;• Audit &amp; compliance logging &lt;br&gt;• Synthetic data generator &lt;br&gt;• Tokenomics reporting | • Integration with production core accounting systems (will be stubbed with synthetic adapters) &lt;br&gt;• Direct payment processing (only simulated journal entries) &lt;br&gt;• Real customer/PII data (strictly synthetic) &lt;br&gt;• Full‑blown ERP replacement |</w:t>
        <w:br/>
        <w:t>| • Deployment on Azure Kubernetes Service (AKS) &lt;br&gt;• CI/CD pipeline (GitHub Actions) &lt;br&gt;• Monitoring (Azure Monitor, OpenTelemetry) | • On‑premise legacy system migration |</w:t>
        <w:br/>
        <w:br/>
        <w:t xml:space="preserve">---  </w:t>
        <w:br/>
        <w:br/>
        <w:t xml:space="preserve">## 4. Actors &amp; Roles  </w:t>
        <w:br/>
        <w:br/>
        <w:t>| Role | Description | Permissions |</w:t>
        <w:br/>
        <w:t>|------|-------------|-------------|</w:t>
        <w:br/>
        <w:t>| **CFO** | Ultimate owner of finance health, can view all dashboards, override materiality thresholds, approve high‑value payouts. | Read‑all, Approve‑high‑value, Configure‑materiality |</w:t>
        <w:br/>
        <w:t>| **Controller / Finance Ops Lead** | Oversees day‑to‑day exception handling, assigns owners, approves routine payouts. | Read‑all, Assign‑owner, Approve‑routine |</w:t>
        <w:br/>
        <w:t>| **Finance Analyst** | Investigates exceptions, adds evidence, triggers AI‑driven root‑cause analysis. | Read‑assigned, Add‑evidence, Request‑approval |</w:t>
        <w:br/>
        <w:t>| **Treasury Manager** | Monitors cash‑to‑carrier flows, authorises disbursements. | Read‑cash, Approve‑disbursement |</w:t>
        <w:br/>
        <w:t>| **Producer Compensation Manager** | Handles commission rules, validates splits, approves payouts. | Read‑commission, Edit‑rules, Approve‑commission |</w:t>
        <w:br/>
        <w:t>| **Agency Finance Rep** | Views agency‑specific exceptions, can submit missing data. | Read‑agency, Submit‑data |</w:t>
        <w:br/>
        <w:t>| **AI Copilot (LLM Agent)** | Provides classification, forecasting, natural‑language answers. | System‑only, No write‑access to ledger |</w:t>
        <w:br/>
        <w:t>| **System Administrator** | Manages infra, RBAC, secrets, monitoring. | Full‑admin |</w:t>
        <w:br/>
        <w:t>| **Auditor** | Reads immutable logs, generates compliance reports. | Read‑audit‑trail |</w:t>
        <w:br/>
        <w:br/>
        <w:t xml:space="preserve">---  </w:t>
        <w:br/>
        <w:br/>
        <w:t xml:space="preserve">## 5. Workflow States &amp; Transitions  </w:t>
        <w:br/>
        <w:br/>
        <w:t>### 5.1 High‑Level State Diagram (Mermaid)</w:t>
        <w:br/>
        <w:br/>
        <w:t>```mermaid</w:t>
        <w:br/>
        <w:t>stateDiagram-v2</w:t>
        <w:br/>
        <w:t xml:space="preserve">    [*] --&gt; Ingestion</w:t>
        <w:br/>
        <w:t xml:space="preserve">    Ingestion --&gt; Validation : raw files received</w:t>
        <w:br/>
        <w:t xml:space="preserve">    Validation --&gt; Classification : AI model</w:t>
        <w:br/>
        <w:t xml:space="preserve">    Classification --&gt; Prioritization</w:t>
        <w:br/>
        <w:t xml:space="preserve">    Prioritization --&gt; Workbench</w:t>
        <w:br/>
        <w:t xml:space="preserve">    Workbench --&gt; Investigation</w:t>
        <w:br/>
        <w:t xml:space="preserve">    Investigation --&gt; Decision</w:t>
        <w:br/>
        <w:t xml:space="preserve">    Decision --&gt; Approved</w:t>
        <w:br/>
        <w:t xml:space="preserve">    Decision --&gt; Rejected</w:t>
        <w:br/>
        <w:t xml:space="preserve">    Approved --&gt; Execution</w:t>
        <w:br/>
        <w:t xml:space="preserve">    Rejected --&gt; Closed</w:t>
        <w:br/>
        <w:t xml:space="preserve">    Execution --&gt; Closed</w:t>
        <w:br/>
        <w:t xml:space="preserve">    Closed --&gt; [*]</w:t>
        <w:br/>
        <w:br/>
        <w:t xml:space="preserve">    %% Exception handling</w:t>
        <w:br/>
        <w:t xml:space="preserve">    Investigation --&gt; Escalated : SLA breach / high risk</w:t>
        <w:br/>
        <w:t xml:space="preserve">    Escalated --&gt; Decision</w:t>
        <w:br/>
        <w:t>```</w:t>
        <w:br/>
        <w:br/>
        <w:t xml:space="preserve">### 5.2 Detailed State Definitions  </w:t>
        <w:br/>
        <w:br/>
        <w:t>| State | Description | Owner | SLA |</w:t>
        <w:br/>
        <w:t>|-------|-------------|-------|-----|</w:t>
        <w:br/>
        <w:t>| **Ingestion** | Files (lockbox, carrier statements, commission feeds) land in Azure Blob Storage via secure transfer. | System | ≤ 5 min |</w:t>
        <w:br/>
        <w:t>| **Validation** | Schema &amp; checksum validation; malformed records flagged. | System (AI‑Validator) | ≤ 2 min |</w:t>
        <w:br/>
        <w:t>| **Classification** | LLM agent tags exception type, materiality score, probable cause. | AI Copilot | ≤ 3 sec per record |</w:t>
        <w:br/>
        <w:t>| **Prioritization** | Engine ranks exceptions by exposure, aging, control impact. | System (Rule Engine) | ≤ 1 sec |</w:t>
        <w:br/>
        <w:t>| **Workbench** | Exception appears in user queue with evidence bundle. | Assigned Finance Analyst | Real‑time |</w:t>
        <w:br/>
        <w:t>| **Investigation** | Analyst adds notes, uploads supporting docs, may request additional data. | Analyst | ≤ 2 days (default) |</w:t>
        <w:br/>
        <w:t>| **Decision** | Analyst selects **Approve**, **Reject**, or **Escalate**. | Analyst / Manager | Immediate |</w:t>
        <w:br/>
        <w:t>| **Approved** | Generates journal‑support package, triggers downstream workflow (payment, posting). | Treasury / Compensation Manager | ≤ 4 hrs |</w:t>
        <w:br/>
        <w:t>| **Rejected** | Exception closed with reason code. | Analyst | Immediate |</w:t>
        <w:br/>
        <w:t>| **Escalated** | Auto‑escalates to CFO or Controller if SLA breach or exposure &gt; $100k. | CFO / Controller | ≤ 4 hrs |</w:t>
        <w:br/>
        <w:t>| **Execution** | System posts journal entry, updates ledger, notifies stakeholders. | System | ≤ 30 min |</w:t>
        <w:br/>
        <w:t>| **Closed** | Final state; immutable audit record created. | System | N/A |</w:t>
        <w:br/>
        <w:br/>
        <w:t xml:space="preserve">---  </w:t>
        <w:br/>
        <w:br/>
        <w:t xml:space="preserve">## 6. Functional Requirements  </w:t>
        <w:br/>
        <w:br/>
        <w:t xml:space="preserve">&gt; **Notation** – Each requirement is uniquely identified (FR‑\&lt;n\&gt;) and traceable to personas, UI, and tests.  </w:t>
        <w:br/>
        <w:br/>
        <w:t>| ID | Requirement | Description | Priority | Source |</w:t>
        <w:br/>
        <w:t>|----|-------------|-------------|----------|--------|</w:t>
        <w:br/>
        <w:t>| **FR‑1** | **Finance Journey Model** | Define 7 finance journeys (Cash‑to‑Carrier, Agency Bill, Direct Bill, AR, Payables, Producer Compensation, Month‑End Close) with stages, controls, owners, cut‑offs, SLAs. | Must | Business Stakeholders |</w:t>
        <w:br/>
        <w:t>| **FR‑2** | **Synthetic Finance Ledger** | Store all transaction primitives (receipts, invoices, statements, reconciliations, commissions, adjustments, close tasks) in normalized PostgreSQL schema. | Must | Architecture |</w:t>
        <w:br/>
        <w:t>| **FR‑3** | **Ingestion Engine** | Securely ingest lockbox files, carrier statements, commission feeds via Azure Event Grid → Azure Functions → Blob → Staging tables. | Must | Technical |</w:t>
        <w:br/>
        <w:t>| **FR‑4** | **Data Validation Service** | Apply schema, checksum, and business‑rule validation (e.g., amount &gt; 0, date within period). Flag malformed records for manual review. | Must | FR‑3 |</w:t>
        <w:br/>
        <w:t>| **FR‑5** | **AI Exception Classification** | LLM (GPT‑4o) receives validated record, returns: exception type, materiality score (0‑100), probable cause, confidence %, suggested next step. | Must | AI Strategy |</w:t>
        <w:br/>
        <w:t>| **FR‑6** | **Materiality Ranking Engine** | Combine AI score, exposure amount, aging, control impact to produce a **Priority Score** (0‑1000). Configurable weighting per persona. | Must | FR‑5 |</w:t>
        <w:br/>
        <w:t>| **FR‑7** | **Command‑Center Dashboard** | Persona‑driven UI showing: cash position, aging buckets, settlement exposure, commission exceptions, reconciliation status, close readiness, KPI trend charts. | Must | UI/UX |</w:t>
        <w:br/>
        <w:t>| **FR‑8** | **Exception Workbench** | Queue view with filters (type, priority, owner, SLA), evidence panel (raw file, AI reasoning, audit trail), action buttons (Assign, Approve, Reject, Escalate). | Must | UI/UX |</w:t>
        <w:br/>
        <w:t>| **FR‑9** | **Conversational Copilot** | Chat interface (Streamlit) that accepts natural‑language queries, returns grounded answers with citations to ledger rows, AI reasoning, confidence, and assumptions. | Must | AI Agent |</w:t>
        <w:br/>
        <w:t>| **FR‑10** | **Controlled Action Orchestration** | Generate **Task Packages** (investigation, journal‑support, approval request) that require explicit human sign‑off before any ledger write. | Must | Workflow |</w:t>
        <w:br/>
        <w:t>| **FR‑11** | **Segregation‑of‑Duties Enforcement** | System enforces that the user who creates a journal entry cannot approve it; role‑based matrix stored in Azure AD. | Must | Security |</w:t>
        <w:br/>
        <w:t>| **FR‑12** | **Audit Trail** | Immutable append‑only log (Azure Log Analytics + immutable blob) capturing: user, timestamp, action, before/after values, AI prompt &amp; response, token usage. | Must | Compliance |</w:t>
        <w:br/>
        <w:t>| **FR‑13** | **Notification Service** | Email &amp; Teams alerts on: new high‑priority exception, SLA breach, escalation, approval required, AI low‑confidence flag. | Should | UX |</w:t>
        <w:br/>
        <w:t>| **FR‑14** | **Synthetic Data Generator** | CLI tool (Python) that creates multi‑agency transaction sets, feeds, statements, and noise; configurable volume (10 k‑10 M rows). | Must | Test |</w:t>
        <w:br/>
        <w:t>| **FR‑15** | **Tokenomics Tracker** | Middleware that records per‑request token count, latency, model version; aggregates daily/weekly for cost reporting. | Should | AI Ops |</w:t>
        <w:br/>
        <w:t>| **FR‑16** | **Reporting Engine** | Exportable CSV/Excel reports: exposure trends, close forecast, AI usage, SLA compliance, audit summary. | Should | Analytics |</w:t>
        <w:br/>
        <w:t>| **FR‑17** | **Role‑Based UI Rendering** | UI components rendered based on Azure AD group membership; no “security through obscurity”. | Must | Security |</w:t>
        <w:br/>
        <w:t>| **FR‑18** | **Multi‑Tenant (Agency) Isolation** | Logical separation of agency data via tenant_id; cross‑agency queries prohibited. | Must | Compliance |</w:t>
        <w:br/>
        <w:t>| **FR‑19** | **Disaster Recovery** | Automated backup to Azure Geo‑Redundant Storage; fail‑over to secondary AKS cluster within 15 min RTO. | Must | Ops |</w:t>
        <w:br/>
        <w:t>| **FR‑20** | **Performance** | Dashboard latency ≤ 2 sec; AI response ≤ 3 sec; ingestion throughput ≥ 5 k records/min. | Must | NFR |</w:t>
        <w:br/>
        <w:br/>
        <w:t xml:space="preserve">---  </w:t>
        <w:br/>
        <w:br/>
        <w:t xml:space="preserve">## 7. Non‑Functional Requirements  </w:t>
        <w:br/>
        <w:br/>
        <w:t>| ID | Category | Requirement | Target |</w:t>
        <w:br/>
        <w:t>|----|----------|-------------|--------|</w:t>
        <w:br/>
        <w:t>| **NFR‑1** | **Scalability** | Stateless micro‑services (Kotlin SpringBoot) horizontally scalable; auto‑scale based on CPU/queue depth. | 200 TPS baseline, 5× burst |</w:t>
        <w:br/>
        <w:t>| **NFR‑2** | **Availability** | 99.9 % uptime (MTTR ≤ 15 min). Deploy across 2 Azure zones. | SLA |</w:t>
        <w:br/>
        <w:t>| **NFR‑3** | **Security – Data at Rest** | PostgreSQL encrypted with Azure‑managed keys; Blob storage SSE‑AES256. | ISO 27001 |</w:t>
        <w:br/>
        <w:t>| **NFR‑4** | **Security – Data in Transit** | TLS 1.3 with mutual authentication for all service‑to‑service calls. | PCI‑DSS |</w:t>
        <w:br/>
        <w:t>| **NFR‑5** | **Identity &amp; Access Management** | Azure AD OIDC; RBAC enforced at API gateway (Azure API Management). | Least‑privilege |</w:t>
        <w:br/>
        <w:t>| **NFR‑6** | **Compliance** | Support for SOC 2 Type II, GLBA, NAIC Model Law, GDPR (data‑subject rights on synthetic data). | Auditable |</w:t>
        <w:br/>
        <w:t>| **NFR‑7** | **Observability** | OpenTelemetry instrumentation; metrics in Azure Monitor; logs in Log Analytics; alerts on error rate &gt; 1 %. | Ops |</w:t>
        <w:br/>
        <w:t>| **NFR‑8** | **Logging &amp; Auditing** | Immutable append‑only logs with tamper‑evidence (hash chaining). Retention 7 years. | Compliance |</w:t>
        <w:br/>
        <w:t>| **NFR‑9** | **Performance** | End‑to‑end request ≤ 4 sec (including AI call). UI render ≤ 2 sec. | UX |</w:t>
        <w:br/>
        <w:t>| **NFR‑10** | **Maintainability** | Code coverage ≥ 80 % (unit), ≥ 70 % (integration). Follow Clean Architecture, SOLID. | QA |</w:t>
        <w:br/>
        <w:t>| **NFR‑11** | **Portability** | Containerized (Docker) – deployable to AKS, EKS, or on‑prem OpenShift. | Future‑proof |</w:t>
        <w:br/>
        <w:t>| **NFR‑12** | **Disaster Recovery** | RPO ≤ 5 min, RTO ≤ 15 min. | Ops |</w:t>
        <w:br/>
        <w:t>| **NFR‑13** | **Cost Management** | AI token usage ≤ 0.5 USD per 1 k processed records (target). | Finance |</w:t>
        <w:br/>
        <w:t>| **NFR‑14** | **Internationalization** | UI supports EN, ES, FR; dates/number formats locale‑aware. | Global |</w:t>
        <w:br/>
        <w:t>| **NFR‑15** | **Accessibility** | WCAG 2.1 AA compliance for all UI components. | Legal |</w:t>
        <w:br/>
        <w:br/>
        <w:t xml:space="preserve">---  </w:t>
        <w:br/>
        <w:br/>
        <w:t xml:space="preserve">## 8. Service Level Agreements (SLAs)  </w:t>
        <w:br/>
        <w:br/>
        <w:t>| Metric | Target | Measurement | Penalty (if any) |</w:t>
        <w:br/>
        <w:t>|--------|--------|-------------|------------------|</w:t>
        <w:br/>
        <w:t>| **Ingestion latency** | ≤ 5 min from file drop to staging | Azure Monitor metric `ingest_latency_seconds` | Service credit 5 % |</w:t>
        <w:br/>
        <w:t>| **Exception classification** | ≤ 3 sec per record | API latency logs | Service credit 3 % |</w:t>
        <w:br/>
        <w:t>| **Dashboard refresh** | ≤ 2 sec after data load | Front‑end performance logs | Service credit 2 % |</w:t>
        <w:br/>
        <w:t>| **SLA breach alert** | Notification within 5 min of breach | Alert rule `exception_sla_breach` | Service credit 2 % |</w:t>
        <w:br/>
        <w:t>| **AI confidence threshold** | Low‑confidence (&lt; 70 %) flagged for manual review | AI response metadata | No penalty (process control) |</w:t>
        <w:br/>
        <w:t>| **System availability** | 99.9 % monthly | Azure Service Health | Service credit 10 % |</w:t>
        <w:br/>
        <w:br/>
        <w:t xml:space="preserve">---  </w:t>
        <w:br/>
        <w:br/>
        <w:t xml:space="preserve">## 9. Security  </w:t>
        <w:br/>
        <w:br/>
        <w:t>| Area | Controls |</w:t>
        <w:br/>
        <w:t>|------|----------|</w:t>
        <w:br/>
        <w:t>| **Authentication** | Azure AD OIDC; MFA enforced for all privileged users. |</w:t>
        <w:br/>
        <w:t>| **Authorization** | RBAC matrix stored in Azure AD groups; enforced at API gateway and UI layer. |</w:t>
        <w:br/>
        <w:t>| **Data Encryption** | At‑rest: Azure‑managed keys (CMK) for PostgreSQL &amp; Blob. In‑transit: TLS 1.3 + mutual TLS for service‑to‑service. |</w:t>
        <w:br/>
        <w:t>| **Secret Management** | Azure Key Vault for DB credentials, LLM API keys, service principals. |</w:t>
        <w:br/>
        <w:t>| **Vulnerability Management** | Automated scans (GitHub Dependabot, Trivy, Semgrep) on each PR; quarterly pen‑test. |</w:t>
        <w:br/>
        <w:t>| **Secure Coding** | OWASP Top 10 mitigations; input sanitisation; parameterised queries; CSP headers. |</w:t>
        <w:br/>
        <w:t>| **Least‑Privilege AI** | LLM calls limited to `finance-exception` prompt template; no retrieval of raw PII. |</w:t>
        <w:br/>
        <w:t>| **Audit Logging** | Immutable log chain (hash of previous entry) stored in Azure Log Analytics; retention 7 years. |</w:t>
        <w:br/>
        <w:t>| **Incident Response** | Playbook in Azure Sentinel; 24‑hour initial response SLA. |</w:t>
        <w:br/>
        <w:br/>
        <w:t xml:space="preserve">---  </w:t>
        <w:br/>
        <w:br/>
        <w:t xml:space="preserve">## 10. Compliance  </w:t>
        <w:br/>
        <w:br/>
        <w:t>| Regulation | How the system complies |</w:t>
        <w:br/>
        <w:t>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