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TEST_CASES</w:t>
      </w:r>
    </w:p>
    <w:p>
      <w:r>
        <w:t xml:space="preserve">## Enterprise‑Grade Functional Test Suite  </w:t>
        <w:br/>
        <w:t xml:space="preserve">**Project:** *Spendid_project – Brokerage Finance Operations Command Center*  </w:t>
        <w:br/>
        <w:t xml:space="preserve">**Industry:** Insurance – Finance Operations  </w:t>
        <w:br/>
        <w:t xml:space="preserve">**Scope:** Covers all functional, integration, security, performance and UAT aspects required to certify the solution for production use.  </w:t>
        <w:br/>
        <w:br/>
        <w:t xml:space="preserve">&gt; **Governance &amp; Traceability** – Every test case is linked to a requirement (R‑xxx) from the **Functional Requirements Document (FRD)**, mapped to the corresponding component in the **Application Architecture**, and traced to the automated test script (if any).  The matrix is included in the **Traceability Matrix** (Deliverable 7).  </w:t>
        <w:br/>
        <w:br/>
        <w:t xml:space="preserve">&gt; **Compliance** – Tests reference relevant controls (e.g., SOX 404, PCI‑DSS, GDPR) where data‑handling or audit‑trail is involved.  </w:t>
        <w:br/>
        <w:br/>
        <w:t xml:space="preserve">&gt; **Security &amp; Auditability** – All tests that affect privileged actions (payments, ledger entries, approvals) verify that the system enforces least‑privilege, multi‑factor approval, immutable audit logs and role‑based UI masking.  </w:t>
        <w:br/>
        <w:br/>
        <w:t xml:space="preserve">&gt; **Scalability** – Load‑related functional checks (e.g., “high‑volume technical alert”) are flagged for performance validation in the **Performance Test Plan** (outside this functional suite).  </w:t>
        <w:br/>
        <w:br/>
        <w:t xml:space="preserve">&gt; **AI‑Specific Validation** – Tests validate the **Brokerage Finance Operations Agent** (Deliverable 9) for classification confidence, grounding evidence, and responsible‑AI guardrails (human‑in‑the‑loop).  </w:t>
        <w:br/>
        <w:br/>
        <w:t>---</w:t>
        <w:br/>
        <w:br/>
        <w:t>### Legend (used in the tables)</w:t>
        <w:br/>
        <w:br/>
        <w:t>| Symbol | Meaning |</w:t>
        <w:br/>
        <w:t>|--------|---------|</w:t>
        <w:br/>
        <w:t>| **P**  | Positive (happy‑path) |</w:t>
        <w:br/>
        <w:t>| **N**  | Negative (error/exception) |</w:t>
        <w:br/>
        <w:t>| **I**  | Integration |</w:t>
        <w:br/>
        <w:t>| **S**  | Security |</w:t>
        <w:br/>
        <w:t>| **U**  | User‑Acceptance (UAT) |</w:t>
        <w:br/>
        <w:t>| **H**  | High priority (must‑pass for release) |</w:t>
        <w:br/>
        <w:t>| **M**  | Medium priority |</w:t>
        <w:br/>
        <w:t>| **L**  | Low priority |</w:t>
        <w:br/>
        <w:t>| **A**  | Automated (script exists) |</w:t>
        <w:br/>
        <w:t>| **M**  | Manual (requires human execution) |</w:t>
        <w:br/>
        <w:br/>
        <w:t>---</w:t>
        <w:br/>
        <w:br/>
        <w:t>## 1️⃣ Functional Test Cases (Positive &amp; Negative)</w:t>
        <w:br/>
        <w:br/>
        <w:t>| TC‑ID | Category | Title | Description | Preconditions | Test Steps | Expected Result | Post‑conditions | Priority | Automation |</w:t>
        <w:br/>
        <w:t>|-------|----------|-------|-------------|---------------|------------|-----------------|-----------------|----------|------------|</w:t>
        <w:br/>
        <w:t>| **TC‑F‑001** | P | Load Valid Lockbox File | System ingests a correctly‑formatted lockbox file and creates unapplied‑cash entries. | User logged in as **Finance Operations Analyst**; valid lockbox file in staging bucket. | 1. Navigate to *Data Ingestion* → *Upload Lockbox*.&lt;br&gt;2. Select file and click **Upload**.&lt;br&gt;3. Confirm “Processing” status.&lt;br&gt;4. Verify entries appear in **Cash‑to‑Carrier** view. | Unapplied‑cash records are created, linked to the originating lockbox batch, and displayed with correct amount &amp; timestamp. | File marked **Processed**; audit log entry created. | H | A |</w:t>
        <w:br/>
        <w:t>| **TC‑F‑002** | N | Reject Malformed Lockbox File | System must reject a lockbox file with missing mandatory columns. | Same as TC‑F‑001, but file is malformed (e.g., missing “TransactionID”). | 1‑4 as above. | System returns a **Validation Error** with explicit message “Missing TransactionID column”. No records are persisted. | File flagged **Rejected**; error logged with file hash. | H | A |</w:t>
        <w:br/>
        <w:t>| **TC‑F‑003** | P | Carrier Statement Ingestion – On‑time | Ingest a carrier statement received before cut‑off and generate payable entries. | Carrier statement file (CSV) placed in **Carrier‑Stmts** bucket before cut‑off time. | 1. Open *Carrier Payables* → *Import Statement*.&lt;br&gt;2. Select file, click **Import**.&lt;br&gt;3. Review auto‑matched premiums. | All premiums matched to invoices; payable amounts posted; statement status = **Reconciled**. | Payable entries visible in ledger; audit trail created. | H | A |</w:t>
        <w:br/>
        <w:t>| **TC‑F‑004** | N | Late Carrier Statement – Cut‑off Violation | System must flag a statement received after the cut‑off as **Late** and raise an exception. | Same as TC‑F‑003 but file timestamp &gt; cut‑off (e.g., 5 pm). | 1‑3 as above. | Statement imported, but **Late‑Alert** exception generated, displayed in **Exception Workbench** with severity “High”. | Exception queued for review; no automatic payable posting. | H | A |</w:t>
        <w:br/>
        <w:t>| **TC‑F‑005** | P | Producer Commission Split – Valid Rule | Process a commission split that conforms to the approved rule set. | Commission rule “70/30 split for Agency A, 60/40 for Agency B” configured. | 1. Upload commission feed (JSON).&lt;br&gt;2. System calculates split.&lt;br&gt;3. Verify split amounts per producer. | Split amounts match rule; commission ledger entries posted; no exception raised. | Ledger reflects split; audit log records rule evaluation. | H | A |</w:t>
        <w:br/>
        <w:t>| **TC‑F‑006** | N | Producer Commission Split – Rule Conflict | Feed a commission split that violates the configured rule (e.g., 80/20 for Agency A). | Same as TC‑F‑005. | 1‑3 as above. | System generates **Commission‑Rule‑Violation** exception, includes rule reference, and prevents posting. | Exception appears in workbench; no ledger entry created. | H | A |</w:t>
        <w:br/>
        <w:t>| **TC‑F‑007** | P | Direct‑Bill Receivable Aging – Complete Remittance | Direct‑Bill transaction with full remittance data ages correctly to **0 days**. | Direct‑Bill feed includes full remittance fields (payment date, amount). | 1. Load Direct‑Bill feed.&lt;br&gt;2. Navigate to *Receivables* view.&lt;br&gt;3. Verify aging column. | Aging = 0 days; status = **Paid**; cash applied to invoice. | Receivable closed; audit entry created. | M | A |</w:t>
        <w:br/>
        <w:t>| **TC‑F‑008** | N | Direct‑Bill Receivable Aging – Missing Remittance | Feed missing remittance data; system must flag **Aging‑Exception**. | Same as TC‑F‑007 but remittance fields blank. | 1‑3 as above. | Exception generated with reason “Missing remittance data”; aging shows **&gt;30 days**. | Exception queued; no cash application. | M | A |</w:t>
        <w:br/>
        <w:t>| **TC‑F‑009** | P | Duplicate Transaction Detection | System identifies a duplicate transaction (same policy, amount, date) and consolidates exposure. | Two identical transaction records uploaded in same batch. | 1. Upload batch.&lt;br&gt;2. Run duplicate‑detection job (auto‑trigger).&lt;br&gt;3. Review **Exception Workbench**. | Duplicate flagged, grouped under a single **Duplicate‑Transaction** exception; exposure amount shown once. | Duplicate records marked **Superseded**; audit log records deduplication. | H | A |</w:t>
        <w:br/>
        <w:t>| **TC‑F‑010** | N | Duplicate Transaction – False Positive Prevention | Ensure non‑duplicate but similar transactions are **not** incorrectly flagged. | Two transactions with same amount but different policy numbers. | Same steps as TC‑F‑009. | No duplicate exception raised; both transactions appear separately. | No change to ledger; audit shows “Deduplication check passed”. | M | A |</w:t>
        <w:br/>
        <w:t>| **TC‑F‑011** | P | General‑Ledger Interface – On‑time Load | GL interface file arrives before month‑end cut‑off and updates ledger. | GL file placed in **GL‑Feed** bucket before cut‑off. | 1. Trigger GL import.&lt;br&gt;2. Verify posting status. | All GL entries posted; month‑end status remains **On‑Track**. | Ledger reflects new entries; audit log created. | H | A |</w:t>
        <w:br/>
        <w:t>| **TC‑F‑012** | N | General‑Ledger Interface – Late Load | Late GL file should raise **Month‑End‑Risk** exception. | GL file timestamp &gt; cut‑off. | Same steps as TC‑F‑011. | Exception generated, severity “Critical”, displayed in **Close‑Readiness** view. | Close‑readiness flag set to **At‑Risk**. | H | A |</w:t>
        <w:br/>
        <w:t>| **TC‑F‑013** | P | High‑Volume Technical Alert – Low Material Impact | System receives 10 k low‑severity alerts; they must be **auto‑filtered** and not surface in the workbench. | Synthetic alert feed (10 k rows) with severity “Info”. | 1. Load alerts.&lt;br&gt;2. Run alert‑filter job.&lt;br&gt;3. Open **Exception Workbench**. | No alerts appear; system logs “Filtered 10 k low‑impact alerts”. | Alert count stored for audit; no UI clutter. | L | A |</w:t>
        <w:br/>
        <w:t>| **TC‑F‑014** | N | High‑Volume Technical Alert – Material Impact | Same feed but with a subset (5) marked “High”. | Same as TC‑F‑013 but 5 rows severity “High”. | Same steps. | 5 high‑impact alerts appear in workbench, prioritized by exposure. | Alerts routed to responsible owners; audit entries created. | M | A |</w:t>
        <w:br/>
        <w:t>| **TC‑F‑015** | P | AI Exception Classification – High Confidence | Agent receives an exception (unapplied cash) and returns classification with **≥ 95 %** confidence and evidence links. | Exception record created via UI. | 1. Open **Copilot**.&lt;br&gt;2. Ask “Why is cash unapplied?”.&lt;br&gt;3. Review AI response. | AI returns “Unapplied cash due to missing lockbox mapping”, confidence 96 %, evidence URLs to lockbox file and transaction log. | Classification stored; human approval required before corrective action. | H | A |</w:t>
        <w:br/>
        <w:t>| **TC‑F‑016** | N | AI Exception Classification – Low Confidence | Agent returns confidence &lt; 70 % – system must **escalate** to human analyst. | Same as TC‑F‑015 but feed contains ambiguous data (e.g., corrupted transaction). | Same steps. | AI response includes “Confidence 62 % – requires analyst review”. System auto‑creates **Human‑Review** task. | Task appears in workbench; audit logs AI confidence. | H | A |</w:t>
        <w:br/>
        <w:t>| **TC‑F‑017** | P | Conversational Copilot – Traceable Answer | User asks “What cash is unapplied?” and receives answer with **traceable evidence** (record IDs, timestamps). | User logged in as **CFO**. | 1. Open Copilot chat.&lt;br&gt;2. Type query.&lt;br&gt;3. Review answer. | Answer lists total unapplied cash, breakdown by agency, and provides clickable record IDs that open the underlying ledger view. | Interaction logged with user ID, query, response, confidence. | H | A |</w:t>
        <w:br/>
        <w:t>| **TC‑F‑018** | N | Conversational Copilot – Unauthorized Persona | A **Read‑Only** user attempts to ask “Approve payout $10k”. | User role = **Viewer**. | 1. Open Copilot.&lt;br&gt;2. Type approval request. | Copilot replies “Insufficient permissions – approval actions require Finance Ops role”. No action taken. | Attempt logged as **Denied‑Action** event. | H | A |</w:t>
        <w:br/>
        <w:t>| **TC‑F‑019** | P | Controlled Action Orchestration – Payment Approval | CFO approves a payment after AI recommendation; system creates journal entry and audit trail. | Exception “Settlement at risk” pending; CFO logged in. | 1. Open exception detail.&lt;br&gt;2. Click **Approve Payment**.&lt;br&gt;3. Confirm MFA prompt.&lt;br&gt;4. Submit. | Payment scheduled, journal entry generated, and **dual‑approval** recorded (CFO + Treasury). | Ledger updated; audit log shows both approvals, timestamps, and AI recommendation reference. | H | A |</w:t>
        <w:br/>
        <w:t>| **TC‑F‑020** | N | Controlled Action Orchestration – Missing Dual‑Approval | System must block payment if second approver does not respond within SLA (2 hrs). | Same as TC‑F‑019 but Treasury user is offline. | 1‑4 as above; wait &gt; 2 hrs. | System auto‑escalates to **Escalation Owner** and marks payment as **Pending‑Approval**. | Escalation event logged; notification sent. | M | A |</w:t>
        <w:br/>
        <w:br/>
        <w:t>---</w:t>
        <w:br/>
        <w:br/>
        <w:t xml:space="preserve">## 2️⃣ Integration Test Cases  </w:t>
        <w:br/>
        <w:br/>
        <w:t>| TC‑ID | Category | Title | Description | Preconditions | Test Steps | Expected Result | Post‑conditions | Priority | Automation |</w:t>
        <w:br/>
        <w:t>|-------|----------|-------|-------------|---------------|------------|-----------------|-----------------|----------|------------|</w:t>
        <w:br/>
        <w:t>| **TC‑I‑001** | I | Lockbox → Finance Ledger Sync | Verify that lockbox ingestion updates the **Finance Operations Ledger** and triggers downstream AI exception detection. | Valid lockbox file uploaded. | 1. Upload lockbox.&lt;br&gt;2. Wait for ETL pipeline (Kafka → DB).&lt;br&gt;3. Verify ledger rows.&lt;br&gt;4. Check AI exception queue. | Ledger contains new receipt rows; AI job creates “Unapplied‑Cash” exception. | Data persisted; audit entry for ETL run. | H | A |</w:t>
        <w:br/>
        <w:t>| **TC‑I‑002** | I | Carrier Statement → Payables → AI Forecast | Ensure carrier statement ingestion feeds payable records, which are then used by AI to forecast settlement risk. | Statement file uploaded; AI forecasting service running. | 1. Import statement.&lt;br&gt;2. Verify payable entries.&lt;br&gt;3. Trigger AI forecast job.&lt;br&gt;4. Review forecast output. | Forecast shows “Settlement risk = High” for any unmatched premium; linked to payable IDs. | Forecast stored; notification sent to owner. | H | A |</w:t>
        <w:br/>
        <w:t>| **TC‑I‑003** | I | Commission Feed → Exception Workbench → Copilot | End‑to‑end flow from commission feed ingestion, through exception generation, to conversational query. | Commission feed with rule violation uploaded. | 1. Load feed.&lt;br&gt;2. Verify **Commission‑Rule‑Violation** exception appears.&lt;br&gt;3. Open Copilot, ask “Why is commission pending?”. | Copilot returns classification, confidence, and links to the offending feed row. | Exception remains pending; conversation logged. | M | A |</w:t>
        <w:br/>
        <w:t>| **TC‑I‑004** | I | GL Interface → Close‑Readiness Dashboard | Validate that GL posting status updates the **Month‑End Readiness** view in real time. | GL file processed successfully. | 1. Import GL.&lt;br&gt;2. Open Close‑Readiness dashboard.&lt;br&gt;3. Observe “GL Status”. | Dashboard shows **GL = Posted**, overall readiness = **Green**. | Dashboard refreshes automatically; audit log records status change. | H | A |</w:t>
        <w:br/>
        <w:t>| **TC‑I‑005** | I | Alert Engine → Exception Prioritisation | Confirm that high‑impact alerts are automatically prioritized over low‑impact ones. | Mixed‑severity alert feed ingested. | 1. Run alert‑prioritisation job.&lt;br&gt;2. Open Exception Workbench.&lt;br&gt;3. Verify ordering. | High‑severity alerts appear at top with **Priority = Critical**; low‑severity are filtered out. | Prioritisation metadata stored; audit entry created. | M | A |</w:t>
        <w:br/>
        <w:t>| **TC‑I‑006** | I | Synthetic Data Generator → All Modules | Run the synthetic‑data generator and ensure every downstream module (ingestion, AI, UI) can handle the full data set without errors. | Synthetic generator installed; empty DB. | 1. Execute generator script.&lt;br&gt;2. Run smoke‑test suite (basic CRUD on each module). | No errors; all modules display expected counts (e.g., 10 k transactions, 2 k exceptions). | Data persisted; baseline for performance testing. | H | A |</w:t>
        <w:br/>
        <w:br/>
        <w:t>---</w:t>
        <w:br/>
        <w:br/>
        <w:t xml:space="preserve">## 3️⃣ Security Test Cases  </w:t>
        <w:br/>
        <w:br/>
        <w:t>| TC‑ID | Category | Title | Description | Preconditions | Test Steps | Expected Result | Post‑conditions | Priority | Automation |</w:t>
        <w:br/>
        <w:t>|-------|----------|-------|-------------|---------------|------------|-----------------|-----------------|----------|------------|</w:t>
        <w:br/>
        <w:t>| **TC‑S‑001** | S | Role‑Based UI Masking – CFO vs Viewer | Verify that sensitive fields (e.g., payment amounts, ledger edit buttons) are hidden for **Viewer** role. | Two user accounts: **cfo_user** (role = Finance‑Ops) and **viewer_user** (role = Viewer). | 1. Log in as viewer.&lt;br&gt;2. Navigate to *Exception Detail*.&lt;br&gt;3. Observe UI elements. | Payment amount displayed as “****”, **Approve** button disabled/absent. | UI respects RBAC; audit logs “UI render – role = Viewer”. | H | A |</w:t>
        <w:br/>
        <w:t>| **TC‑S‑002** | S | Data‑At‑Rest Encryption | Ensure all finance tables are encrypted at the storage layer (AES‑256). | DB provisioned with Transparent Data Encryption (TDE). | 1. Insert test record via API.&lt;br&gt;2. Query underlying storage files (e.g., using `pgcrypto`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