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</w:t>
      </w:r>
    </w:p>
    <w:p>
      <w:r>
        <w:t xml:space="preserve">## **Spendid_project – Requirement Traceability Matrix (RTM)**  </w:t>
        <w:br/>
        <w:t xml:space="preserve">*Version 1.0 – Prepared 10 Oct 2026*  </w:t>
        <w:br/>
        <w:br/>
        <w:t>| **Req‑ID** | **Requirement (Brief)** | **User‑Story / Use‑Case Reference** | **Test‑Case(s) Mapping** | **Verification Method** | **Status** |</w:t>
        <w:br/>
        <w:t>|------------|--------------------------|--------------------------------------|--------------------------|--------------------------|------------|</w:t>
        <w:br/>
        <w:t>| **FR‑001** | **Finance Journey Model** – Define stages, controls, owners, cut‑offs, SLAs &amp; dependencies for the seven finance processes. | US‑001 (CFO view of material exceptions) | TC‑FR‑001‑POS, TC‑FR‑001‑NEG | Functional test (unit + integration) | Draft |</w:t>
        <w:br/>
        <w:t>| **FR‑002** | **Finance Operations Ledger** – Persist synthetic receipts, invoices, statements, reconciliations, payables, disbursements, commissions, adjustments &amp; close tasks. | US‑001, US‑002 (Exception workbench) | TC‑FR‑002‑POS, TC‑FR‑002‑NEG | Functional + DB schema validation | Draft |</w:t>
        <w:br/>
        <w:t>| **FR‑003** | **Command‑Center Dashboard** – Real‑time view of cash position, aging, settlement exposure, commission exceptions, reconciliation status &amp; close readiness. | US‑001, US‑003 (Persona‑driven view) | TC‑FR‑003‑POS, TC‑FR‑003‑NEG, TC‑PERF‑001 | UI functional test, performance load (2 k concurrent users) | Draft |</w:t>
        <w:br/>
        <w:t>| **FR‑004** | **Exception Workbench** – Prioritised queue with evidence, classification, amount, aging, control impact, owner &amp; decision history. | US‑001, US‑004 (Exception handling) | TC‑FR‑004‑POS, TC‑FR‑004‑NEG | Functional + audit‑trail verification | Draft |</w:t>
        <w:br/>
        <w:t>| **FR‑005** | **AI Exception Intelligence** – Auto‑classify, cluster, quantify exposure, de‑duplicate, recommend next steps. | US‑005 (AI copilot) | TC‑AI‑001‑POS, TC‑AI‑001‑NEG, TC‑AI‑002‑LOWCONF | AI model unit test, confidence‑threshold validation, explainability check | Draft |</w:t>
        <w:br/>
        <w:t>| **FR‑006** | **Conversational Finance Copilot** – Answer grounded questions, drill‑down, provide evidence, confidence, assumptions; persona‑specific. | US‑005, US‑006 (Copilot interaction) | TC‑COP‑001‑POS, TC‑COP‑001‑NEG, TC‑COP‑002‑LOWCONF | End‑to‑end functional test, LLM prompt audit, human‑in‑the‑loop approval | Draft |</w:t>
        <w:br/>
        <w:t>| **FR‑007** | **Controlled Action Orchestration** – Generate investigation tasks, notifications, journal‑support packages, approval requests &amp; run‑book steps; enforce human approval before any ledger or payment change. | US‑007 (Controlled resolution) | TC‑CTRL‑001‑POS, TC‑CTRL‑001‑NEG, TC‑SEC‑003‑AUTH | Workflow engine test, RBAC enforcement, audit‑log verification | Draft |</w:t>
        <w:br/>
        <w:t>| **FR‑008** | **Audit &amp; Segregation‑of‑Duties (SoD)** – Capture source‑to‑post trace, approvals, overrides, decision trail; immutable logs. | US‑008 (Auditability) | TC‑AUD‑001‑POS, TC‑AUD‑001‑NEG | Immutable log integrity test, tamper‑evidence check | Draft |</w:t>
        <w:br/>
        <w:t>| **FR‑009** | **Synthetic Data Generator** – Produce repeatable multi‑agency transactions, feeds, statements, exceptions, control events &amp; realistic noise. | US‑009 (Synthetic data) | TC‑DATA‑001‑POS, TC‑DATA‑001‑NEG | Data generation validation, privacy compliance check | Draft |</w:t>
        <w:br/>
        <w:t>| **FR‑010** | **Reporting &amp; Economics Dashboard** – Operational trends, exposure, close forecast, prompt/model trace, token usage, cost &amp; latency. | US‑010 (Tokenomics) | TC‑REP‑001‑POS, TC‑REP‑001‑NEG | Reporting accuracy test, cost‑model verification | Draft |</w:t>
        <w:br/>
        <w:t>| **NFR‑001** | **Scalability** – System must support up to 10 k concurrent finance users and ingest 5 M transactions/day with &lt; 2 s latency for UI queries. | All functional stories | TC‑PERF‑001‑LOAD, TC‑PERF‑002‑STRESS | Load &amp; stress testing (JMeter) | Draft |</w:t>
        <w:br/>
        <w:t>| **NFR‑002** | **Security – Confidentiality** – All data at rest encrypted (AES‑256) and in‑flight TLS 1.3; least‑privilege RBAC per persona. | All stories (especially FR‑007, FR‑008) | TC‑SEC‑001‑ENCR, TC‑SEC‑002‑RBAC | Pen‑test, static code analysis (Semgrep) | Draft |</w:t>
        <w:br/>
        <w:t>| **NFR‑003** | **Security – Integrity** – Digital signatures on all journal entries &amp; external statements; tamper‑evident audit logs (hash‑chaining). | FR‑008 | TC‑SEC‑003‑SIG, TC‑AUD‑001‑HASH | Integrity test, hash‑chain verification | Draft |</w:t>
        <w:br/>
        <w:t>| **NFR‑004** | **Compliance – SOC 2 / ISO 27001** – Align with control categories: Security, Availability, Processing Integrity, Confidentiality, Privacy. | All stories | TC‑COM‑001‑SOC2, TC‑COM‑002‑ISO27001 | Third‑party audit checklist, compliance test suite | Draft |</w:t>
        <w:br/>
        <w:t>| **NFR‑005** | **Reliability – 99.9 % uptime** – Automated fail‑over, health‑checks, circuit‑breaker patterns. | All stories | TC‑REL‑001‑HA, TC‑REL‑002‑RECOVERY | Chaos‑engineering (Gremlin) | Draft |</w:t>
        <w:br/>
        <w:t>| **NFR‑006** | **Observability** – Centralised logging (ELK), metrics (Prometheus), tracing (OpenTelemetry) with dashboards for latency, error rates, AI token consumption. | All stories | TC‑OBS‑001‑LOG, TC‑OBS‑002‑METRICS | Log‑aggregation validation, alert‑rule testing | Draft |</w:t>
        <w:br/>
        <w:t>| **NFR‑007** | **Governance – Change Management** – All code changes tracked via Git‑flow, peer‑reviewed, CI/CD gated by automated tests &amp; security scans. | All stories | TC‑GOV‑001‑CI, TC‑GOV‑002‑CODE‑REV | CI pipeline verification, pull‑request audit | Draft |</w:t>
        <w:br/>
        <w:t>| **NFR‑008** | **Auditability – Traceability Matrix** – End‑to‑end mapping from requirement → design → code → test → demo evidence. | All stories | TC‑GOV‑003‑RTM | Manual review, automated traceability tool (e.g., Azure DevOps) | Draft |</w:t>
        <w:br/>
        <w:t>| **AI‑001** | **Model Selection &amp; Rationale** – Use Azure OpenAI GPT‑4o for LLM copilot; LangChain agents for exception classification; fine‑tuned on synthetic finance data. | FR‑005, FR‑006 | TC‑AI‑003‑MODEL, TC‑AI‑004‑FINE‑TUNE | Model performance benchmark, cost‑analysis | Draft |</w:t>
        <w:br/>
        <w:t>| **AI‑002** | **Responsible AI – Explainability** – Every AI output must include confidence score, source evidence, and assumptions; human must approve any monetary action. | FR‑005, FR‑006, FR‑007 | TC‑AI‑005‑EXPLAIN, TC‑SEC‑004‑APPROVAL | Explainability test, human‑approval workflow test | Draft |</w:t>
        <w:br/>
        <w:t>| **AI‑003** | **Tokenomics &amp; Cost Monitoring** – Capture per‑request token count, latency, cost; enforce budget alerts (&gt;$5 k/month). | FR‑010 | TC‑TOK‑001‑CAPTURE, TC‑TOK‑002‑ALERT | Token‑usage logging, cost‑threshold test | Draft |</w:t>
        <w:br/>
        <w:t>| **AI‑004** | **Model Governance** – Versioned model registry, immutable provenance, rollback capability, audit of prompt‑usage (see Prompt Register). | All AI stories | TC‑AI‑006‑REGISTRY, TC‑AI‑007‑ROLLBACK | Model registry validation, rollback test | Draft |</w:t>
        <w:br/>
        <w:br/>
        <w:t xml:space="preserve">### How to Read the Matrix  </w:t>
        <w:br/>
        <w:br/>
        <w:t>| Column | Meaning |</w:t>
        <w:br/>
        <w:t>|--------|---------|</w:t>
        <w:br/>
        <w:t>| **Req‑ID** | Unique identifier (FR = Functional, NFR = Non‑Functional, AI = AI‑specific). |</w:t>
        <w:br/>
        <w:t>| **Requirement** | Concise statement of what must be delivered. |</w:t>
        <w:br/>
        <w:t>| **User‑Story / Use‑Case Reference** | The high‑level story that drives the requirement (e.g., US‑001 = “CFO wants a single view of material exceptions”). |</w:t>
        <w:br/>
        <w:t>| **Test‑Case(s) Mapping** | One or more test‑case IDs that verify the requirement. Positive (POS), Negative (NEG), Low‑Confidence (LOWCONF), Performance (PERF), Security (SEC), etc. |</w:t>
        <w:br/>
        <w:t>| **Verification Method** | How the test is executed (functional test, load test, security scan, audit, etc.). |</w:t>
        <w:br/>
        <w:t>| **Status** | Current lifecycle stage – *Draft*, *Reviewed*, *Approved*, *Implemented*, *Validated*, *Closed*. |</w:t>
        <w:br/>
        <w:br/>
        <w:t>---</w:t>
        <w:br/>
        <w:br/>
        <w:t xml:space="preserve">## **Traceability Flow (High‑Level)**  </w:t>
        <w:br/>
        <w:br/>
        <w:t>```mermaid</w:t>
        <w:br/>
        <w:t>flowchart LR</w:t>
        <w:br/>
        <w:t xml:space="preserve">    US[User Stories] --&gt; FR[Functional Requirements]</w:t>
        <w:br/>
        <w:t xml:space="preserve">    US --&gt; NFR[Non‑Functional Requirements]</w:t>
        <w:br/>
        <w:t xml:space="preserve">    US --&gt; AI[AI Requirements]</w:t>
        <w:br/>
        <w:t xml:space="preserve">    FR --&gt; Design[Design Artifacts (UML, Wireframes, Data Model)]</w:t>
        <w:br/>
        <w:t xml:space="preserve">    NFR --&gt; Design</w:t>
        <w:br/>
        <w:t xml:space="preserve">    AI --&gt; Design</w:t>
        <w:br/>
        <w:t xml:space="preserve">    Design --&gt; Code[Source Code Modules]</w:t>
        <w:br/>
        <w:t xml:space="preserve">    Code --&gt; TC[Test Cases]</w:t>
        <w:br/>
        <w:t xml:space="preserve">    TC --&gt; TestExec[Automated Test Execution]</w:t>
        <w:br/>
        <w:t xml:space="preserve">    TestExec --&gt; Verif[Verification &amp; Sign‑off]</w:t>
        <w:br/>
        <w:t xml:space="preserve">    Verif --&gt; RTM[Requirement Traceability Matrix]</w:t>
        <w:br/>
        <w:t xml:space="preserve">    Verif --&gt; Demo[Demo Package]</w:t>
        <w:br/>
        <w:t xml:space="preserve">    Verif --&gt; Docs[Documentation (Manuals, Prompt Register)]</w:t>
        <w:br/>
        <w:t>```</w:t>
        <w:br/>
        <w:br/>
        <w:t>*The matrix is the single source of truth linking **User Stories → Requirements → Design → Code → Tests → Evidence**. Any change to a requirement must trigger a traceability impact analysis (governed by the Change Management process).*</w:t>
        <w:br/>
        <w:br/>
        <w:t>---</w:t>
        <w:br/>
        <w:br/>
        <w:t>## **Governance &amp; Maintenance Process**</w:t>
        <w:br/>
        <w:br/>
        <w:t>| Activity | Owner | Frequency | Artefact |</w:t>
        <w:br/>
        <w:t>|----------|-------|-----------|----------|</w:t>
        <w:br/>
        <w:t>| **Requirement Review** | Business Analyst &amp; Finance SME | Sprint‑start | Updated RTM (status = Reviewed) |</w:t>
        <w:br/>
        <w:t>| **Design Sign‑off** | Solution Architect | End of Sprint 2 | Architecture Diagrams, Updated RTM |</w:t>
        <w:br/>
        <w:t>| **Code Review &amp; Merge** | Development Lead (peer‑review) | Per Pull‑Request | CI status badge, RTM status = Implemented |</w:t>
        <w:br/>
        <w:t>| **Test Execution** | QA Lead | Continuous Integration | Test reports linked to TC IDs |</w:t>
        <w:br/>
        <w:t>| **Security &amp; Compliance Scan** | Security Architect | Nightly (Automated) | Scan reports, RTM status = Validated |</w:t>
        <w:br/>
        <w:t>| **Audit Trail Review** | Internal Auditor | Monthly | Audit log export, RTM status = Closed |</w:t>
        <w:br/>
        <w:t>| **Model Governance Review** | AI Governance Board | Quarterly | Model registry snapshot, Prompt Register, RTM status = Validated |</w:t>
        <w:br/>
        <w:t>| **Tokenomics Review** | Finance Ops &amp; Cloud Cost Owner | Monthly | Tokenomics Report, RTM status = Validated |</w:t>
        <w:br/>
        <w:br/>
        <w:t>All artefacts (RTM, design docs, code, test suites, prompt register) are stored in the **Spendid_project** Azure DevOps repository with **branch protection**, **mandatory pull‑request approvals**, and **immutable tags** for released versions.</w:t>
        <w:br/>
        <w:br/>
        <w:t>---</w:t>
        <w:br/>
        <w:br/>
        <w:t>### **Next Steps**</w:t>
        <w:br/>
        <w:br/>
        <w:t xml:space="preserve">1. **Finalize User Stories** (US‑001 – US‑010) with finance SMEs.  </w:t>
        <w:br/>
        <w:t xml:space="preserve">2. **Populate Test Cases** (TC‑* IDs) in Azure Test Plans and link them to the RTM.  </w:t>
        <w:br/>
        <w:t xml:space="preserve">3. **Run a baseline compliance scan** (SOC 2 Type I) and update NFR‑004 status to *Reviewed*.  </w:t>
        <w:br/>
        <w:t xml:space="preserve">4. **Iterate the RTM** after each sprint – any requirement that moves to *Implemented* must have at least one **PASS** test result attached.  </w:t>
        <w:br/>
        <w:br/>
        <w:t>*The RTM will evolve throughout the SDLC, providing a transparent, auditable, and governance‑driven view of delivery health.*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