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b w:val="1"/>
          <w:bCs w:val="1"/>
          <w:color w:val="31333f"/>
          <w:sz w:val="48"/>
          <w:szCs w:val="48"/>
        </w:rPr>
      </w:pPr>
      <w:bookmarkStart w:colFirst="0" w:colLast="0" w:name="_c94bzjbyk5iy" w:id="0"/>
      <w:bookmarkEnd w:id="0"/>
      <w:r w:rsidDel="00000000" w:rsidR="00000000" w:rsidRPr="00000000">
        <w:rPr>
          <w:b w:val="1"/>
          <w:bCs w:val="1"/>
          <w:color w:val="31333f"/>
          <w:sz w:val="48"/>
          <w:szCs w:val="48"/>
          <w:rtl w:val="0"/>
        </w:rPr>
        <w:t xml:space="preserve">Enterprise Architecture Document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Project: </w:t>
      </w: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Spendid_project</w:t>
      </w:r>
      <w:r w:rsidDel="00000000" w:rsidR="00000000" w:rsidRPr="00000000">
        <w:rPr>
          <w:color w:val="31333f"/>
          <w:sz w:val="24"/>
          <w:szCs w:val="24"/>
          <w:rtl w:val="0"/>
        </w:rPr>
        <w:t xml:space="preserve"> – Brokerage Finance Operations Command Center</w:t>
        <w:br w:type="textWrapping"/>
        <w:t xml:space="preserve">Industry: Insurance – Brokerage Finance</w:t>
        <w:br w:type="textWrapping"/>
        <w:t xml:space="preserve">Version: 1.0 – 2026‑10‑10</w:t>
        <w:br w:type="textWrapping"/>
        <w:t xml:space="preserve">Prepared by: Enterprise Architecture Team (EA, BA, SA, SecArch, UI/UX, QA, AI‑Transformation)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kxnrnq7fznda" w:id="1"/>
      <w:bookmarkEnd w:id="1"/>
      <w:r w:rsidDel="00000000" w:rsidR="00000000" w:rsidRPr="00000000">
        <w:rPr>
          <w:color w:val="31333f"/>
          <w:sz w:val="36"/>
          <w:szCs w:val="36"/>
          <w:rtl w:val="0"/>
        </w:rPr>
        <w:t xml:space="preserve">1. Document Overview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0.7142857142856"/>
        <w:gridCol w:w="7939.285714285714"/>
        <w:tblGridChange w:id="0">
          <w:tblGrid>
            <w:gridCol w:w="1420.7142857142856"/>
            <w:gridCol w:w="7939.28571428571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Document purpose, scope and conventions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Governance, compliance, and risk‑management framework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Non‑functional requirements (NFR) – security, scalability, auditability, etc.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Application Architecture – logical components, AI/agent flow, UI layers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Technical Architecture – platform stack, runtime, observability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Integration Architecture – inbound/outbound interfaces, data‑exchange patterns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Security Architecture – identity, data protection, secure AI usage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Deployment Architecture – environments, CI/CD pipeline, multi‑region scaling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Architecture diagrams (Mermaid)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References &amp; tool‑selection rationale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All diagrams are expressed in Mermaid syntax to enable version‑controlled, reproducible visual artefacts.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3voiinnnn2ne" w:id="2"/>
      <w:bookmarkEnd w:id="2"/>
      <w:r w:rsidDel="00000000" w:rsidR="00000000" w:rsidRPr="00000000">
        <w:rPr>
          <w:color w:val="31333f"/>
          <w:sz w:val="36"/>
          <w:szCs w:val="36"/>
          <w:rtl w:val="0"/>
        </w:rPr>
        <w:t xml:space="preserve">2. Governance, Compliance &amp; Risk Management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9.0387518872672"/>
        <w:gridCol w:w="2675.631605435329"/>
        <w:gridCol w:w="1884.2476094614997"/>
        <w:gridCol w:w="2831.0820332159033"/>
        <w:tblGridChange w:id="0">
          <w:tblGrid>
            <w:gridCol w:w="1969.0387518872672"/>
            <w:gridCol w:w="2675.631605435329"/>
            <w:gridCol w:w="1884.2476094614997"/>
            <w:gridCol w:w="2831.0820332159033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Policy /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Enforcement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Enterprise Architecture Governance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TOGAF ADM, ArchiMate 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Chief Enterprise Architect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Architecture Review Board (ARB) – quarterly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 Privacy &amp; Protection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GDPR, CCPA, ISO‑27001 Annex A.15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 Protection Officer (DPO)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Data‑flow impact analysis, DLP, encryption‑at‑rest &amp; in‑transit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Financial Controls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SOX §404, ICAAP, internal audit charter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CFO / Finance Controls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Segregation‑of‑duties (SoD) matrix, immutable audit log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 Governance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Responsible AI Framework (IBM, EU AI Act draft)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 Ethics Officer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Prompt‑registry, model‑card, confidence‑threshold enforcement, human‑in‑the‑loop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Change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ITIL Change Management v4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Change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CI/CD gate‑checks, automated policy compliance scans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Incident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NIST 800‑61 Rev.2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Security Operations Center (SOC)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SIEM alerts, automated playbooks, post‑mortem reviews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Vendor &amp; Tool Approval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Enterprise‑Approved Tool List (EATL)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Procurement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Procurement workflow + security vetting checklist</w:t>
            </w:r>
          </w:p>
        </w:tc>
      </w:tr>
    </w:tbl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220" w:lineRule="auto"/>
        <w:rPr>
          <w:color w:val="31333f"/>
          <w:sz w:val="24"/>
          <w:szCs w:val="24"/>
        </w:rPr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Compliance Scope – The solution must satisfy SOX, GDPR/CCPA, PCI‑DSS (where payment data is processed), and the EU AI Act (risk‑based classification). All logs are retained for 7 years (financial) and 2 years (AI‑model usage) per regulatory mandates.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18q4shjtzjis" w:id="3"/>
      <w:bookmarkEnd w:id="3"/>
      <w:r w:rsidDel="00000000" w:rsidR="00000000" w:rsidRPr="00000000">
        <w:rPr>
          <w:color w:val="31333f"/>
          <w:sz w:val="36"/>
          <w:szCs w:val="36"/>
          <w:rtl w:val="0"/>
        </w:rPr>
        <w:t xml:space="preserve">3. Non‑Functional Requirements (NFR)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3.7037037037035"/>
        <w:gridCol w:w="4020.37037037037"/>
        <w:gridCol w:w="3095.9259259259256"/>
        <w:tblGridChange w:id="0">
          <w:tblGrid>
            <w:gridCol w:w="2243.7037037037035"/>
            <w:gridCol w:w="4020.37037037037"/>
            <w:gridCol w:w="3095.9259259259256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Metric / 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End‑to‑end response ≤ 2 s for dashboard queries; ≤ 500 ms for AI‑copilot answer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Load‑test 10 k concurrent users, 95th percentile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Horizontal scaling to 5× peak load (≈ 50 k concurrent sessions)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Auto‑scale policies in Kubernetes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99.9 % SLA (≤ 43 min downtime/month)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Multi‑AZ deployment, health‑checks, fail‑over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Zero‑trust network, least‑privilege IAM, encryption TLS 1.3, AES‑256 at 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Pen‑test OWASP Top 10, SOC‑2 Type II audit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Immutable append‑only audit trail for every financial transaction, AI decision, and user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WORM storage, hash‑chained logs, tamper‑evidence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Full‑stack metrics, distributed tracing, log aggregation, alerting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Prometheus + Grafana, OpenTelemetry, ELK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Code coverage ≥ 85 %; modular micro‑service design; CI lint &amp; static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SonarQube, Semgrep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 residency: US‑East &amp; EU‑West; token‑level AI usage captured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Data‑location tags, token‑omics register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Disaster Recovery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RPO ≤ 15 min, RTO ≤ 30 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Geo‑replicated backups, automated fail‑over drills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Persona‑driven UI with WCAG 2.1 AA 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Accessibility audit, user‑testing score ≥ 4.5/5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h6v1takvq55q" w:id="4"/>
      <w:bookmarkEnd w:id="4"/>
      <w:r w:rsidDel="00000000" w:rsidR="00000000" w:rsidRPr="00000000">
        <w:rPr>
          <w:color w:val="31333f"/>
          <w:sz w:val="36"/>
          <w:szCs w:val="36"/>
          <w:rtl w:val="0"/>
        </w:rPr>
        <w:t xml:space="preserve">4. Application Architecture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7e0cbfdit8ce" w:id="5"/>
      <w:bookmarkEnd w:id="5"/>
      <w:r w:rsidDel="00000000" w:rsidR="00000000" w:rsidRPr="00000000">
        <w:rPr>
          <w:color w:val="31333f"/>
          <w:rtl w:val="0"/>
        </w:rPr>
        <w:t xml:space="preserve">4.1 High‑Level Logical View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0.446841294299"/>
        <w:gridCol w:w="3163.26656394453"/>
        <w:gridCol w:w="4086.286594761171"/>
        <w:tblGridChange w:id="0">
          <w:tblGrid>
            <w:gridCol w:w="2110.446841294299"/>
            <w:gridCol w:w="3163.26656394453"/>
            <w:gridCol w:w="4086.286594761171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Key Services /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Multi‑persona UI, responsive web, Copilot chat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React‑TS SPA, Figma‑derived component library, Streamlit/Gradio Copilot widget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Secure entry point, request routing, rate‑limiting, auth enforcement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Kong Enterprise (or Azure API Management)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Domain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Finance‑journey engine, Exception‑Workbench, Ledger, Forecasting, 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- FinanceJourneyService (state machine, BPMN) &lt;br&gt; - ExceptionService (AI‑classification, clustering) &lt;br&gt; - LedgerService (synthetic ledger, double‑entry) &lt;br&gt; - ForecastService (time‑series, Prophet)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AI/Agent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LLM‑driven Copilot, classification models, token‑omics tracker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LangChain orchestrator, Azure OpenAI gpt‑4o‑mini (for low‑latency), fine‑tuned proprietary model for finance‑specific taxonomy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Repository pattern, transaction boundaries, audit logging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Spring Data JPA / TypeORM, PostgreSQL, Redis cache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Infrastructure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Messaging, job scheduling, secrets, observability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Kafka, Celery/Sidekiq, HashiCorp Vault, OpenTelemetry, Prometheus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Security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IAM, RBAC, SoD enforcement, encryption key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Keycloak (OIDC), OPA (Open Policy Agent) for policy enforcement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c36bqm82rthz" w:id="6"/>
      <w:bookmarkEnd w:id="6"/>
      <w:r w:rsidDel="00000000" w:rsidR="00000000" w:rsidRPr="00000000">
        <w:rPr>
          <w:color w:val="31333f"/>
          <w:rtl w:val="0"/>
        </w:rPr>
        <w:t xml:space="preserve">4.2 Component Diagram (Mermaid)</w:t>
      </w:r>
    </w:p>
    <w:p w:rsidR="00000000" w:rsidDel="00000000" w:rsidP="00000000" w:rsidRDefault="00000000" w:rsidRPr="00000000" w14:paraId="0000007E">
      <w:pPr>
        <w:shd w:fill="ffffff" w:val="clear"/>
        <w:rPr>
          <w:rFonts w:ascii="Courier New" w:cs="Courier New" w:eastAsia="Courier New" w:hAnsi="Courier New"/>
          <w:color w:val="bd404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d4043"/>
          <w:sz w:val="24"/>
          <w:szCs w:val="24"/>
        </w:rPr>
        <w:drawing>
          <wp:inline distB="114300" distT="114300" distL="114300" distR="114300">
            <wp:extent cx="5943600" cy="415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2nc42v3bca8m" w:id="7"/>
      <w:bookmarkEnd w:id="7"/>
      <w:r w:rsidDel="00000000" w:rsidR="00000000" w:rsidRPr="00000000">
        <w:rPr>
          <w:color w:val="31333f"/>
          <w:rtl w:val="0"/>
        </w:rPr>
        <w:t xml:space="preserve">4.3 AI/Agent Interaction Flow (Sequence Diagram)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Key security &amp; audit points</w:t>
      </w:r>
      <w:r w:rsidDel="00000000" w:rsidR="00000000" w:rsidRPr="00000000">
        <w:rPr>
          <w:color w:val="31333f"/>
          <w:sz w:val="24"/>
          <w:szCs w:val="24"/>
          <w:rtl w:val="0"/>
        </w:rPr>
        <w:t xml:space="preserve"> are highlighted in the sequence: token validation, role‑based access, audit‑log write before any UI display.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color w:val="31333f"/>
          <w:sz w:val="24"/>
          <w:szCs w:val="24"/>
        </w:rPr>
        <w:drawing>
          <wp:inline distB="114300" distT="114300" distL="114300" distR="114300">
            <wp:extent cx="6321259" cy="325180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1259" cy="3251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xnq4wl96whk3" w:id="8"/>
      <w:bookmarkEnd w:id="8"/>
      <w:r w:rsidDel="00000000" w:rsidR="00000000" w:rsidRPr="00000000">
        <w:rPr>
          <w:color w:val="31333f"/>
          <w:sz w:val="36"/>
          <w:szCs w:val="36"/>
          <w:rtl w:val="0"/>
        </w:rPr>
        <w:t xml:space="preserve">5. Technical Architecture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2.592592592592"/>
        <w:gridCol w:w="3182.592592592592"/>
        <w:gridCol w:w="3904.814814814815"/>
        <w:tblGridChange w:id="0">
          <w:tblGrid>
            <w:gridCol w:w="2272.592592592592"/>
            <w:gridCol w:w="3182.592592592592"/>
            <w:gridCol w:w="3904.81481481481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Rationale (Tool Selection)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Kubernetes (EKS / AKS)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Cloud‑native orchestration, auto‑scaling, pod‑security‑policies, multi‑AZ resilience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Language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Java 17 (Spring Boot) + TypeScript (React)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Enterprise‑grade, strong typing, mature security libraries, aligns with existing Meridian stack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 Orchestration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LangChain (Python) running as side‑car containers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Proven LLM workflow, easy integration with Azure OpenAI, supports tool‑use &amp; memory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Message 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Apache Kafka (Confluent Cloud)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High‑throughput, exactly‑once semantics for finance events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Redis (clustered)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Low‑latency look‑ups for ledger balances, session store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Search /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ElasticSearch + Kibana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Full‑text search on statements, exception clustering, audit‑log exploration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OpenTelemetry SDK (Java &amp; Python) → Prometheus + Grafana + ELK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End‑to‑end tracing across micro‑services, supports compliance reporting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GitHub Actions + ArgoCD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Declarative GitOps, automated security scans (Trivy, Semgrep, SonarQube)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Secrets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HashiCorp Vault (auto‑unseal via Cloud KMS)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Centralised secret rotation, least‑privilege token issuance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Static Code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Semgrep + SonarQube Community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Detect OWASP Top‑10, enforce coding standards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Container Scanning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Trivy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CVE detection, SBOM generation for supply‑chain security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Synthetic Data Generator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Faker + custom Python scripts (containerized)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Guarantees no PII, reproducible test data sets</w:t>
            </w:r>
          </w:p>
        </w:tc>
      </w:tr>
    </w:tbl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All tools are event‑approved (listed in the Enterprise‑Approved Tool List) and have been vetted for no real customer data ingestion.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dugy81rmctih" w:id="9"/>
      <w:bookmarkEnd w:id="9"/>
      <w:r w:rsidDel="00000000" w:rsidR="00000000" w:rsidRPr="00000000">
        <w:rPr>
          <w:color w:val="31333f"/>
          <w:sz w:val="36"/>
          <w:szCs w:val="36"/>
          <w:rtl w:val="0"/>
        </w:rPr>
        <w:t xml:space="preserve">6. Integration Architecture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cr9f4sroxj6w" w:id="10"/>
      <w:bookmarkEnd w:id="10"/>
      <w:r w:rsidDel="00000000" w:rsidR="00000000" w:rsidRPr="00000000">
        <w:rPr>
          <w:color w:val="31333f"/>
          <w:rtl w:val="0"/>
        </w:rPr>
        <w:t xml:space="preserve">6.1 Core Integration Points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7.7707006369428"/>
        <w:gridCol w:w="2022.7479526842583"/>
        <w:gridCol w:w="1703.3666969972703"/>
        <w:gridCol w:w="1792.7934485896271"/>
        <w:gridCol w:w="1933.321201091902"/>
        <w:tblGridChange w:id="0">
          <w:tblGrid>
            <w:gridCol w:w="1907.7707006369428"/>
            <w:gridCol w:w="2022.7479526842583"/>
            <w:gridCol w:w="1703.3666969972703"/>
            <w:gridCol w:w="1792.7934485896271"/>
            <w:gridCol w:w="1933.321201091902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Protocol /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Agency Core Systems (legacy policy admin)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Inbound – transaction feeds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SFTP (CSV/EDI) → ingestion micro‑service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Near‑real‑time (batch every 5 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Data‑mapping contract, checksum validation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Carrier Portals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Inbound – premium statements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HTTPS (REST JSON) + optional XML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Daily at 02:00 UTC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Mutual TLS, schema validation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Bank Lockbox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Inbound – receipt 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SFTP (fixed‑width)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Event‑driven (file arrival)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File‑level encryption, PGP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Payroll / Producer Compensation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Outbound – payout instructions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ACH file (NACHA) via secure FTP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End‑of‑day batch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Dual‑control sign‑off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ERP / General Ledger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Outbound – journal entries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SOAP (XML) or REST (JSON) depending on ERP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Real‑time posting after approval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Idempotent API, audit‑trail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External AI Provider (Azure OpenAI)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Outbound – prompt/response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HTTPS (TLS 1.3)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Per‑request (≤ 200 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Prompt‑registry, token‑usage logging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Monitoring / SIEM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Outbound – logs &amp; metrics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Syslog / OTLP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Log‑retention policy, WORM storage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c1eibf92cf2t" w:id="11"/>
      <w:bookmarkEnd w:id="11"/>
      <w:r w:rsidDel="00000000" w:rsidR="00000000" w:rsidRPr="00000000">
        <w:rPr>
          <w:color w:val="31333f"/>
          <w:rtl w:val="0"/>
        </w:rPr>
        <w:t xml:space="preserve">6.2 Integration Flow Diagram (Mermaid)</w:t>
      </w:r>
    </w:p>
    <w:p w:rsidR="00000000" w:rsidDel="00000000" w:rsidP="00000000" w:rsidRDefault="00000000" w:rsidRPr="00000000" w14:paraId="000000D9">
      <w:pPr>
        <w:shd w:fill="ffffff" w:val="clear"/>
        <w:rPr>
          <w:rFonts w:ascii="Courier New" w:cs="Courier New" w:eastAsia="Courier New" w:hAnsi="Courier New"/>
          <w:color w:val="bd404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d4043"/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31333f"/>
          <w:sz w:val="24"/>
          <w:szCs w:val="24"/>
        </w:rPr>
      </w:pP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All external connections use mutual TLS and IP allow‑lists.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Idempotency keys are required on every inbound file to guarantee exactly‑once processing.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Message‑level encryption (AES‑256) is applied for any PII/PCI data before entering Kafka.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2r3g8lsykjo5" w:id="12"/>
      <w:bookmarkEnd w:id="12"/>
      <w:r w:rsidDel="00000000" w:rsidR="00000000" w:rsidRPr="00000000">
        <w:rPr>
          <w:color w:val="31333f"/>
          <w:sz w:val="36"/>
          <w:szCs w:val="36"/>
          <w:rtl w:val="0"/>
        </w:rPr>
        <w:t xml:space="preserve">7. Security Architecture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py7knm6lckw9" w:id="13"/>
      <w:bookmarkEnd w:id="13"/>
      <w:r w:rsidDel="00000000" w:rsidR="00000000" w:rsidRPr="00000000">
        <w:rPr>
          <w:color w:val="31333f"/>
          <w:rtl w:val="0"/>
        </w:rPr>
        <w:t xml:space="preserve">7.1 Security Principles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Zero Trust – Verify every request, never trust network location.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Least Privilege – Role‑based access (RBAC) enforced by Keycloak + OPA policies.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Defense in Depth – Network segmentation, pod‑security‑policies, WAF, runtime security.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Secure AI – Prompt‑registry, model‑card, confidence thresholds, human‑in‑the‑loop for any monetary action.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Data Protection – Encryption‑in‑transit (TLS 1.3), encryption‑at‑rest (AES‑256), tokenization for account numbers.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xvox1arjesju" w:id="14"/>
      <w:bookmarkEnd w:id="14"/>
      <w:r w:rsidDel="00000000" w:rsidR="00000000" w:rsidRPr="00000000">
        <w:rPr>
          <w:color w:val="31333f"/>
          <w:rtl w:val="0"/>
        </w:rPr>
        <w:t xml:space="preserve">7.2 Threat Model (STRIDE)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.3703703703704"/>
        <w:gridCol w:w="2980.37037037037"/>
        <w:gridCol w:w="4829.259259259259"/>
        <w:tblGridChange w:id="0">
          <w:tblGrid>
            <w:gridCol w:w="1550.3703703703704"/>
            <w:gridCol w:w="2980.37037037037"/>
            <w:gridCol w:w="4829.259259259259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Spoofing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API calls, user 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OIDC with MFA, short‑lived JWTs, rotating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133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