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  <w:sz w:val="36"/>
          <w:szCs w:val="36"/>
        </w:rPr>
      </w:pPr>
      <w:bookmarkStart w:colFirst="0" w:colLast="0" w:name="_yalmjdvo8jup" w:id="0"/>
      <w:bookmarkEnd w:id="0"/>
      <w:r w:rsidDel="00000000" w:rsidR="00000000" w:rsidRPr="00000000">
        <w:rPr>
          <w:color w:val="31333f"/>
          <w:sz w:val="36"/>
          <w:szCs w:val="36"/>
          <w:rtl w:val="0"/>
        </w:rPr>
        <w:t xml:space="preserve">Spendid_project – Requirement Traceability Matrix (RTM)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i w:val="1"/>
          <w:iCs w:val="1"/>
          <w:color w:val="31333f"/>
          <w:sz w:val="24"/>
          <w:szCs w:val="24"/>
        </w:rPr>
      </w:pPr>
      <w:r w:rsidDel="00000000" w:rsidR="00000000" w:rsidRPr="00000000">
        <w:rPr>
          <w:i w:val="1"/>
          <w:iCs w:val="1"/>
          <w:color w:val="31333f"/>
          <w:sz w:val="24"/>
          <w:szCs w:val="24"/>
          <w:rtl w:val="0"/>
        </w:rPr>
        <w:t xml:space="preserve">Version 1.0 – Prepared 10 Oct 2026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.5505735140771"/>
        <w:gridCol w:w="2004.087591240876"/>
        <w:gridCol w:w="1486.798748696559"/>
        <w:gridCol w:w="2179.7705943691344"/>
        <w:gridCol w:w="1828.4045881126171"/>
        <w:gridCol w:w="852.3879040667362"/>
        <w:tblGridChange w:id="0">
          <w:tblGrid>
            <w:gridCol w:w="1008.5505735140771"/>
            <w:gridCol w:w="2004.087591240876"/>
            <w:gridCol w:w="1486.798748696559"/>
            <w:gridCol w:w="2179.7705943691344"/>
            <w:gridCol w:w="1828.4045881126171"/>
            <w:gridCol w:w="852.3879040667362"/>
          </w:tblGrid>
        </w:tblGridChange>
      </w:tblGrid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Req‑ID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Requirement (Brief)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User‑Story / Use‑Case Reference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Test‑Case(s) Mapping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Verification 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2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FR‑001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Finance Journey Model – Define stages, controls, owners, cut‑offs, SLAs &amp; dependencies for the seven finance processes.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US‑001 (CFO view of material exceptions)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TC‑FR‑001‑POS, TC‑FR‑001‑NEG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Functional test (unit + integration)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3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FR‑002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Finance Operations Ledger – Persist synthetic receipts, invoices, statements, reconciliations, payables, disbursements, commissions, adjustments &amp; close tasks.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US‑001, US‑002 (Exception workbench)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TC‑FR‑002‑POS, TC‑FR‑002‑NEG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Functional + DB schema validation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FR‑003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Command‑Center Dashboard – Real‑time view of cash position, aging, settlement exposure, commission exceptions, reconciliation status &amp; close readiness.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US‑001, US‑003 (Persona‑driven view)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TC‑FR‑003‑POS, TC‑FR‑003‑NEG, TC‑PERF‑001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UI functional test, performance load (2 k concurrent users)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FR‑004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Exception Workbench – Prioritised queue with evidence, classification, amount, aging, control impact, owner &amp; decision history.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US‑001, US‑004 (Exception handling)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TC‑FR‑004‑POS, TC‑FR‑004‑NEG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Functional + audit‑trail verification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0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FR‑005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AI Exception Intelligence – Auto‑classify, cluster, quantify exposure, de‑duplicate, recommend next steps.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US‑005 (AI copilot)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TC‑AI‑001‑POS, TC‑AI‑001‑NEG, TC‑AI‑002‑LOWCONF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AI model unit test, confidence‑threshold validation, explainability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FR‑006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Conversational Finance Copilot – Answer grounded questions, drill‑down, provide evidence, confidence, assumptions; persona‑specific.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US‑005, US‑006 (Copilot interaction)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TC‑COP‑001‑POS, TC‑COP‑001‑NEG, TC‑COP‑002‑LOWCONF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End‑to‑end functional test, LLM prompt audit, human‑in‑the‑loop approval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3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FR‑007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Controlled Action Orchestration – Generate investigation tasks, notifications, journal‑support packages, approval requests &amp; run‑book steps; enforce human approval before any ledger or payment change.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US‑007 (Controlled resolution)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TC‑CTRL‑001‑POS, TC‑CTRL‑001‑NEG, TC‑SEC‑003‑AUTH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Workflow engine test, RBAC enforcement, audit‑log verification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FR‑008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Audit &amp; Segregation‑of‑Duties (SoD) – Capture source‑to‑post trace, approvals, overrides, decision trail; immutable logs.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US‑008 (Auditability)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TC‑AUD‑001‑POS, TC‑AUD‑001‑NEG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Immutable log integrity test, tamper‑evidence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FR‑009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Synthetic Data Generator – Produce repeatable multi‑agency transactions, feeds, statements, exceptions, control events &amp; realistic noise.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US‑009 (Synthetic data)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TC‑DATA‑001‑POS, TC‑DATA‑001‑NEG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Data generation validation, privacy compliance check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FR‑010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Reporting &amp; Economics Dashboard – Operational trends, exposure, close forecast, prompt/model trace, token usage, cost &amp; latency.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US‑010 (Tokenomics)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TC‑REP‑001‑POS, TC‑REP‑001‑NEG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Reporting accuracy test, cost‑model verification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NFR‑001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Scalability – System must support up to 10 k concurrent finance users and ingest 5 M transactions/day with &lt; 2 s latency for UI queries.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All functional stories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TC‑PERF‑001‑LOAD, TC‑PERF‑002‑STRESS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Load &amp; stress testing (JMeter)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0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NFR‑002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Security – Confidentiality – All data at rest encrypted (AES‑256) and in‑flight TLS 1.3; least‑privilege RBAC per persona.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All stories (especially FR‑007, FR‑008)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TC‑SEC‑001‑ENCR, TC‑SEC‑002‑RBAC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Pen‑test, static code analysis (Semgrep)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0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NFR‑003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Security – Integrity – Digital signatures on all journal entries &amp; external statements; tamper‑evident audit logs (hash‑chaining).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FR‑008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TC‑SEC‑003‑SIG, TC‑AUD‑001‑HASH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Integrity test, hash‑chain verification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0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NFR‑004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Compliance – SOC 2 / ISO 27001 – Align with control categories: Security, Availability, Processing Integrity, Confidentiality, Privacy.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All stories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TC‑COM‑001‑SOC2, TC‑COM‑002‑ISO27001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Third‑party audit checklist, compliance test suite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0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NFR‑005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Reliability – 99.9 % uptime – Automated fail‑over, health‑checks, circuit‑breaker patterns.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All stories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TC‑REL‑001‑HA, TC‑REL‑002‑RECOVERY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Chaos‑engineering (Gremlin)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NFR‑006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Observability – Centralised logging (ELK), metrics (Prometheus), tracing (OpenTelemetry) with dashboards for latency, error rates, AI token consumption.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All stories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TC‑OBS‑001‑LOG, TC‑OBS‑002‑METRICS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Log‑aggregation validation, alert‑rule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NFR‑007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Governance – Change Management – All code changes tracked via Git‑flow, peer‑reviewed, CI/CD gated by automated tests &amp; security scans.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All stories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TC‑GOV‑001‑CI, TC‑GOV‑002‑CODE‑REV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CI pipeline verification, pull‑request audit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0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NFR‑008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1333f"/>
                <w:sz w:val="24"/>
                <w:szCs w:val="24"/>
                <w:rtl w:val="0"/>
              </w:rPr>
              <w:t xml:space="preserve">Auditability – Traceability Matrix – End‑to‑end mapping from requirement → design → code → test → demo evidence.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All stories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TC‑GOV‑003‑RTM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Manual review, automated traceability tool (e.g., Azure DevOps)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AI‑001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Model Selection &amp; Rationale – Use Azure OpenAI GPT‑4o for LLM copilot; LangChain agents for exception classification; fine‑tuned on synthetic finance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FR‑005, FR‑006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TC‑AI‑003‑MODEL, TC‑AI‑004‑FINE‑TUNE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Model performance benchmark, cost‑analysis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AI‑002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Responsible AI – Explainability – Every AI output must include confidence score, source evidence, and assumptions; human must approve any monetary action.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FR‑005, FR‑006, FR‑007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TC‑AI‑005‑EXPLAIN, TC‑SEC‑004‑APPROVAL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Explainability test, human‑approval workflow 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0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AI‑003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Tokenomics &amp; Cost Monitoring – Capture per‑request token count, latency, cost; enforce budget alerts (&gt;$5 k/month).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FR‑010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TC‑TOK‑001‑CAPTURE, TC‑TOK‑002‑ALERT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Token‑usage logging, cost‑threshold 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  <w:tr>
        <w:trPr>
          <w:cantSplit w:val="0"/>
          <w:trHeight w:val="2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AI‑004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Model Governance – Versioned model registry, immutable provenance, rollback capability, audit of prompt‑usage (see Prompt Register).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All AI stories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TC‑AI‑006‑REGISTRY, TC‑AI‑007‑ROLLBACK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Model registry validation, rollback 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Draft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</w:rPr>
      </w:pPr>
      <w:bookmarkStart w:colFirst="0" w:colLast="0" w:name="_yy4z1u3n1vk7" w:id="1"/>
      <w:bookmarkEnd w:id="1"/>
      <w:r w:rsidDel="00000000" w:rsidR="00000000" w:rsidRPr="00000000">
        <w:rPr>
          <w:color w:val="31333f"/>
          <w:rtl w:val="0"/>
        </w:rPr>
        <w:t xml:space="preserve">How to Read the Matrix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9.53781512605"/>
        <w:gridCol w:w="6700.462184873949"/>
        <w:tblGridChange w:id="0">
          <w:tblGrid>
            <w:gridCol w:w="2659.53781512605"/>
            <w:gridCol w:w="6700.462184873949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Req‑ID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Unique identifier (FR = Functional, NFR = Non‑Functional, AI = AI‑specific).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Concise statement of what must be delivered.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User‑Story / Use‑Case Reference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The high‑level story that drives the requirement (e.g., US‑001 = “CFO wants a single view of material exceptions”).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Test‑Case(s) Mapping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One or more test‑case IDs that verify the requirement. Positive (POS), Negative (NEG), Low‑Confidence (LOWCONF), Performance (PERF), Security (SEC), etc.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Verification 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How the test is executed (functional test, load test, security scan, audit, etc.).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Current lifecycle stage – </w:t>
            </w:r>
            <w:r w:rsidDel="00000000" w:rsidR="00000000" w:rsidRPr="00000000">
              <w:rPr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Draft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Reviewed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Approved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Implemented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Validated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31333f"/>
                <w:sz w:val="24"/>
                <w:szCs w:val="24"/>
                <w:rtl w:val="0"/>
              </w:rPr>
              <w:t xml:space="preserve">Closed</w:t>
            </w: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  <w:sz w:val="36"/>
          <w:szCs w:val="36"/>
        </w:rPr>
      </w:pPr>
      <w:bookmarkStart w:colFirst="0" w:colLast="0" w:name="_x0x15ffsmayr" w:id="2"/>
      <w:bookmarkEnd w:id="2"/>
      <w:r w:rsidDel="00000000" w:rsidR="00000000" w:rsidRPr="00000000">
        <w:rPr>
          <w:color w:val="31333f"/>
          <w:sz w:val="36"/>
          <w:szCs w:val="36"/>
          <w:rtl w:val="0"/>
        </w:rPr>
        <w:t xml:space="preserve">Traceability Flow (High‑Level)</w:t>
      </w:r>
    </w:p>
    <w:p w:rsidR="00000000" w:rsidDel="00000000" w:rsidP="00000000" w:rsidRDefault="00000000" w:rsidRPr="00000000" w14:paraId="0000009E">
      <w:pPr>
        <w:shd w:fill="ffffff" w:val="clear"/>
        <w:rPr>
          <w:rFonts w:ascii="Courier New" w:cs="Courier New" w:eastAsia="Courier New" w:hAnsi="Courier New"/>
          <w:color w:val="bd404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d4043"/>
          <w:sz w:val="24"/>
          <w:szCs w:val="24"/>
        </w:rPr>
        <w:drawing>
          <wp:inline distB="114300" distT="114300" distL="114300" distR="114300">
            <wp:extent cx="5943600" cy="220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i w:val="1"/>
          <w:iCs w:val="1"/>
          <w:color w:val="31333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1333f"/>
          <w:sz w:val="24"/>
          <w:szCs w:val="24"/>
          <w:rtl w:val="0"/>
        </w:rPr>
        <w:t xml:space="preserve">The matrix is the single source of truth linking User Stories → Requirements → Design → Code → Tests → Evidence. Any change to a requirement must trigger a traceability impact analysis (governed by the Change Management process).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  <w:sz w:val="36"/>
          <w:szCs w:val="36"/>
        </w:rPr>
      </w:pPr>
      <w:bookmarkStart w:colFirst="0" w:colLast="0" w:name="_bydbi2z877rt" w:id="3"/>
      <w:bookmarkEnd w:id="3"/>
      <w:r w:rsidDel="00000000" w:rsidR="00000000" w:rsidRPr="00000000">
        <w:rPr>
          <w:color w:val="31333f"/>
          <w:sz w:val="36"/>
          <w:szCs w:val="36"/>
          <w:rtl w:val="0"/>
        </w:rPr>
        <w:t xml:space="preserve">Governance &amp; Maintenance Process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.9274193548385"/>
        <w:gridCol w:w="2269.233870967742"/>
        <w:gridCol w:w="2014.4758064516132"/>
        <w:gridCol w:w="2835.362903225807"/>
        <w:tblGridChange w:id="0">
          <w:tblGrid>
            <w:gridCol w:w="2240.9274193548385"/>
            <w:gridCol w:w="2269.233870967742"/>
            <w:gridCol w:w="2014.4758064516132"/>
            <w:gridCol w:w="2835.362903225807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1333f"/>
                <w:sz w:val="24"/>
                <w:szCs w:val="24"/>
                <w:rtl w:val="0"/>
              </w:rPr>
              <w:t xml:space="preserve">Artefact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Requirement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Business Analyst &amp; Finance SME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Sprint‑start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Updated RTM (status = Reviewed)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Design Sign‑off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Solution Architect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End of Sprint 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Architecture Diagrams, Updated RTM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Code Review &amp; Merge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Development Lead (peer‑review)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Per Pull‑Request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CI status badge, RTM status = Implemented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Continuous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Test reports linked to TC IDs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Security &amp; Compliance Scan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Security Architect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Nightly (Automated)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Scan reports, RTM status = Validated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Audit Trail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Internal Auditor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Audit log export, RTM status = Closed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Model Governance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AI Governance 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Model registry snapshot, Prompt Register, RTM status = Validated</w:t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Tokenomics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Finance Ops &amp; Cloud Cost Owner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31333f"/>
                <w:sz w:val="24"/>
                <w:szCs w:val="24"/>
              </w:rPr>
            </w:pPr>
            <w:r w:rsidDel="00000000" w:rsidR="00000000" w:rsidRPr="00000000">
              <w:rPr>
                <w:color w:val="31333f"/>
                <w:sz w:val="24"/>
                <w:szCs w:val="24"/>
                <w:rtl w:val="0"/>
              </w:rPr>
              <w:t xml:space="preserve">Tokenomics Report, RTM status = Validated</w:t>
            </w:r>
          </w:p>
        </w:tc>
      </w:tr>
    </w:tbl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31333f"/>
          <w:sz w:val="24"/>
          <w:szCs w:val="24"/>
        </w:rPr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All artefacts (RTM, design docs, code, test suites, prompt register) are stored in the Spendid_project Azure DevOps repository with branch protection, mandatory pull‑request approvals, and immutable tags for released versions.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color w:val="31333f"/>
        </w:rPr>
      </w:pPr>
      <w:bookmarkStart w:colFirst="0" w:colLast="0" w:name="_v3ppq25otw16" w:id="4"/>
      <w:bookmarkEnd w:id="4"/>
      <w:r w:rsidDel="00000000" w:rsidR="00000000" w:rsidRPr="00000000">
        <w:rPr>
          <w:color w:val="31333f"/>
          <w:rtl w:val="0"/>
        </w:rPr>
        <w:t xml:space="preserve">Next Steps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0" w:lineRule="auto"/>
        <w:ind w:left="1000" w:hanging="360"/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Finalize User Stories (US‑001 – US‑010) with finance SMEs.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00" w:hanging="360"/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Populate Test Cases (TC‑* IDs) in Azure Test Plans and link them to the RTM.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00" w:hanging="360"/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Run a baseline compliance scan (SOC 2 Type I) and update NFR‑004 status to </w:t>
      </w:r>
      <w:r w:rsidDel="00000000" w:rsidR="00000000" w:rsidRPr="00000000">
        <w:rPr>
          <w:i w:val="1"/>
          <w:iCs w:val="1"/>
          <w:color w:val="31333f"/>
          <w:sz w:val="24"/>
          <w:szCs w:val="24"/>
          <w:rtl w:val="0"/>
        </w:rPr>
        <w:t xml:space="preserve">Reviewed</w:t>
      </w:r>
      <w:r w:rsidDel="00000000" w:rsidR="00000000" w:rsidRPr="00000000">
        <w:rPr>
          <w:color w:val="31333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beforeAutospacing="0" w:lineRule="auto"/>
        <w:ind w:left="1000" w:hanging="360"/>
      </w:pPr>
      <w:r w:rsidDel="00000000" w:rsidR="00000000" w:rsidRPr="00000000">
        <w:rPr>
          <w:color w:val="31333f"/>
          <w:sz w:val="24"/>
          <w:szCs w:val="24"/>
          <w:rtl w:val="0"/>
        </w:rPr>
        <w:t xml:space="preserve">Iterate the RTM after each sprint – any requirement that moves to </w:t>
      </w:r>
      <w:r w:rsidDel="00000000" w:rsidR="00000000" w:rsidRPr="00000000">
        <w:rPr>
          <w:i w:val="1"/>
          <w:iCs w:val="1"/>
          <w:color w:val="31333f"/>
          <w:sz w:val="24"/>
          <w:szCs w:val="24"/>
          <w:rtl w:val="0"/>
        </w:rPr>
        <w:t xml:space="preserve">Implemented</w:t>
      </w:r>
      <w:r w:rsidDel="00000000" w:rsidR="00000000" w:rsidRPr="00000000">
        <w:rPr>
          <w:color w:val="31333f"/>
          <w:sz w:val="24"/>
          <w:szCs w:val="24"/>
          <w:rtl w:val="0"/>
        </w:rPr>
        <w:t xml:space="preserve"> must have at least one PASS test result attached.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i w:val="1"/>
          <w:iCs w:val="1"/>
          <w:color w:val="31333f"/>
          <w:sz w:val="24"/>
          <w:szCs w:val="24"/>
        </w:rPr>
      </w:pPr>
      <w:r w:rsidDel="00000000" w:rsidR="00000000" w:rsidRPr="00000000">
        <w:rPr>
          <w:i w:val="1"/>
          <w:iCs w:val="1"/>
          <w:color w:val="31333f"/>
          <w:sz w:val="24"/>
          <w:szCs w:val="24"/>
          <w:rtl w:val="0"/>
        </w:rPr>
        <w:t xml:space="preserve">The RTM will evolve throughout the SDLC, providing a transparent, auditable, and governance‑driven view of delivery health.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133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