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58495" w14:textId="77777777" w:rsidR="007644B2" w:rsidRDefault="00000000">
      <w:pPr>
        <w:pStyle w:val="Title"/>
      </w:pPr>
      <w:r>
        <w:t>Stakeholder Map</w:t>
      </w:r>
    </w:p>
    <w:p w14:paraId="568C2FAE" w14:textId="77777777" w:rsidR="007644B2" w:rsidRDefault="00000000">
      <w:pPr>
        <w:pStyle w:val="Subtitle"/>
      </w:pPr>
      <w:r>
        <w:t>IIIT Hyderabad Breakfast Mess System</w:t>
      </w:r>
    </w:p>
    <w:sdt>
      <w:sdtPr>
        <w:rPr>
          <w:rFonts w:asciiTheme="minorHAnsi" w:eastAsiaTheme="minorEastAsia" w:hAnsiTheme="minorHAnsi" w:cstheme="minorBidi"/>
          <w:color w:val="auto"/>
          <w:sz w:val="24"/>
          <w:szCs w:val="24"/>
        </w:rPr>
        <w:id w:val="1237062477"/>
        <w:docPartObj>
          <w:docPartGallery w:val="Table of Contents"/>
          <w:docPartUnique/>
        </w:docPartObj>
      </w:sdtPr>
      <w:sdtContent>
        <w:p w14:paraId="5B0E0119" w14:textId="77777777" w:rsidR="007644B2" w:rsidRDefault="00000000">
          <w:pPr>
            <w:pStyle w:val="TOCHeading"/>
          </w:pPr>
          <w:r>
            <w:t>Table of Contents</w:t>
          </w:r>
        </w:p>
        <w:p w14:paraId="434D0296" w14:textId="77777777" w:rsidR="003D052E" w:rsidRDefault="00000000">
          <w:pPr>
            <w:pStyle w:val="TOC1"/>
            <w:tabs>
              <w:tab w:val="right" w:leader="dot" w:pos="9350"/>
            </w:tabs>
            <w:rPr>
              <w:noProof/>
            </w:rPr>
          </w:pPr>
          <w:r>
            <w:fldChar w:fldCharType="begin"/>
          </w:r>
          <w:r>
            <w:instrText>TOC \o "1-2" \h \z \u</w:instrText>
          </w:r>
          <w:r>
            <w:fldChar w:fldCharType="separate"/>
          </w:r>
          <w:hyperlink w:anchor="_Toc239627896" w:history="1">
            <w:r w:rsidR="003D052E" w:rsidRPr="00DA4394">
              <w:rPr>
                <w:rStyle w:val="Hyperlink"/>
                <w:noProof/>
              </w:rPr>
              <w:t>Use Case</w:t>
            </w:r>
            <w:r w:rsidR="003D052E">
              <w:rPr>
                <w:noProof/>
                <w:webHidden/>
              </w:rPr>
              <w:tab/>
            </w:r>
            <w:r w:rsidR="003D052E">
              <w:rPr>
                <w:noProof/>
                <w:webHidden/>
              </w:rPr>
              <w:fldChar w:fldCharType="begin"/>
            </w:r>
            <w:r w:rsidR="003D052E">
              <w:rPr>
                <w:noProof/>
                <w:webHidden/>
              </w:rPr>
              <w:instrText xml:space="preserve"> PAGEREF _Toc239627896 \h </w:instrText>
            </w:r>
            <w:r w:rsidR="003D052E">
              <w:rPr>
                <w:noProof/>
                <w:webHidden/>
              </w:rPr>
            </w:r>
            <w:r w:rsidR="003D052E">
              <w:rPr>
                <w:noProof/>
                <w:webHidden/>
              </w:rPr>
              <w:fldChar w:fldCharType="separate"/>
            </w:r>
            <w:r w:rsidR="003D052E">
              <w:rPr>
                <w:noProof/>
                <w:webHidden/>
              </w:rPr>
              <w:t>1</w:t>
            </w:r>
            <w:r w:rsidR="003D052E">
              <w:rPr>
                <w:noProof/>
                <w:webHidden/>
              </w:rPr>
              <w:fldChar w:fldCharType="end"/>
            </w:r>
          </w:hyperlink>
        </w:p>
        <w:p w14:paraId="7C68FA8C" w14:textId="77777777" w:rsidR="003D052E" w:rsidRDefault="003D052E">
          <w:pPr>
            <w:pStyle w:val="TOC1"/>
            <w:tabs>
              <w:tab w:val="right" w:leader="dot" w:pos="9350"/>
            </w:tabs>
            <w:rPr>
              <w:noProof/>
            </w:rPr>
          </w:pPr>
          <w:hyperlink w:anchor="_Toc239627897" w:history="1">
            <w:r w:rsidRPr="00DA4394">
              <w:rPr>
                <w:rStyle w:val="Hyperlink"/>
                <w:noProof/>
              </w:rPr>
              <w:t>Stakeholders</w:t>
            </w:r>
            <w:r>
              <w:rPr>
                <w:noProof/>
                <w:webHidden/>
              </w:rPr>
              <w:tab/>
            </w:r>
            <w:r>
              <w:rPr>
                <w:noProof/>
                <w:webHidden/>
              </w:rPr>
              <w:fldChar w:fldCharType="begin"/>
            </w:r>
            <w:r>
              <w:rPr>
                <w:noProof/>
                <w:webHidden/>
              </w:rPr>
              <w:instrText xml:space="preserve"> PAGEREF _Toc239627897 \h </w:instrText>
            </w:r>
            <w:r>
              <w:rPr>
                <w:noProof/>
                <w:webHidden/>
              </w:rPr>
            </w:r>
            <w:r>
              <w:rPr>
                <w:noProof/>
                <w:webHidden/>
              </w:rPr>
              <w:fldChar w:fldCharType="separate"/>
            </w:r>
            <w:r>
              <w:rPr>
                <w:noProof/>
                <w:webHidden/>
              </w:rPr>
              <w:t>1</w:t>
            </w:r>
            <w:r>
              <w:rPr>
                <w:noProof/>
                <w:webHidden/>
              </w:rPr>
              <w:fldChar w:fldCharType="end"/>
            </w:r>
          </w:hyperlink>
        </w:p>
        <w:p w14:paraId="6260C6B1" w14:textId="77777777" w:rsidR="003D052E" w:rsidRDefault="003D052E">
          <w:pPr>
            <w:pStyle w:val="TOC2"/>
            <w:tabs>
              <w:tab w:val="right" w:leader="dot" w:pos="9350"/>
            </w:tabs>
            <w:rPr>
              <w:noProof/>
            </w:rPr>
          </w:pPr>
          <w:hyperlink w:anchor="_Toc239627898" w:history="1">
            <w:r w:rsidRPr="00DA4394">
              <w:rPr>
                <w:rStyle w:val="Hyperlink"/>
                <w:noProof/>
              </w:rPr>
              <w:t>Primary, Secondary, and Indirect Stakeholders</w:t>
            </w:r>
            <w:r>
              <w:rPr>
                <w:noProof/>
                <w:webHidden/>
              </w:rPr>
              <w:tab/>
            </w:r>
            <w:r>
              <w:rPr>
                <w:noProof/>
                <w:webHidden/>
              </w:rPr>
              <w:fldChar w:fldCharType="begin"/>
            </w:r>
            <w:r>
              <w:rPr>
                <w:noProof/>
                <w:webHidden/>
              </w:rPr>
              <w:instrText xml:space="preserve"> PAGEREF _Toc239627898 \h </w:instrText>
            </w:r>
            <w:r>
              <w:rPr>
                <w:noProof/>
                <w:webHidden/>
              </w:rPr>
            </w:r>
            <w:r>
              <w:rPr>
                <w:noProof/>
                <w:webHidden/>
              </w:rPr>
              <w:fldChar w:fldCharType="separate"/>
            </w:r>
            <w:r>
              <w:rPr>
                <w:noProof/>
                <w:webHidden/>
              </w:rPr>
              <w:t>1</w:t>
            </w:r>
            <w:r>
              <w:rPr>
                <w:noProof/>
                <w:webHidden/>
              </w:rPr>
              <w:fldChar w:fldCharType="end"/>
            </w:r>
          </w:hyperlink>
        </w:p>
        <w:p w14:paraId="35B35B7A" w14:textId="77777777" w:rsidR="003D052E" w:rsidRDefault="003D052E">
          <w:pPr>
            <w:pStyle w:val="TOC2"/>
            <w:tabs>
              <w:tab w:val="right" w:leader="dot" w:pos="9350"/>
            </w:tabs>
            <w:rPr>
              <w:noProof/>
            </w:rPr>
          </w:pPr>
          <w:hyperlink w:anchor="_Toc239627899" w:history="1">
            <w:r w:rsidRPr="00DA4394">
              <w:rPr>
                <w:rStyle w:val="Hyperlink"/>
                <w:noProof/>
              </w:rPr>
              <w:t>Stakeholder Interests, Needs, and Expectations</w:t>
            </w:r>
            <w:r>
              <w:rPr>
                <w:noProof/>
                <w:webHidden/>
              </w:rPr>
              <w:tab/>
            </w:r>
            <w:r>
              <w:rPr>
                <w:noProof/>
                <w:webHidden/>
              </w:rPr>
              <w:fldChar w:fldCharType="begin"/>
            </w:r>
            <w:r>
              <w:rPr>
                <w:noProof/>
                <w:webHidden/>
              </w:rPr>
              <w:instrText xml:space="preserve"> PAGEREF _Toc239627899 \h </w:instrText>
            </w:r>
            <w:r>
              <w:rPr>
                <w:noProof/>
                <w:webHidden/>
              </w:rPr>
            </w:r>
            <w:r>
              <w:rPr>
                <w:noProof/>
                <w:webHidden/>
              </w:rPr>
              <w:fldChar w:fldCharType="separate"/>
            </w:r>
            <w:r>
              <w:rPr>
                <w:noProof/>
                <w:webHidden/>
              </w:rPr>
              <w:t>1</w:t>
            </w:r>
            <w:r>
              <w:rPr>
                <w:noProof/>
                <w:webHidden/>
              </w:rPr>
              <w:fldChar w:fldCharType="end"/>
            </w:r>
          </w:hyperlink>
        </w:p>
        <w:p w14:paraId="3CC935BB" w14:textId="77777777" w:rsidR="003D052E" w:rsidRDefault="003D052E">
          <w:pPr>
            <w:pStyle w:val="TOC2"/>
            <w:tabs>
              <w:tab w:val="right" w:leader="dot" w:pos="9350"/>
            </w:tabs>
            <w:rPr>
              <w:noProof/>
            </w:rPr>
          </w:pPr>
          <w:hyperlink w:anchor="_Toc239627900" w:history="1">
            <w:r w:rsidRPr="00DA4394">
              <w:rPr>
                <w:rStyle w:val="Hyperlink"/>
                <w:noProof/>
              </w:rPr>
              <w:t>Formal and Informal Roles</w:t>
            </w:r>
            <w:r>
              <w:rPr>
                <w:noProof/>
                <w:webHidden/>
              </w:rPr>
              <w:tab/>
            </w:r>
            <w:r>
              <w:rPr>
                <w:noProof/>
                <w:webHidden/>
              </w:rPr>
              <w:fldChar w:fldCharType="begin"/>
            </w:r>
            <w:r>
              <w:rPr>
                <w:noProof/>
                <w:webHidden/>
              </w:rPr>
              <w:instrText xml:space="preserve"> PAGEREF _Toc239627900 \h </w:instrText>
            </w:r>
            <w:r>
              <w:rPr>
                <w:noProof/>
                <w:webHidden/>
              </w:rPr>
            </w:r>
            <w:r>
              <w:rPr>
                <w:noProof/>
                <w:webHidden/>
              </w:rPr>
              <w:fldChar w:fldCharType="separate"/>
            </w:r>
            <w:r>
              <w:rPr>
                <w:noProof/>
                <w:webHidden/>
              </w:rPr>
              <w:t>1</w:t>
            </w:r>
            <w:r>
              <w:rPr>
                <w:noProof/>
                <w:webHidden/>
              </w:rPr>
              <w:fldChar w:fldCharType="end"/>
            </w:r>
          </w:hyperlink>
        </w:p>
        <w:p w14:paraId="0E1F1BAE" w14:textId="77777777" w:rsidR="003D052E" w:rsidRDefault="003D052E">
          <w:pPr>
            <w:pStyle w:val="TOC1"/>
            <w:tabs>
              <w:tab w:val="right" w:leader="dot" w:pos="9350"/>
            </w:tabs>
            <w:rPr>
              <w:noProof/>
            </w:rPr>
          </w:pPr>
          <w:hyperlink w:anchor="_Toc239627901" w:history="1">
            <w:r w:rsidRPr="00DA4394">
              <w:rPr>
                <w:rStyle w:val="Hyperlink"/>
                <w:noProof/>
              </w:rPr>
              <w:t>Create the Map</w:t>
            </w:r>
            <w:r>
              <w:rPr>
                <w:noProof/>
                <w:webHidden/>
              </w:rPr>
              <w:tab/>
            </w:r>
            <w:r>
              <w:rPr>
                <w:noProof/>
                <w:webHidden/>
              </w:rPr>
              <w:fldChar w:fldCharType="begin"/>
            </w:r>
            <w:r>
              <w:rPr>
                <w:noProof/>
                <w:webHidden/>
              </w:rPr>
              <w:instrText xml:space="preserve"> PAGEREF _Toc239627901 \h </w:instrText>
            </w:r>
            <w:r>
              <w:rPr>
                <w:noProof/>
                <w:webHidden/>
              </w:rPr>
            </w:r>
            <w:r>
              <w:rPr>
                <w:noProof/>
                <w:webHidden/>
              </w:rPr>
              <w:fldChar w:fldCharType="separate"/>
            </w:r>
            <w:r>
              <w:rPr>
                <w:noProof/>
                <w:webHidden/>
              </w:rPr>
              <w:t>1</w:t>
            </w:r>
            <w:r>
              <w:rPr>
                <w:noProof/>
                <w:webHidden/>
              </w:rPr>
              <w:fldChar w:fldCharType="end"/>
            </w:r>
          </w:hyperlink>
        </w:p>
        <w:p w14:paraId="5A75A665" w14:textId="77777777" w:rsidR="003D052E" w:rsidRDefault="003D052E">
          <w:pPr>
            <w:pStyle w:val="TOC2"/>
            <w:tabs>
              <w:tab w:val="right" w:leader="dot" w:pos="9350"/>
            </w:tabs>
            <w:rPr>
              <w:noProof/>
            </w:rPr>
          </w:pPr>
          <w:hyperlink w:anchor="_Toc239627902" w:history="1">
            <w:r w:rsidRPr="00DA4394">
              <w:rPr>
                <w:rStyle w:val="Hyperlink"/>
                <w:noProof/>
              </w:rPr>
              <w:t>Stakeholder Map</w:t>
            </w:r>
            <w:r>
              <w:rPr>
                <w:noProof/>
                <w:webHidden/>
              </w:rPr>
              <w:tab/>
            </w:r>
            <w:r>
              <w:rPr>
                <w:noProof/>
                <w:webHidden/>
              </w:rPr>
              <w:fldChar w:fldCharType="begin"/>
            </w:r>
            <w:r>
              <w:rPr>
                <w:noProof/>
                <w:webHidden/>
              </w:rPr>
              <w:instrText xml:space="preserve"> PAGEREF _Toc239627902 \h </w:instrText>
            </w:r>
            <w:r>
              <w:rPr>
                <w:noProof/>
                <w:webHidden/>
              </w:rPr>
            </w:r>
            <w:r>
              <w:rPr>
                <w:noProof/>
                <w:webHidden/>
              </w:rPr>
              <w:fldChar w:fldCharType="separate"/>
            </w:r>
            <w:r>
              <w:rPr>
                <w:noProof/>
                <w:webHidden/>
              </w:rPr>
              <w:t>1</w:t>
            </w:r>
            <w:r>
              <w:rPr>
                <w:noProof/>
                <w:webHidden/>
              </w:rPr>
              <w:fldChar w:fldCharType="end"/>
            </w:r>
          </w:hyperlink>
        </w:p>
        <w:p w14:paraId="6E7D55C4" w14:textId="77777777" w:rsidR="003D052E" w:rsidRDefault="003D052E">
          <w:pPr>
            <w:pStyle w:val="TOC2"/>
            <w:tabs>
              <w:tab w:val="right" w:leader="dot" w:pos="9350"/>
            </w:tabs>
            <w:rPr>
              <w:noProof/>
            </w:rPr>
          </w:pPr>
          <w:hyperlink w:anchor="_Toc239627903" w:history="1">
            <w:r w:rsidRPr="00DA4394">
              <w:rPr>
                <w:rStyle w:val="Hyperlink"/>
                <w:noProof/>
              </w:rPr>
              <w:t>Relationship Network</w:t>
            </w:r>
            <w:r>
              <w:rPr>
                <w:noProof/>
                <w:webHidden/>
              </w:rPr>
              <w:tab/>
            </w:r>
            <w:r>
              <w:rPr>
                <w:noProof/>
                <w:webHidden/>
              </w:rPr>
              <w:fldChar w:fldCharType="begin"/>
            </w:r>
            <w:r>
              <w:rPr>
                <w:noProof/>
                <w:webHidden/>
              </w:rPr>
              <w:instrText xml:space="preserve"> PAGEREF _Toc239627903 \h </w:instrText>
            </w:r>
            <w:r>
              <w:rPr>
                <w:noProof/>
                <w:webHidden/>
              </w:rPr>
            </w:r>
            <w:r>
              <w:rPr>
                <w:noProof/>
                <w:webHidden/>
              </w:rPr>
              <w:fldChar w:fldCharType="separate"/>
            </w:r>
            <w:r>
              <w:rPr>
                <w:noProof/>
                <w:webHidden/>
              </w:rPr>
              <w:t>1</w:t>
            </w:r>
            <w:r>
              <w:rPr>
                <w:noProof/>
                <w:webHidden/>
              </w:rPr>
              <w:fldChar w:fldCharType="end"/>
            </w:r>
          </w:hyperlink>
        </w:p>
        <w:p w14:paraId="595041AE" w14:textId="77777777" w:rsidR="003D052E" w:rsidRDefault="003D052E">
          <w:pPr>
            <w:pStyle w:val="TOC2"/>
            <w:tabs>
              <w:tab w:val="right" w:leader="dot" w:pos="9350"/>
            </w:tabs>
            <w:rPr>
              <w:noProof/>
            </w:rPr>
          </w:pPr>
          <w:hyperlink w:anchor="_Toc239627904" w:history="1">
            <w:r w:rsidRPr="00DA4394">
              <w:rPr>
                <w:rStyle w:val="Hyperlink"/>
                <w:noProof/>
              </w:rPr>
              <w:t>Proximity to the Student’s Lived Experience</w:t>
            </w:r>
            <w:r>
              <w:rPr>
                <w:noProof/>
                <w:webHidden/>
              </w:rPr>
              <w:tab/>
            </w:r>
            <w:r>
              <w:rPr>
                <w:noProof/>
                <w:webHidden/>
              </w:rPr>
              <w:fldChar w:fldCharType="begin"/>
            </w:r>
            <w:r>
              <w:rPr>
                <w:noProof/>
                <w:webHidden/>
              </w:rPr>
              <w:instrText xml:space="preserve"> PAGEREF _Toc239627904 \h </w:instrText>
            </w:r>
            <w:r>
              <w:rPr>
                <w:noProof/>
                <w:webHidden/>
              </w:rPr>
            </w:r>
            <w:r>
              <w:rPr>
                <w:noProof/>
                <w:webHidden/>
              </w:rPr>
              <w:fldChar w:fldCharType="separate"/>
            </w:r>
            <w:r>
              <w:rPr>
                <w:noProof/>
                <w:webHidden/>
              </w:rPr>
              <w:t>1</w:t>
            </w:r>
            <w:r>
              <w:rPr>
                <w:noProof/>
                <w:webHidden/>
              </w:rPr>
              <w:fldChar w:fldCharType="end"/>
            </w:r>
          </w:hyperlink>
        </w:p>
        <w:p w14:paraId="76F48540" w14:textId="77777777" w:rsidR="003D052E" w:rsidRDefault="003D052E">
          <w:pPr>
            <w:pStyle w:val="TOC1"/>
            <w:tabs>
              <w:tab w:val="right" w:leader="dot" w:pos="9350"/>
            </w:tabs>
            <w:rPr>
              <w:noProof/>
            </w:rPr>
          </w:pPr>
          <w:hyperlink w:anchor="_Toc239627905" w:history="1">
            <w:r w:rsidRPr="00DA4394">
              <w:rPr>
                <w:rStyle w:val="Hyperlink"/>
                <w:noProof/>
              </w:rPr>
              <w:t>Relationships, Dependencies, and Conflicts</w:t>
            </w:r>
            <w:r>
              <w:rPr>
                <w:noProof/>
                <w:webHidden/>
              </w:rPr>
              <w:tab/>
            </w:r>
            <w:r>
              <w:rPr>
                <w:noProof/>
                <w:webHidden/>
              </w:rPr>
              <w:fldChar w:fldCharType="begin"/>
            </w:r>
            <w:r>
              <w:rPr>
                <w:noProof/>
                <w:webHidden/>
              </w:rPr>
              <w:instrText xml:space="preserve"> PAGEREF _Toc239627905 \h </w:instrText>
            </w:r>
            <w:r>
              <w:rPr>
                <w:noProof/>
                <w:webHidden/>
              </w:rPr>
            </w:r>
            <w:r>
              <w:rPr>
                <w:noProof/>
                <w:webHidden/>
              </w:rPr>
              <w:fldChar w:fldCharType="separate"/>
            </w:r>
            <w:r>
              <w:rPr>
                <w:noProof/>
                <w:webHidden/>
              </w:rPr>
              <w:t>1</w:t>
            </w:r>
            <w:r>
              <w:rPr>
                <w:noProof/>
                <w:webHidden/>
              </w:rPr>
              <w:fldChar w:fldCharType="end"/>
            </w:r>
          </w:hyperlink>
        </w:p>
        <w:p w14:paraId="1DA8EEAC" w14:textId="77777777" w:rsidR="003D052E" w:rsidRDefault="003D052E">
          <w:pPr>
            <w:pStyle w:val="TOC2"/>
            <w:tabs>
              <w:tab w:val="right" w:leader="dot" w:pos="9350"/>
            </w:tabs>
            <w:rPr>
              <w:noProof/>
            </w:rPr>
          </w:pPr>
          <w:hyperlink w:anchor="_Toc239627906" w:history="1">
            <w:r w:rsidRPr="00DA4394">
              <w:rPr>
                <w:rStyle w:val="Hyperlink"/>
                <w:noProof/>
              </w:rPr>
              <w:t>Relationship Matrix</w:t>
            </w:r>
            <w:r>
              <w:rPr>
                <w:noProof/>
                <w:webHidden/>
              </w:rPr>
              <w:tab/>
            </w:r>
            <w:r>
              <w:rPr>
                <w:noProof/>
                <w:webHidden/>
              </w:rPr>
              <w:fldChar w:fldCharType="begin"/>
            </w:r>
            <w:r>
              <w:rPr>
                <w:noProof/>
                <w:webHidden/>
              </w:rPr>
              <w:instrText xml:space="preserve"> PAGEREF _Toc239627906 \h </w:instrText>
            </w:r>
            <w:r>
              <w:rPr>
                <w:noProof/>
                <w:webHidden/>
              </w:rPr>
            </w:r>
            <w:r>
              <w:rPr>
                <w:noProof/>
                <w:webHidden/>
              </w:rPr>
              <w:fldChar w:fldCharType="separate"/>
            </w:r>
            <w:r>
              <w:rPr>
                <w:noProof/>
                <w:webHidden/>
              </w:rPr>
              <w:t>1</w:t>
            </w:r>
            <w:r>
              <w:rPr>
                <w:noProof/>
                <w:webHidden/>
              </w:rPr>
              <w:fldChar w:fldCharType="end"/>
            </w:r>
          </w:hyperlink>
        </w:p>
        <w:p w14:paraId="74D91113" w14:textId="77777777" w:rsidR="003D052E" w:rsidRDefault="003D052E">
          <w:pPr>
            <w:pStyle w:val="TOC2"/>
            <w:tabs>
              <w:tab w:val="right" w:leader="dot" w:pos="9350"/>
            </w:tabs>
            <w:rPr>
              <w:noProof/>
            </w:rPr>
          </w:pPr>
          <w:hyperlink w:anchor="_Toc239627907" w:history="1">
            <w:r w:rsidRPr="00DA4394">
              <w:rPr>
                <w:rStyle w:val="Hyperlink"/>
                <w:noProof/>
              </w:rPr>
              <w:t>Dependencies</w:t>
            </w:r>
            <w:r>
              <w:rPr>
                <w:noProof/>
                <w:webHidden/>
              </w:rPr>
              <w:tab/>
            </w:r>
            <w:r>
              <w:rPr>
                <w:noProof/>
                <w:webHidden/>
              </w:rPr>
              <w:fldChar w:fldCharType="begin"/>
            </w:r>
            <w:r>
              <w:rPr>
                <w:noProof/>
                <w:webHidden/>
              </w:rPr>
              <w:instrText xml:space="preserve"> PAGEREF _Toc239627907 \h </w:instrText>
            </w:r>
            <w:r>
              <w:rPr>
                <w:noProof/>
                <w:webHidden/>
              </w:rPr>
            </w:r>
            <w:r>
              <w:rPr>
                <w:noProof/>
                <w:webHidden/>
              </w:rPr>
              <w:fldChar w:fldCharType="separate"/>
            </w:r>
            <w:r>
              <w:rPr>
                <w:noProof/>
                <w:webHidden/>
              </w:rPr>
              <w:t>1</w:t>
            </w:r>
            <w:r>
              <w:rPr>
                <w:noProof/>
                <w:webHidden/>
              </w:rPr>
              <w:fldChar w:fldCharType="end"/>
            </w:r>
          </w:hyperlink>
        </w:p>
        <w:p w14:paraId="467108E0" w14:textId="77777777" w:rsidR="003D052E" w:rsidRDefault="003D052E">
          <w:pPr>
            <w:pStyle w:val="TOC2"/>
            <w:tabs>
              <w:tab w:val="right" w:leader="dot" w:pos="9350"/>
            </w:tabs>
            <w:rPr>
              <w:noProof/>
            </w:rPr>
          </w:pPr>
          <w:hyperlink w:anchor="_Toc239627908" w:history="1">
            <w:r w:rsidRPr="00DA4394">
              <w:rPr>
                <w:rStyle w:val="Hyperlink"/>
                <w:noProof/>
              </w:rPr>
              <w:t>Conflicts</w:t>
            </w:r>
            <w:r>
              <w:rPr>
                <w:noProof/>
                <w:webHidden/>
              </w:rPr>
              <w:tab/>
            </w:r>
            <w:r>
              <w:rPr>
                <w:noProof/>
                <w:webHidden/>
              </w:rPr>
              <w:fldChar w:fldCharType="begin"/>
            </w:r>
            <w:r>
              <w:rPr>
                <w:noProof/>
                <w:webHidden/>
              </w:rPr>
              <w:instrText xml:space="preserve"> PAGEREF _Toc239627908 \h </w:instrText>
            </w:r>
            <w:r>
              <w:rPr>
                <w:noProof/>
                <w:webHidden/>
              </w:rPr>
            </w:r>
            <w:r>
              <w:rPr>
                <w:noProof/>
                <w:webHidden/>
              </w:rPr>
              <w:fldChar w:fldCharType="separate"/>
            </w:r>
            <w:r>
              <w:rPr>
                <w:noProof/>
                <w:webHidden/>
              </w:rPr>
              <w:t>1</w:t>
            </w:r>
            <w:r>
              <w:rPr>
                <w:noProof/>
                <w:webHidden/>
              </w:rPr>
              <w:fldChar w:fldCharType="end"/>
            </w:r>
          </w:hyperlink>
        </w:p>
        <w:p w14:paraId="796E66B1" w14:textId="77777777" w:rsidR="003D052E" w:rsidRDefault="003D052E">
          <w:pPr>
            <w:pStyle w:val="TOC1"/>
            <w:tabs>
              <w:tab w:val="right" w:leader="dot" w:pos="9350"/>
            </w:tabs>
            <w:rPr>
              <w:noProof/>
            </w:rPr>
          </w:pPr>
          <w:hyperlink w:anchor="_Toc239627909" w:history="1">
            <w:r w:rsidRPr="00DA4394">
              <w:rPr>
                <w:rStyle w:val="Hyperlink"/>
                <w:noProof/>
              </w:rPr>
              <w:t>Findings</w:t>
            </w:r>
            <w:r>
              <w:rPr>
                <w:noProof/>
                <w:webHidden/>
              </w:rPr>
              <w:tab/>
            </w:r>
            <w:r>
              <w:rPr>
                <w:noProof/>
                <w:webHidden/>
              </w:rPr>
              <w:fldChar w:fldCharType="begin"/>
            </w:r>
            <w:r>
              <w:rPr>
                <w:noProof/>
                <w:webHidden/>
              </w:rPr>
              <w:instrText xml:space="preserve"> PAGEREF _Toc239627909 \h </w:instrText>
            </w:r>
            <w:r>
              <w:rPr>
                <w:noProof/>
                <w:webHidden/>
              </w:rPr>
            </w:r>
            <w:r>
              <w:rPr>
                <w:noProof/>
                <w:webHidden/>
              </w:rPr>
              <w:fldChar w:fldCharType="separate"/>
            </w:r>
            <w:r>
              <w:rPr>
                <w:noProof/>
                <w:webHidden/>
              </w:rPr>
              <w:t>1</w:t>
            </w:r>
            <w:r>
              <w:rPr>
                <w:noProof/>
                <w:webHidden/>
              </w:rPr>
              <w:fldChar w:fldCharType="end"/>
            </w:r>
          </w:hyperlink>
        </w:p>
        <w:p w14:paraId="1B669508" w14:textId="77777777" w:rsidR="007644B2" w:rsidRDefault="00000000">
          <w:r>
            <w:fldChar w:fldCharType="end"/>
          </w:r>
        </w:p>
      </w:sdtContent>
    </w:sdt>
    <w:p w14:paraId="497009A1" w14:textId="77777777" w:rsidR="007644B2" w:rsidRDefault="00000000">
      <w:pPr>
        <w:pStyle w:val="Heading1"/>
      </w:pPr>
      <w:bookmarkStart w:id="0" w:name="use-case"/>
      <w:bookmarkStart w:id="1" w:name="_Toc239627896"/>
      <w:r>
        <w:t>Use Case</w:t>
      </w:r>
      <w:bookmarkEnd w:id="1"/>
    </w:p>
    <w:p w14:paraId="6A2E4864" w14:textId="77777777" w:rsidR="007644B2" w:rsidRDefault="00000000">
      <w:pPr>
        <w:pStyle w:val="FirstParagraph"/>
      </w:pPr>
      <w:r>
        <w:t>The breakfast mess system at IIIT Hyderabad registers, bills, and serves breakfast to the resident student population across four messes — Kadamba, Palash, Bakul, and Yuktāhār — through a single digital platform. Registration counts, not attendance, drive billing and food procurement. This map identifies every actor, institution, and informal structure that participates in, influences, benefits from, or is affected by this system, and the relationships, dependencies, and conflicts between them.</w:t>
      </w:r>
    </w:p>
    <w:p w14:paraId="0C9C1B8B" w14:textId="77777777" w:rsidR="007644B2" w:rsidRDefault="00000000">
      <w:pPr>
        <w:pStyle w:val="Heading1"/>
      </w:pPr>
      <w:bookmarkStart w:id="2" w:name="stakeholders"/>
      <w:bookmarkStart w:id="3" w:name="_Toc239627897"/>
      <w:bookmarkEnd w:id="0"/>
      <w:r>
        <w:t>Stakeholders</w:t>
      </w:r>
      <w:bookmarkEnd w:id="3"/>
    </w:p>
    <w:p w14:paraId="5BD95699" w14:textId="77777777" w:rsidR="007644B2" w:rsidRDefault="00000000">
      <w:pPr>
        <w:pStyle w:val="Heading2"/>
      </w:pPr>
      <w:bookmarkStart w:id="4" w:name="Xd1895a6e8771edb07322d98500ab3d90347a938"/>
      <w:bookmarkStart w:id="5" w:name="_Toc239627898"/>
      <w:r>
        <w:t>Primary, Secondary, and Indirect Stakeholders</w:t>
      </w:r>
      <w:bookmarkEnd w:id="5"/>
    </w:p>
    <w:p w14:paraId="3BDC00C7" w14:textId="77777777" w:rsidR="007644B2" w:rsidRDefault="00000000">
      <w:pPr>
        <w:pStyle w:val="FirstParagraph"/>
      </w:pPr>
      <w:r>
        <w:t xml:space="preserve">Twenty-seven candidate actors were identified across seventeen analytical lenses (student/user, social, food production, governance, money, technology, academic, </w:t>
      </w:r>
      <w:r>
        <w:lastRenderedPageBreak/>
        <w:t>sleep/time-use, substitute systems, campus infrastructure, waste, health, policy, informal systems, absent/sleeping stakeholders, temporal, and intervention). Seventeen are included in the final map. Four were considered and treated as minor rather than included in full (cleaning staff, juice canteens specifically, and campus security/gate staff — real but with no evidence of independent leverage beyond what is already captured through serving staff, Vindhya, and delivery platforms; guest diners — real but marginal in volume). Three were considered and excluded entirely: a campus health/wellbeing office (no evidence connects it to breakfast-skipping), senior-to-junior norm transmission, and a parental financial relationship (mess fees are bundled into hostel fees, not paid per meal).</w:t>
      </w:r>
    </w:p>
    <w:p w14:paraId="021699EE" w14:textId="77777777" w:rsidR="007644B2" w:rsidRDefault="00000000">
      <w:pPr>
        <w:pStyle w:val="BodyText"/>
      </w:pPr>
      <w:r>
        <w:rPr>
          <w:b/>
          <w:bCs/>
        </w:rPr>
        <w:t>Primary stakeholders</w:t>
      </w:r>
      <w:r>
        <w:t xml:space="preserve"> — direct, daily interaction with the system:</w:t>
      </w:r>
    </w:p>
    <w:tbl>
      <w:tblPr>
        <w:tblStyle w:val="Table"/>
        <w:tblW w:w="5000" w:type="pct"/>
        <w:tblLayout w:type="fixed"/>
        <w:tblLook w:val="0020" w:firstRow="1" w:lastRow="0" w:firstColumn="0" w:lastColumn="0" w:noHBand="0" w:noVBand="0"/>
      </w:tblPr>
      <w:tblGrid>
        <w:gridCol w:w="4788"/>
        <w:gridCol w:w="4788"/>
      </w:tblGrid>
      <w:tr w:rsidR="007644B2" w14:paraId="6DAF1DFE"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81BE573" w14:textId="77777777" w:rsidR="007644B2" w:rsidRDefault="00000000">
            <w:pPr>
              <w:pStyle w:val="Compact"/>
            </w:pPr>
            <w:r>
              <w:t>Stakeholder</w:t>
            </w:r>
          </w:p>
        </w:tc>
        <w:tc>
          <w:tcPr>
            <w:tcW w:w="3960" w:type="dxa"/>
          </w:tcPr>
          <w:p w14:paraId="213E4A24" w14:textId="77777777" w:rsidR="007644B2" w:rsidRDefault="00000000">
            <w:pPr>
              <w:pStyle w:val="Compact"/>
            </w:pPr>
            <w:r>
              <w:t>Type</w:t>
            </w:r>
          </w:p>
        </w:tc>
      </w:tr>
      <w:tr w:rsidR="007644B2" w14:paraId="7164203A" w14:textId="77777777">
        <w:tc>
          <w:tcPr>
            <w:tcW w:w="3960" w:type="dxa"/>
          </w:tcPr>
          <w:p w14:paraId="721E8E15" w14:textId="77777777" w:rsidR="007644B2" w:rsidRDefault="00000000">
            <w:pPr>
              <w:pStyle w:val="Compact"/>
            </w:pPr>
            <w:r>
              <w:t>Students</w:t>
            </w:r>
          </w:p>
        </w:tc>
        <w:tc>
          <w:tcPr>
            <w:tcW w:w="3960" w:type="dxa"/>
          </w:tcPr>
          <w:p w14:paraId="193DC2BA" w14:textId="77777777" w:rsidR="007644B2" w:rsidRDefault="00000000">
            <w:pPr>
              <w:pStyle w:val="Compact"/>
            </w:pPr>
            <w:r>
              <w:t>Human group — registrant, billed party, consumer</w:t>
            </w:r>
          </w:p>
        </w:tc>
      </w:tr>
      <w:tr w:rsidR="007644B2" w14:paraId="548710BE" w14:textId="77777777">
        <w:tc>
          <w:tcPr>
            <w:tcW w:w="3960" w:type="dxa"/>
          </w:tcPr>
          <w:p w14:paraId="293535ED" w14:textId="77777777" w:rsidR="007644B2" w:rsidRDefault="00000000">
            <w:pPr>
              <w:pStyle w:val="Compact"/>
            </w:pPr>
            <w:r>
              <w:t>Vendor — South Indian (Kadamba)</w:t>
            </w:r>
          </w:p>
        </w:tc>
        <w:tc>
          <w:tcPr>
            <w:tcW w:w="3960" w:type="dxa"/>
          </w:tcPr>
          <w:p w14:paraId="79628B4D" w14:textId="77777777" w:rsidR="007644B2" w:rsidRDefault="00000000">
            <w:pPr>
              <w:pStyle w:val="Compact"/>
            </w:pPr>
            <w:r>
              <w:t>Commercial</w:t>
            </w:r>
          </w:p>
        </w:tc>
      </w:tr>
      <w:tr w:rsidR="007644B2" w14:paraId="752E35F5" w14:textId="77777777">
        <w:tc>
          <w:tcPr>
            <w:tcW w:w="3960" w:type="dxa"/>
          </w:tcPr>
          <w:p w14:paraId="5C9A27F5" w14:textId="77777777" w:rsidR="007644B2" w:rsidRDefault="00000000">
            <w:pPr>
              <w:pStyle w:val="Compact"/>
            </w:pPr>
            <w:r>
              <w:t>Vendor — North Indian (Palash veg-only + Bakul veg/non-veg)</w:t>
            </w:r>
          </w:p>
        </w:tc>
        <w:tc>
          <w:tcPr>
            <w:tcW w:w="3960" w:type="dxa"/>
          </w:tcPr>
          <w:p w14:paraId="20FBC12A" w14:textId="77777777" w:rsidR="007644B2" w:rsidRDefault="00000000">
            <w:pPr>
              <w:pStyle w:val="Compact"/>
            </w:pPr>
            <w:r>
              <w:t>Commercial</w:t>
            </w:r>
          </w:p>
        </w:tc>
      </w:tr>
      <w:tr w:rsidR="007644B2" w14:paraId="54084D3D" w14:textId="77777777">
        <w:tc>
          <w:tcPr>
            <w:tcW w:w="3960" w:type="dxa"/>
          </w:tcPr>
          <w:p w14:paraId="08D8DFB5" w14:textId="77777777" w:rsidR="007644B2" w:rsidRDefault="00000000">
            <w:pPr>
              <w:pStyle w:val="Compact"/>
            </w:pPr>
            <w:r>
              <w:t>Vendor — Jain (Yuktāhār)</w:t>
            </w:r>
          </w:p>
        </w:tc>
        <w:tc>
          <w:tcPr>
            <w:tcW w:w="3960" w:type="dxa"/>
          </w:tcPr>
          <w:p w14:paraId="030AE538" w14:textId="77777777" w:rsidR="007644B2" w:rsidRDefault="00000000">
            <w:pPr>
              <w:pStyle w:val="Compact"/>
            </w:pPr>
            <w:r>
              <w:t>Commercial</w:t>
            </w:r>
          </w:p>
        </w:tc>
      </w:tr>
      <w:tr w:rsidR="007644B2" w14:paraId="1659ABF7" w14:textId="77777777">
        <w:tc>
          <w:tcPr>
            <w:tcW w:w="3960" w:type="dxa"/>
          </w:tcPr>
          <w:p w14:paraId="5D880A55" w14:textId="77777777" w:rsidR="007644B2" w:rsidRDefault="00000000">
            <w:pPr>
              <w:pStyle w:val="Compact"/>
            </w:pPr>
            <w:r>
              <w:t>Mess serving/counter staff</w:t>
            </w:r>
          </w:p>
        </w:tc>
        <w:tc>
          <w:tcPr>
            <w:tcW w:w="3960" w:type="dxa"/>
          </w:tcPr>
          <w:p w14:paraId="4701424F" w14:textId="77777777" w:rsidR="007644B2" w:rsidRDefault="00000000">
            <w:pPr>
              <w:pStyle w:val="Compact"/>
            </w:pPr>
            <w:r>
              <w:t>Human group</w:t>
            </w:r>
          </w:p>
        </w:tc>
      </w:tr>
      <w:tr w:rsidR="007644B2" w14:paraId="19915427" w14:textId="77777777">
        <w:tc>
          <w:tcPr>
            <w:tcW w:w="3960" w:type="dxa"/>
          </w:tcPr>
          <w:p w14:paraId="0926DF5A" w14:textId="77777777" w:rsidR="007644B2" w:rsidRDefault="00000000">
            <w:pPr>
              <w:pStyle w:val="Compact"/>
            </w:pPr>
            <w:r>
              <w:t>Kitchen/cooking staff</w:t>
            </w:r>
          </w:p>
        </w:tc>
        <w:tc>
          <w:tcPr>
            <w:tcW w:w="3960" w:type="dxa"/>
          </w:tcPr>
          <w:p w14:paraId="33533126" w14:textId="77777777" w:rsidR="007644B2" w:rsidRDefault="00000000">
            <w:pPr>
              <w:pStyle w:val="Compact"/>
            </w:pPr>
            <w:r>
              <w:t>Human group</w:t>
            </w:r>
          </w:p>
        </w:tc>
      </w:tr>
    </w:tbl>
    <w:p w14:paraId="77560B5F" w14:textId="77777777" w:rsidR="007644B2" w:rsidRDefault="00000000">
      <w:pPr>
        <w:pStyle w:val="BodyText"/>
      </w:pPr>
      <w:r>
        <w:rPr>
          <w:b/>
          <w:bCs/>
        </w:rPr>
        <w:t>Secondary stakeholders</w:t>
      </w:r>
      <w:r>
        <w:t xml:space="preserve"> — govern, execute, or manage the system without daily direct interaction:</w:t>
      </w:r>
    </w:p>
    <w:tbl>
      <w:tblPr>
        <w:tblStyle w:val="Table"/>
        <w:tblW w:w="5000" w:type="pct"/>
        <w:tblLayout w:type="fixed"/>
        <w:tblLook w:val="0020" w:firstRow="1" w:lastRow="0" w:firstColumn="0" w:lastColumn="0" w:noHBand="0" w:noVBand="0"/>
      </w:tblPr>
      <w:tblGrid>
        <w:gridCol w:w="4788"/>
        <w:gridCol w:w="4788"/>
      </w:tblGrid>
      <w:tr w:rsidR="007644B2" w14:paraId="4C187623"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FF25FC" w14:textId="77777777" w:rsidR="007644B2" w:rsidRDefault="00000000">
            <w:pPr>
              <w:pStyle w:val="Compact"/>
            </w:pPr>
            <w:r>
              <w:t>Stakeholder</w:t>
            </w:r>
          </w:p>
        </w:tc>
        <w:tc>
          <w:tcPr>
            <w:tcW w:w="3960" w:type="dxa"/>
          </w:tcPr>
          <w:p w14:paraId="696112BB" w14:textId="77777777" w:rsidR="007644B2" w:rsidRDefault="00000000">
            <w:pPr>
              <w:pStyle w:val="Compact"/>
            </w:pPr>
            <w:r>
              <w:t>Type</w:t>
            </w:r>
          </w:p>
        </w:tc>
      </w:tr>
      <w:tr w:rsidR="007644B2" w14:paraId="7BABADEC" w14:textId="77777777">
        <w:tc>
          <w:tcPr>
            <w:tcW w:w="3960" w:type="dxa"/>
          </w:tcPr>
          <w:p w14:paraId="6178ED43" w14:textId="77777777" w:rsidR="007644B2" w:rsidRDefault="00000000">
            <w:pPr>
              <w:pStyle w:val="Compact"/>
            </w:pPr>
            <w:r>
              <w:t>Mess Committee</w:t>
            </w:r>
          </w:p>
        </w:tc>
        <w:tc>
          <w:tcPr>
            <w:tcW w:w="3960" w:type="dxa"/>
          </w:tcPr>
          <w:p w14:paraId="7733074B" w14:textId="77777777" w:rsidR="007644B2" w:rsidRDefault="00000000">
            <w:pPr>
              <w:pStyle w:val="Compact"/>
            </w:pPr>
            <w:r>
              <w:t>Institution — policy</w:t>
            </w:r>
          </w:p>
        </w:tc>
      </w:tr>
      <w:tr w:rsidR="007644B2" w14:paraId="6EAD5FD3" w14:textId="77777777">
        <w:tc>
          <w:tcPr>
            <w:tcW w:w="3960" w:type="dxa"/>
          </w:tcPr>
          <w:p w14:paraId="043C234F" w14:textId="77777777" w:rsidR="007644B2" w:rsidRDefault="00000000">
            <w:pPr>
              <w:pStyle w:val="Compact"/>
            </w:pPr>
            <w:r>
              <w:t>Mess Office</w:t>
            </w:r>
          </w:p>
        </w:tc>
        <w:tc>
          <w:tcPr>
            <w:tcW w:w="3960" w:type="dxa"/>
          </w:tcPr>
          <w:p w14:paraId="122348D2" w14:textId="77777777" w:rsidR="007644B2" w:rsidRDefault="00000000">
            <w:pPr>
              <w:pStyle w:val="Compact"/>
            </w:pPr>
            <w:r>
              <w:t>Institution — operations</w:t>
            </w:r>
          </w:p>
        </w:tc>
      </w:tr>
      <w:tr w:rsidR="007644B2" w14:paraId="368E4EF2" w14:textId="77777777">
        <w:tc>
          <w:tcPr>
            <w:tcW w:w="3960" w:type="dxa"/>
          </w:tcPr>
          <w:p w14:paraId="0C42230F" w14:textId="77777777" w:rsidR="007644B2" w:rsidRDefault="00000000">
            <w:pPr>
              <w:pStyle w:val="Compact"/>
            </w:pPr>
            <w:r>
              <w:t>Warden</w:t>
            </w:r>
          </w:p>
        </w:tc>
        <w:tc>
          <w:tcPr>
            <w:tcW w:w="3960" w:type="dxa"/>
          </w:tcPr>
          <w:p w14:paraId="60479E3C" w14:textId="77777777" w:rsidR="007644B2" w:rsidRDefault="00000000">
            <w:pPr>
              <w:pStyle w:val="Compact"/>
            </w:pPr>
            <w:r>
              <w:t>Individual role — vendor management, structural change</w:t>
            </w:r>
          </w:p>
        </w:tc>
      </w:tr>
      <w:tr w:rsidR="007644B2" w14:paraId="7251269F" w14:textId="77777777">
        <w:tc>
          <w:tcPr>
            <w:tcW w:w="3960" w:type="dxa"/>
          </w:tcPr>
          <w:p w14:paraId="0C776A04" w14:textId="77777777" w:rsidR="007644B2" w:rsidRDefault="00000000">
            <w:pPr>
              <w:pStyle w:val="Compact"/>
            </w:pPr>
            <w:r>
              <w:t>Student Parliament Mess Secretary, and a Mess Deputy Secretary per mess (Kadamba, Palash, Yuktāhār)</w:t>
            </w:r>
          </w:p>
        </w:tc>
        <w:tc>
          <w:tcPr>
            <w:tcW w:w="3960" w:type="dxa"/>
          </w:tcPr>
          <w:p w14:paraId="5C2AD599" w14:textId="77777777" w:rsidR="007644B2" w:rsidRDefault="00000000">
            <w:pPr>
              <w:pStyle w:val="Compact"/>
            </w:pPr>
            <w:r>
              <w:t>Elected individual roles — student representation on mess matters</w:t>
            </w:r>
          </w:p>
        </w:tc>
      </w:tr>
    </w:tbl>
    <w:p w14:paraId="2E438C03" w14:textId="77777777" w:rsidR="007644B2" w:rsidRDefault="00000000">
      <w:pPr>
        <w:pStyle w:val="BodyText"/>
      </w:pPr>
      <w:r>
        <w:rPr>
          <w:b/>
          <w:bCs/>
        </w:rPr>
        <w:t>Indirect stakeholders</w:t>
      </w:r>
      <w:r>
        <w:t xml:space="preserve"> — affected by or connected to the system without direct engagement, including latent (“sleeping”) actors currently inert but holding potential leverage:</w:t>
      </w:r>
    </w:p>
    <w:tbl>
      <w:tblPr>
        <w:tblStyle w:val="Table"/>
        <w:tblW w:w="0" w:type="auto"/>
        <w:tblLook w:val="0020" w:firstRow="1" w:lastRow="0" w:firstColumn="0" w:lastColumn="0" w:noHBand="0" w:noVBand="0"/>
      </w:tblPr>
      <w:tblGrid>
        <w:gridCol w:w="4974"/>
        <w:gridCol w:w="3512"/>
      </w:tblGrid>
      <w:tr w:rsidR="007644B2" w14:paraId="60459203"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0" w:type="auto"/>
          </w:tcPr>
          <w:p w14:paraId="705F184B" w14:textId="77777777" w:rsidR="007644B2" w:rsidRDefault="00000000">
            <w:pPr>
              <w:pStyle w:val="Compact"/>
            </w:pPr>
            <w:r>
              <w:t>Stakeholder</w:t>
            </w:r>
          </w:p>
        </w:tc>
        <w:tc>
          <w:tcPr>
            <w:tcW w:w="0" w:type="auto"/>
          </w:tcPr>
          <w:p w14:paraId="0B33E0D9" w14:textId="77777777" w:rsidR="007644B2" w:rsidRDefault="00000000">
            <w:pPr>
              <w:pStyle w:val="Compact"/>
            </w:pPr>
            <w:r>
              <w:t>Type</w:t>
            </w:r>
          </w:p>
        </w:tc>
      </w:tr>
      <w:tr w:rsidR="007644B2" w14:paraId="3E999C1C" w14:textId="77777777">
        <w:tc>
          <w:tcPr>
            <w:tcW w:w="0" w:type="auto"/>
          </w:tcPr>
          <w:p w14:paraId="67FF6B3B" w14:textId="77777777" w:rsidR="007644B2" w:rsidRDefault="00000000">
            <w:pPr>
              <w:pStyle w:val="Compact"/>
            </w:pPr>
            <w:r>
              <w:t>Academic administration / timetable authority</w:t>
            </w:r>
          </w:p>
        </w:tc>
        <w:tc>
          <w:tcPr>
            <w:tcW w:w="0" w:type="auto"/>
          </w:tcPr>
          <w:p w14:paraId="4CC1B716" w14:textId="77777777" w:rsidR="007644B2" w:rsidRDefault="00000000">
            <w:pPr>
              <w:pStyle w:val="Compact"/>
            </w:pPr>
            <w:r>
              <w:t>Institution — latent</w:t>
            </w:r>
          </w:p>
        </w:tc>
      </w:tr>
      <w:tr w:rsidR="007644B2" w14:paraId="509B0AFC" w14:textId="77777777">
        <w:tc>
          <w:tcPr>
            <w:tcW w:w="0" w:type="auto"/>
          </w:tcPr>
          <w:p w14:paraId="2606C533" w14:textId="77777777" w:rsidR="007644B2" w:rsidRDefault="00000000">
            <w:pPr>
              <w:pStyle w:val="Compact"/>
            </w:pPr>
            <w:r>
              <w:t>Facilities/Estate team</w:t>
            </w:r>
          </w:p>
        </w:tc>
        <w:tc>
          <w:tcPr>
            <w:tcW w:w="0" w:type="auto"/>
          </w:tcPr>
          <w:p w14:paraId="6CC805FF" w14:textId="77777777" w:rsidR="007644B2" w:rsidRDefault="00000000">
            <w:pPr>
              <w:pStyle w:val="Compact"/>
            </w:pPr>
            <w:r>
              <w:t>Institution — latent</w:t>
            </w:r>
          </w:p>
        </w:tc>
      </w:tr>
      <w:tr w:rsidR="007644B2" w14:paraId="0A54ED36" w14:textId="77777777">
        <w:tc>
          <w:tcPr>
            <w:tcW w:w="0" w:type="auto"/>
          </w:tcPr>
          <w:p w14:paraId="67014F6B" w14:textId="77777777" w:rsidR="007644B2" w:rsidRDefault="00000000">
            <w:pPr>
              <w:pStyle w:val="Compact"/>
            </w:pPr>
            <w:r>
              <w:t>Portal/IT system owner</w:t>
            </w:r>
          </w:p>
        </w:tc>
        <w:tc>
          <w:tcPr>
            <w:tcW w:w="0" w:type="auto"/>
          </w:tcPr>
          <w:p w14:paraId="3850AEF6" w14:textId="77777777" w:rsidR="007644B2" w:rsidRDefault="00000000">
            <w:pPr>
              <w:pStyle w:val="Compact"/>
            </w:pPr>
            <w:r>
              <w:t>Institution or individual — latent</w:t>
            </w:r>
          </w:p>
        </w:tc>
      </w:tr>
      <w:tr w:rsidR="007644B2" w14:paraId="61D645B5" w14:textId="77777777">
        <w:tc>
          <w:tcPr>
            <w:tcW w:w="0" w:type="auto"/>
          </w:tcPr>
          <w:p w14:paraId="771CDBEC" w14:textId="77777777" w:rsidR="007644B2" w:rsidRDefault="00000000">
            <w:pPr>
              <w:pStyle w:val="Compact"/>
            </w:pPr>
            <w:r>
              <w:lastRenderedPageBreak/>
              <w:t>Mess Cell WhatsApp community</w:t>
            </w:r>
          </w:p>
        </w:tc>
        <w:tc>
          <w:tcPr>
            <w:tcW w:w="0" w:type="auto"/>
          </w:tcPr>
          <w:p w14:paraId="292DEC7D" w14:textId="77777777" w:rsidR="007644B2" w:rsidRDefault="00000000">
            <w:pPr>
              <w:pStyle w:val="Compact"/>
            </w:pPr>
            <w:r>
              <w:t>Informal group</w:t>
            </w:r>
          </w:p>
        </w:tc>
      </w:tr>
      <w:tr w:rsidR="007644B2" w14:paraId="2AAE92B3" w14:textId="77777777">
        <w:tc>
          <w:tcPr>
            <w:tcW w:w="0" w:type="auto"/>
          </w:tcPr>
          <w:p w14:paraId="743D29D6" w14:textId="77777777" w:rsidR="007644B2" w:rsidRDefault="00000000">
            <w:pPr>
              <w:pStyle w:val="Compact"/>
            </w:pPr>
            <w:r>
              <w:t>Unofficial mess-tool developers</w:t>
            </w:r>
          </w:p>
        </w:tc>
        <w:tc>
          <w:tcPr>
            <w:tcW w:w="0" w:type="auto"/>
          </w:tcPr>
          <w:p w14:paraId="697AE4F6" w14:textId="77777777" w:rsidR="007644B2" w:rsidRDefault="00000000">
            <w:pPr>
              <w:pStyle w:val="Compact"/>
            </w:pPr>
            <w:r>
              <w:t>Individual(s) — latent</w:t>
            </w:r>
          </w:p>
        </w:tc>
      </w:tr>
      <w:tr w:rsidR="007644B2" w14:paraId="0AD5AFEA" w14:textId="77777777">
        <w:tc>
          <w:tcPr>
            <w:tcW w:w="0" w:type="auto"/>
          </w:tcPr>
          <w:p w14:paraId="063EB4FF" w14:textId="77777777" w:rsidR="007644B2" w:rsidRDefault="00000000">
            <w:pPr>
              <w:pStyle w:val="Compact"/>
            </w:pPr>
            <w:r>
              <w:t>Ping (student publication)</w:t>
            </w:r>
          </w:p>
        </w:tc>
        <w:tc>
          <w:tcPr>
            <w:tcW w:w="0" w:type="auto"/>
          </w:tcPr>
          <w:p w14:paraId="2EB2578E" w14:textId="77777777" w:rsidR="007644B2" w:rsidRDefault="00000000">
            <w:pPr>
              <w:pStyle w:val="Compact"/>
            </w:pPr>
            <w:r>
              <w:t>Institution — latent</w:t>
            </w:r>
          </w:p>
        </w:tc>
      </w:tr>
      <w:tr w:rsidR="007644B2" w14:paraId="4A9DBFDE" w14:textId="77777777">
        <w:tc>
          <w:tcPr>
            <w:tcW w:w="0" w:type="auto"/>
          </w:tcPr>
          <w:p w14:paraId="42CA68DE" w14:textId="77777777" w:rsidR="007644B2" w:rsidRDefault="00000000">
            <w:pPr>
              <w:pStyle w:val="Compact"/>
            </w:pPr>
            <w:r>
              <w:t>Vindhya Canteen and juice canteens</w:t>
            </w:r>
          </w:p>
        </w:tc>
        <w:tc>
          <w:tcPr>
            <w:tcW w:w="0" w:type="auto"/>
          </w:tcPr>
          <w:p w14:paraId="6A25E3B6" w14:textId="77777777" w:rsidR="007644B2" w:rsidRDefault="00000000">
            <w:pPr>
              <w:pStyle w:val="Compact"/>
            </w:pPr>
            <w:r>
              <w:t>Commercial — substitute</w:t>
            </w:r>
          </w:p>
        </w:tc>
      </w:tr>
      <w:tr w:rsidR="007644B2" w14:paraId="59E2A518" w14:textId="77777777">
        <w:tc>
          <w:tcPr>
            <w:tcW w:w="0" w:type="auto"/>
          </w:tcPr>
          <w:p w14:paraId="20D68011" w14:textId="77777777" w:rsidR="007644B2" w:rsidRDefault="00000000">
            <w:pPr>
              <w:pStyle w:val="Compact"/>
            </w:pPr>
            <w:r>
              <w:t>Delivery platforms and riders</w:t>
            </w:r>
          </w:p>
        </w:tc>
        <w:tc>
          <w:tcPr>
            <w:tcW w:w="0" w:type="auto"/>
          </w:tcPr>
          <w:p w14:paraId="5FFBCC8A" w14:textId="77777777" w:rsidR="007644B2" w:rsidRDefault="00000000">
            <w:pPr>
              <w:pStyle w:val="Compact"/>
            </w:pPr>
            <w:r>
              <w:t>Commercial — substitute</w:t>
            </w:r>
          </w:p>
        </w:tc>
      </w:tr>
    </w:tbl>
    <w:p w14:paraId="66E47730" w14:textId="77777777" w:rsidR="007644B2" w:rsidRDefault="00000000">
      <w:pPr>
        <w:pStyle w:val="Heading2"/>
      </w:pPr>
      <w:bookmarkStart w:id="6" w:name="X5a9a43efbae9c95908a377ee0cab9ffeb5379ee"/>
      <w:bookmarkStart w:id="7" w:name="_Toc239627899"/>
      <w:bookmarkEnd w:id="4"/>
      <w:r>
        <w:t>Stakeholder Interests, Needs, and Expectations</w:t>
      </w:r>
      <w:bookmarkEnd w:id="7"/>
    </w:p>
    <w:tbl>
      <w:tblPr>
        <w:tblStyle w:val="Table"/>
        <w:tblW w:w="5000" w:type="pct"/>
        <w:tblLayout w:type="fixed"/>
        <w:tblLook w:val="0020" w:firstRow="1" w:lastRow="0" w:firstColumn="0" w:lastColumn="0" w:noHBand="0" w:noVBand="0"/>
      </w:tblPr>
      <w:tblGrid>
        <w:gridCol w:w="2394"/>
        <w:gridCol w:w="2394"/>
        <w:gridCol w:w="2394"/>
        <w:gridCol w:w="2394"/>
      </w:tblGrid>
      <w:tr w:rsidR="007644B2" w14:paraId="6AC39DE0"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BD54BC" w14:textId="77777777" w:rsidR="007644B2" w:rsidRDefault="00000000">
            <w:pPr>
              <w:pStyle w:val="Compact"/>
            </w:pPr>
            <w:r>
              <w:t>Stakeholder</w:t>
            </w:r>
          </w:p>
        </w:tc>
        <w:tc>
          <w:tcPr>
            <w:tcW w:w="1980" w:type="dxa"/>
          </w:tcPr>
          <w:p w14:paraId="2B68AA82" w14:textId="77777777" w:rsidR="007644B2" w:rsidRDefault="00000000">
            <w:pPr>
              <w:pStyle w:val="Compact"/>
            </w:pPr>
            <w:r>
              <w:t>Interest</w:t>
            </w:r>
          </w:p>
        </w:tc>
        <w:tc>
          <w:tcPr>
            <w:tcW w:w="1980" w:type="dxa"/>
          </w:tcPr>
          <w:p w14:paraId="6961FA84" w14:textId="77777777" w:rsidR="007644B2" w:rsidRDefault="00000000">
            <w:pPr>
              <w:pStyle w:val="Compact"/>
            </w:pPr>
            <w:r>
              <w:t>Need</w:t>
            </w:r>
          </w:p>
        </w:tc>
        <w:tc>
          <w:tcPr>
            <w:tcW w:w="1980" w:type="dxa"/>
          </w:tcPr>
          <w:p w14:paraId="6ED48A1E" w14:textId="77777777" w:rsidR="007644B2" w:rsidRDefault="00000000">
            <w:pPr>
              <w:pStyle w:val="Compact"/>
            </w:pPr>
            <w:r>
              <w:t>Expectation</w:t>
            </w:r>
          </w:p>
        </w:tc>
      </w:tr>
      <w:tr w:rsidR="007644B2" w14:paraId="4F45F519" w14:textId="77777777">
        <w:tc>
          <w:tcPr>
            <w:tcW w:w="1980" w:type="dxa"/>
          </w:tcPr>
          <w:p w14:paraId="6D8C99AD" w14:textId="77777777" w:rsidR="007644B2" w:rsidRDefault="00000000">
            <w:pPr>
              <w:pStyle w:val="Compact"/>
            </w:pPr>
            <w:r>
              <w:t>Students</w:t>
            </w:r>
          </w:p>
        </w:tc>
        <w:tc>
          <w:tcPr>
            <w:tcW w:w="1980" w:type="dxa"/>
          </w:tcPr>
          <w:p w14:paraId="45F072FD" w14:textId="77777777" w:rsidR="007644B2" w:rsidRDefault="00000000">
            <w:pPr>
              <w:pStyle w:val="Compact"/>
            </w:pPr>
            <w:r>
              <w:t>Convenient, affordable, timely food; not paying twice for a missed meal</w:t>
            </w:r>
          </w:p>
        </w:tc>
        <w:tc>
          <w:tcPr>
            <w:tcW w:w="1980" w:type="dxa"/>
          </w:tcPr>
          <w:p w14:paraId="34783864" w14:textId="77777777" w:rsidR="007644B2" w:rsidRDefault="00000000">
            <w:pPr>
              <w:pStyle w:val="Compact"/>
            </w:pPr>
            <w:r>
              <w:t>A functioning registration and billing system, predictable operating hours, food matching their dietary registration</w:t>
            </w:r>
          </w:p>
        </w:tc>
        <w:tc>
          <w:tcPr>
            <w:tcW w:w="1980" w:type="dxa"/>
          </w:tcPr>
          <w:p w14:paraId="03181E10" w14:textId="77777777" w:rsidR="007644B2" w:rsidRDefault="00000000">
            <w:pPr>
              <w:pStyle w:val="Compact"/>
            </w:pPr>
            <w:r>
              <w:t>Registering for a meal reliably results in being fed if they attend; being charged regardless of attendance is a known, tolerated rule rather than an agreed one</w:t>
            </w:r>
          </w:p>
        </w:tc>
      </w:tr>
      <w:tr w:rsidR="007644B2" w14:paraId="7520477C" w14:textId="77777777">
        <w:tc>
          <w:tcPr>
            <w:tcW w:w="1980" w:type="dxa"/>
          </w:tcPr>
          <w:p w14:paraId="49D89D25" w14:textId="77777777" w:rsidR="007644B2" w:rsidRDefault="00000000">
            <w:pPr>
              <w:pStyle w:val="Compact"/>
            </w:pPr>
            <w:r>
              <w:t>Vendor — South Indian (Kadamba)</w:t>
            </w:r>
          </w:p>
        </w:tc>
        <w:tc>
          <w:tcPr>
            <w:tcW w:w="1980" w:type="dxa"/>
          </w:tcPr>
          <w:p w14:paraId="161175DA" w14:textId="77777777" w:rsidR="007644B2" w:rsidRDefault="00000000">
            <w:pPr>
              <w:pStyle w:val="Compact"/>
            </w:pPr>
            <w:r>
              <w:t>Contract renewal, predictable order volume, margin</w:t>
            </w:r>
          </w:p>
        </w:tc>
        <w:tc>
          <w:tcPr>
            <w:tcW w:w="1980" w:type="dxa"/>
          </w:tcPr>
          <w:p w14:paraId="36E2E4C4" w14:textId="77777777" w:rsidR="007644B2" w:rsidRDefault="00000000">
            <w:pPr>
              <w:pStyle w:val="Compact"/>
            </w:pPr>
            <w:r>
              <w:t>An accurate registration forecast with enough lead time to procure — currently four days ahead of service (previously two)</w:t>
            </w:r>
          </w:p>
        </w:tc>
        <w:tc>
          <w:tcPr>
            <w:tcW w:w="1980" w:type="dxa"/>
          </w:tcPr>
          <w:p w14:paraId="396F125D" w14:textId="77777777" w:rsidR="007644B2" w:rsidRDefault="00000000">
            <w:pPr>
              <w:pStyle w:val="Compact"/>
            </w:pPr>
            <w:r>
              <w:t>The four-day forecast approximates real demand</w:t>
            </w:r>
          </w:p>
        </w:tc>
      </w:tr>
      <w:tr w:rsidR="007644B2" w14:paraId="1E02F32E" w14:textId="77777777">
        <w:tc>
          <w:tcPr>
            <w:tcW w:w="1980" w:type="dxa"/>
          </w:tcPr>
          <w:p w14:paraId="726347BF" w14:textId="77777777" w:rsidR="007644B2" w:rsidRDefault="00000000">
            <w:pPr>
              <w:pStyle w:val="Compact"/>
            </w:pPr>
            <w:r>
              <w:t>Vendor — North Indian (Palash + Bakul)</w:t>
            </w:r>
          </w:p>
        </w:tc>
        <w:tc>
          <w:tcPr>
            <w:tcW w:w="1980" w:type="dxa"/>
          </w:tcPr>
          <w:p w14:paraId="65C45336" w14:textId="77777777" w:rsidR="007644B2" w:rsidRDefault="00000000">
            <w:pPr>
              <w:pStyle w:val="Compact"/>
            </w:pPr>
            <w:r>
              <w:t>Contract renewal, predictable order volume, margin</w:t>
            </w:r>
          </w:p>
        </w:tc>
        <w:tc>
          <w:tcPr>
            <w:tcW w:w="1980" w:type="dxa"/>
          </w:tcPr>
          <w:p w14:paraId="37B91CF4" w14:textId="77777777" w:rsidR="007644B2" w:rsidRDefault="00000000">
            <w:pPr>
              <w:pStyle w:val="Compact"/>
            </w:pPr>
            <w:r>
              <w:t>Same four-day forecast lead time; Palash’s kitchen cannot produce non-vegetarian food, a fixed limitation on its role</w:t>
            </w:r>
          </w:p>
        </w:tc>
        <w:tc>
          <w:tcPr>
            <w:tcW w:w="1980" w:type="dxa"/>
          </w:tcPr>
          <w:p w14:paraId="53988A6A" w14:textId="77777777" w:rsidR="007644B2" w:rsidRDefault="00000000">
            <w:pPr>
              <w:pStyle w:val="Compact"/>
            </w:pPr>
            <w:r>
              <w:t>Demand for the vegetarian line cooked at Palash and transported to Bakul stays predictable</w:t>
            </w:r>
          </w:p>
        </w:tc>
      </w:tr>
      <w:tr w:rsidR="007644B2" w14:paraId="081E3B49" w14:textId="77777777">
        <w:tc>
          <w:tcPr>
            <w:tcW w:w="1980" w:type="dxa"/>
          </w:tcPr>
          <w:p w14:paraId="7237EA0C" w14:textId="77777777" w:rsidR="007644B2" w:rsidRDefault="00000000">
            <w:pPr>
              <w:pStyle w:val="Compact"/>
            </w:pPr>
            <w:r>
              <w:t>Vendor — Jain (Yuktāhār)</w:t>
            </w:r>
          </w:p>
        </w:tc>
        <w:tc>
          <w:tcPr>
            <w:tcW w:w="1980" w:type="dxa"/>
          </w:tcPr>
          <w:p w14:paraId="661AD35B" w14:textId="77777777" w:rsidR="007644B2" w:rsidRDefault="00000000">
            <w:pPr>
              <w:pStyle w:val="Compact"/>
            </w:pPr>
            <w:r>
              <w:t>Contract renewal, predictable order volume, margin</w:t>
            </w:r>
          </w:p>
        </w:tc>
        <w:tc>
          <w:tcPr>
            <w:tcW w:w="1980" w:type="dxa"/>
          </w:tcPr>
          <w:p w14:paraId="2E2B33C9" w14:textId="77777777" w:rsidR="007644B2" w:rsidRDefault="00000000">
            <w:pPr>
              <w:pStyle w:val="Compact"/>
            </w:pPr>
            <w:r>
              <w:t>Same four-day forecast lead time; relationship to the other two vendors (shared or independent) unconfirmed</w:t>
            </w:r>
          </w:p>
        </w:tc>
        <w:tc>
          <w:tcPr>
            <w:tcW w:w="1980" w:type="dxa"/>
          </w:tcPr>
          <w:p w14:paraId="4A6E64CF" w14:textId="77777777" w:rsidR="007644B2" w:rsidRDefault="00000000">
            <w:pPr>
              <w:pStyle w:val="Compact"/>
            </w:pPr>
            <w:r>
              <w:t>Same as other vendors</w:t>
            </w:r>
          </w:p>
        </w:tc>
      </w:tr>
      <w:tr w:rsidR="007644B2" w14:paraId="65894CF8" w14:textId="77777777">
        <w:tc>
          <w:tcPr>
            <w:tcW w:w="1980" w:type="dxa"/>
          </w:tcPr>
          <w:p w14:paraId="0AD50A15" w14:textId="77777777" w:rsidR="007644B2" w:rsidRDefault="00000000">
            <w:pPr>
              <w:pStyle w:val="Compact"/>
            </w:pPr>
            <w:r>
              <w:t>Serving and kitchen staff</w:t>
            </w:r>
          </w:p>
        </w:tc>
        <w:tc>
          <w:tcPr>
            <w:tcW w:w="1980" w:type="dxa"/>
          </w:tcPr>
          <w:p w14:paraId="29F081B3" w14:textId="77777777" w:rsidR="007644B2" w:rsidRDefault="00000000">
            <w:pPr>
              <w:pStyle w:val="Compact"/>
            </w:pPr>
            <w:r>
              <w:t xml:space="preserve">Manageable preparation and </w:t>
            </w:r>
            <w:r>
              <w:lastRenderedPageBreak/>
              <w:t>service load, predictable headcounts</w:t>
            </w:r>
          </w:p>
        </w:tc>
        <w:tc>
          <w:tcPr>
            <w:tcW w:w="1980" w:type="dxa"/>
          </w:tcPr>
          <w:p w14:paraId="0AAC811A" w14:textId="77777777" w:rsidR="007644B2" w:rsidRDefault="00000000">
            <w:pPr>
              <w:pStyle w:val="Compact"/>
            </w:pPr>
            <w:r>
              <w:lastRenderedPageBreak/>
              <w:t xml:space="preserve">Sufficient lead time and an accurate </w:t>
            </w:r>
            <w:r>
              <w:lastRenderedPageBreak/>
              <w:t>registration count</w:t>
            </w:r>
          </w:p>
        </w:tc>
        <w:tc>
          <w:tcPr>
            <w:tcW w:w="1980" w:type="dxa"/>
          </w:tcPr>
          <w:p w14:paraId="16E18A74" w14:textId="77777777" w:rsidR="007644B2" w:rsidRDefault="00000000">
            <w:pPr>
              <w:pStyle w:val="Compact"/>
            </w:pPr>
            <w:r>
              <w:lastRenderedPageBreak/>
              <w:t xml:space="preserve">Leftover food is theirs to consume </w:t>
            </w:r>
            <w:r>
              <w:lastRenderedPageBreak/>
              <w:t>after student service hours — an informal norm, not a written entitlement</w:t>
            </w:r>
          </w:p>
        </w:tc>
      </w:tr>
      <w:tr w:rsidR="007644B2" w14:paraId="2778F69E" w14:textId="77777777">
        <w:tc>
          <w:tcPr>
            <w:tcW w:w="1980" w:type="dxa"/>
          </w:tcPr>
          <w:p w14:paraId="5F5AB536" w14:textId="77777777" w:rsidR="007644B2" w:rsidRDefault="00000000">
            <w:pPr>
              <w:pStyle w:val="Compact"/>
            </w:pPr>
            <w:r>
              <w:lastRenderedPageBreak/>
              <w:t>Mess Committee</w:t>
            </w:r>
          </w:p>
        </w:tc>
        <w:tc>
          <w:tcPr>
            <w:tcW w:w="1980" w:type="dxa"/>
          </w:tcPr>
          <w:p w14:paraId="35E6C0C5" w14:textId="77777777" w:rsidR="007644B2" w:rsidRDefault="00000000">
            <w:pPr>
              <w:pStyle w:val="Compact"/>
            </w:pPr>
            <w:r>
              <w:t>Balancing student satisfaction against operational feasibility</w:t>
            </w:r>
          </w:p>
        </w:tc>
        <w:tc>
          <w:tcPr>
            <w:tcW w:w="1980" w:type="dxa"/>
          </w:tcPr>
          <w:p w14:paraId="707E0B79" w14:textId="77777777" w:rsidR="007644B2" w:rsidRDefault="00000000">
            <w:pPr>
              <w:pStyle w:val="Compact"/>
            </w:pPr>
            <w:r>
              <w:t>A functioning process for gathering and interpreting student input</w:t>
            </w:r>
          </w:p>
        </w:tc>
        <w:tc>
          <w:tcPr>
            <w:tcW w:w="1980" w:type="dxa"/>
          </w:tcPr>
          <w:p w14:paraId="2E8B0CDB" w14:textId="77777777" w:rsidR="007644B2" w:rsidRDefault="00000000">
            <w:pPr>
              <w:pStyle w:val="Compact"/>
            </w:pPr>
            <w:r>
              <w:t>The existing student-input process for the menu constitutes sufficient engagement on mess matters generally, including matters — hours, billing — that process was never designed to cover</w:t>
            </w:r>
          </w:p>
        </w:tc>
      </w:tr>
      <w:tr w:rsidR="007644B2" w14:paraId="5DB02B64" w14:textId="77777777">
        <w:tc>
          <w:tcPr>
            <w:tcW w:w="1980" w:type="dxa"/>
          </w:tcPr>
          <w:p w14:paraId="6699C2B2" w14:textId="77777777" w:rsidR="007644B2" w:rsidRDefault="00000000">
            <w:pPr>
              <w:pStyle w:val="Compact"/>
            </w:pPr>
            <w:r>
              <w:t>Mess Office</w:t>
            </w:r>
          </w:p>
        </w:tc>
        <w:tc>
          <w:tcPr>
            <w:tcW w:w="1980" w:type="dxa"/>
          </w:tcPr>
          <w:p w14:paraId="33CF0274" w14:textId="77777777" w:rsidR="007644B2" w:rsidRDefault="00000000">
            <w:pPr>
              <w:pStyle w:val="Compact"/>
            </w:pPr>
            <w:r>
              <w:t>Reduced operational workload — the confirmed, stated motive behind its one policy change on record</w:t>
            </w:r>
          </w:p>
        </w:tc>
        <w:tc>
          <w:tcPr>
            <w:tcW w:w="1980" w:type="dxa"/>
          </w:tcPr>
          <w:p w14:paraId="279DE32D" w14:textId="77777777" w:rsidR="007644B2" w:rsidRDefault="00000000">
            <w:pPr>
              <w:pStyle w:val="Compact"/>
            </w:pPr>
            <w:r>
              <w:t>An accurate same-day picture of intent, currently unavailable at less than four days’ notice</w:t>
            </w:r>
          </w:p>
        </w:tc>
        <w:tc>
          <w:tcPr>
            <w:tcW w:w="1980" w:type="dxa"/>
          </w:tcPr>
          <w:p w14:paraId="6F20F050" w14:textId="77777777" w:rsidR="007644B2" w:rsidRDefault="00000000">
            <w:pPr>
              <w:pStyle w:val="Compact"/>
            </w:pPr>
            <w:r>
              <w:t>Registration counts are a workable proxy for actual attendance</w:t>
            </w:r>
          </w:p>
        </w:tc>
      </w:tr>
      <w:tr w:rsidR="007644B2" w14:paraId="70EF444B" w14:textId="77777777">
        <w:tc>
          <w:tcPr>
            <w:tcW w:w="1980" w:type="dxa"/>
          </w:tcPr>
          <w:p w14:paraId="4A7D7E9C" w14:textId="77777777" w:rsidR="007644B2" w:rsidRDefault="00000000">
            <w:pPr>
              <w:pStyle w:val="Compact"/>
            </w:pPr>
            <w:r>
              <w:t>Warden</w:t>
            </w:r>
          </w:p>
        </w:tc>
        <w:tc>
          <w:tcPr>
            <w:tcW w:w="1980" w:type="dxa"/>
          </w:tcPr>
          <w:p w14:paraId="4B6EF3FF" w14:textId="77777777" w:rsidR="007644B2" w:rsidRDefault="00000000">
            <w:pPr>
              <w:pStyle w:val="Compact"/>
            </w:pPr>
            <w:r>
              <w:t>Stable vendor relationships, orderly mess infrastructure</w:t>
            </w:r>
          </w:p>
        </w:tc>
        <w:tc>
          <w:tcPr>
            <w:tcW w:w="1980" w:type="dxa"/>
          </w:tcPr>
          <w:p w14:paraId="7A9368DB" w14:textId="77777777" w:rsidR="007644B2" w:rsidRDefault="00000000">
            <w:pPr>
              <w:pStyle w:val="Compact"/>
            </w:pPr>
            <w:r>
              <w:t>Clear division of responsibility with the Mess Office</w:t>
            </w:r>
          </w:p>
        </w:tc>
        <w:tc>
          <w:tcPr>
            <w:tcW w:w="1980" w:type="dxa"/>
          </w:tcPr>
          <w:p w14:paraId="042A96FE" w14:textId="77777777" w:rsidR="007644B2" w:rsidRDefault="00000000">
            <w:pPr>
              <w:pStyle w:val="Compact"/>
            </w:pPr>
            <w:r>
              <w:t>Vendor management and structural authority remain within the Warden’s own lane</w:t>
            </w:r>
          </w:p>
        </w:tc>
      </w:tr>
      <w:tr w:rsidR="007644B2" w14:paraId="2D39B693" w14:textId="77777777">
        <w:tc>
          <w:tcPr>
            <w:tcW w:w="1980" w:type="dxa"/>
          </w:tcPr>
          <w:p w14:paraId="261BF007" w14:textId="77777777" w:rsidR="007644B2" w:rsidRDefault="00000000">
            <w:pPr>
              <w:pStyle w:val="Compact"/>
            </w:pPr>
            <w:r>
              <w:t>Student Parliament Mess Secretary / per-mess Deputy Secretaries</w:t>
            </w:r>
          </w:p>
        </w:tc>
        <w:tc>
          <w:tcPr>
            <w:tcW w:w="1980" w:type="dxa"/>
          </w:tcPr>
          <w:p w14:paraId="18D3FCE9" w14:textId="77777777" w:rsidR="007644B2" w:rsidRDefault="00000000">
            <w:pPr>
              <w:pStyle w:val="Compact"/>
            </w:pPr>
            <w:r>
              <w:t>Representing student interests on mess matters</w:t>
            </w:r>
          </w:p>
        </w:tc>
        <w:tc>
          <w:tcPr>
            <w:tcW w:w="1980" w:type="dxa"/>
          </w:tcPr>
          <w:p w14:paraId="179A2B3F" w14:textId="77777777" w:rsidR="007644B2" w:rsidRDefault="00000000">
            <w:pPr>
              <w:pStyle w:val="Compact"/>
            </w:pPr>
            <w:r>
              <w:t>A working channel into the Mess Committee and Mess Office</w:t>
            </w:r>
          </w:p>
        </w:tc>
        <w:tc>
          <w:tcPr>
            <w:tcW w:w="1980" w:type="dxa"/>
          </w:tcPr>
          <w:p w14:paraId="1079D6FF" w14:textId="77777777" w:rsidR="007644B2" w:rsidRDefault="00000000">
            <w:pPr>
              <w:pStyle w:val="Compact"/>
            </w:pPr>
            <w:r>
              <w:t>Not established — whether this elected seat carries a vote in the institute-level Mess Committee, or only in a separate Parliament-internal mess committee, is unconfirmed</w:t>
            </w:r>
          </w:p>
        </w:tc>
      </w:tr>
      <w:tr w:rsidR="007644B2" w14:paraId="490054CC" w14:textId="77777777">
        <w:tc>
          <w:tcPr>
            <w:tcW w:w="1980" w:type="dxa"/>
          </w:tcPr>
          <w:p w14:paraId="1A1DF940" w14:textId="77777777" w:rsidR="007644B2" w:rsidRDefault="00000000">
            <w:pPr>
              <w:pStyle w:val="Compact"/>
            </w:pPr>
            <w:r>
              <w:t>Academic administration</w:t>
            </w:r>
          </w:p>
        </w:tc>
        <w:tc>
          <w:tcPr>
            <w:tcW w:w="1980" w:type="dxa"/>
          </w:tcPr>
          <w:p w14:paraId="0AEFC98B" w14:textId="77777777" w:rsidR="007644B2" w:rsidRDefault="00000000">
            <w:pPr>
              <w:pStyle w:val="Compact"/>
            </w:pPr>
            <w:r>
              <w:t>Its own domain — class scheduling — run without external interference</w:t>
            </w:r>
          </w:p>
        </w:tc>
        <w:tc>
          <w:tcPr>
            <w:tcW w:w="1980" w:type="dxa"/>
          </w:tcPr>
          <w:p w14:paraId="2C13A34D" w14:textId="77777777" w:rsidR="007644B2" w:rsidRDefault="00000000">
            <w:pPr>
              <w:pStyle w:val="Compact"/>
            </w:pPr>
            <w:r>
              <w:t>No stated need connects it to mess operations</w:t>
            </w:r>
          </w:p>
        </w:tc>
        <w:tc>
          <w:tcPr>
            <w:tcW w:w="1980" w:type="dxa"/>
          </w:tcPr>
          <w:p w14:paraId="086C9798" w14:textId="77777777" w:rsidR="007644B2" w:rsidRDefault="00000000">
            <w:pPr>
              <w:pStyle w:val="Compact"/>
            </w:pPr>
            <w:r>
              <w:t>No expectation of any relationship to mess governance; confirmed to hold no formal mess role</w:t>
            </w:r>
          </w:p>
        </w:tc>
      </w:tr>
      <w:tr w:rsidR="007644B2" w14:paraId="3DCADFEB" w14:textId="77777777">
        <w:tc>
          <w:tcPr>
            <w:tcW w:w="1980" w:type="dxa"/>
          </w:tcPr>
          <w:p w14:paraId="2CC1E0E4" w14:textId="77777777" w:rsidR="007644B2" w:rsidRDefault="00000000">
            <w:pPr>
              <w:pStyle w:val="Compact"/>
            </w:pPr>
            <w:r>
              <w:t xml:space="preserve">Facilities/Estate </w:t>
            </w:r>
            <w:r>
              <w:lastRenderedPageBreak/>
              <w:t>team</w:t>
            </w:r>
          </w:p>
        </w:tc>
        <w:tc>
          <w:tcPr>
            <w:tcW w:w="1980" w:type="dxa"/>
          </w:tcPr>
          <w:p w14:paraId="24DD48F2" w14:textId="77777777" w:rsidR="007644B2" w:rsidRDefault="00000000">
            <w:pPr>
              <w:pStyle w:val="Compact"/>
            </w:pPr>
            <w:r>
              <w:lastRenderedPageBreak/>
              <w:t xml:space="preserve">Physical </w:t>
            </w:r>
            <w:r>
              <w:lastRenderedPageBreak/>
              <w:t>infrastructure upkeep</w:t>
            </w:r>
          </w:p>
        </w:tc>
        <w:tc>
          <w:tcPr>
            <w:tcW w:w="1980" w:type="dxa"/>
          </w:tcPr>
          <w:p w14:paraId="584435A4" w14:textId="77777777" w:rsidR="007644B2" w:rsidRDefault="00000000">
            <w:pPr>
              <w:pStyle w:val="Compact"/>
            </w:pPr>
            <w:r>
              <w:lastRenderedPageBreak/>
              <w:t xml:space="preserve">Authorization and </w:t>
            </w:r>
            <w:r>
              <w:lastRenderedPageBreak/>
              <w:t>budget for mess-facility work (the Kadamba renovation is confirmed to have occurred)</w:t>
            </w:r>
          </w:p>
        </w:tc>
        <w:tc>
          <w:tcPr>
            <w:tcW w:w="1980" w:type="dxa"/>
          </w:tcPr>
          <w:p w14:paraId="4BCACA97" w14:textId="77777777" w:rsidR="007644B2" w:rsidRDefault="00000000">
            <w:pPr>
              <w:pStyle w:val="Compact"/>
            </w:pPr>
            <w:r>
              <w:lastRenderedPageBreak/>
              <w:t xml:space="preserve">Not established — </w:t>
            </w:r>
            <w:r>
              <w:lastRenderedPageBreak/>
              <w:t>identity of this actor is itself unconfirmed</w:t>
            </w:r>
          </w:p>
        </w:tc>
      </w:tr>
      <w:tr w:rsidR="007644B2" w14:paraId="68663AC5" w14:textId="77777777">
        <w:tc>
          <w:tcPr>
            <w:tcW w:w="1980" w:type="dxa"/>
          </w:tcPr>
          <w:p w14:paraId="2AFD04C7" w14:textId="77777777" w:rsidR="007644B2" w:rsidRDefault="00000000">
            <w:pPr>
              <w:pStyle w:val="Compact"/>
            </w:pPr>
            <w:r>
              <w:lastRenderedPageBreak/>
              <w:t>Portal/IT system owner</w:t>
            </w:r>
          </w:p>
        </w:tc>
        <w:tc>
          <w:tcPr>
            <w:tcW w:w="1980" w:type="dxa"/>
          </w:tcPr>
          <w:p w14:paraId="47AD07EE" w14:textId="77777777" w:rsidR="007644B2" w:rsidRDefault="00000000">
            <w:pPr>
              <w:pStyle w:val="Compact"/>
            </w:pPr>
            <w:r>
              <w:t>System uptime and reliability of the registration interface</w:t>
            </w:r>
          </w:p>
        </w:tc>
        <w:tc>
          <w:tcPr>
            <w:tcW w:w="1980" w:type="dxa"/>
          </w:tcPr>
          <w:p w14:paraId="541613CB" w14:textId="77777777" w:rsidR="007644B2" w:rsidRDefault="00000000">
            <w:pPr>
              <w:pStyle w:val="Compact"/>
            </w:pPr>
            <w:r>
              <w:t>Not established</w:t>
            </w:r>
          </w:p>
        </w:tc>
        <w:tc>
          <w:tcPr>
            <w:tcW w:w="1980" w:type="dxa"/>
          </w:tcPr>
          <w:p w14:paraId="6E0246E2" w14:textId="77777777" w:rsidR="007644B2" w:rsidRDefault="00000000">
            <w:pPr>
              <w:pStyle w:val="Compact"/>
            </w:pPr>
            <w:r>
              <w:t>Not established — no source names this actor</w:t>
            </w:r>
          </w:p>
        </w:tc>
      </w:tr>
      <w:tr w:rsidR="007644B2" w14:paraId="2848705A" w14:textId="77777777">
        <w:tc>
          <w:tcPr>
            <w:tcW w:w="1980" w:type="dxa"/>
          </w:tcPr>
          <w:p w14:paraId="34E97C59" w14:textId="77777777" w:rsidR="007644B2" w:rsidRDefault="00000000">
            <w:pPr>
              <w:pStyle w:val="Compact"/>
            </w:pPr>
            <w:r>
              <w:t>Mess Cell WhatsApp community</w:t>
            </w:r>
          </w:p>
        </w:tc>
        <w:tc>
          <w:tcPr>
            <w:tcW w:w="1980" w:type="dxa"/>
          </w:tcPr>
          <w:p w14:paraId="7C542191" w14:textId="77777777" w:rsidR="007644B2" w:rsidRDefault="00000000">
            <w:pPr>
              <w:pStyle w:val="Compact"/>
            </w:pPr>
            <w:r>
              <w:t>Recovering value from a registration that will go unused</w:t>
            </w:r>
          </w:p>
        </w:tc>
        <w:tc>
          <w:tcPr>
            <w:tcW w:w="1980" w:type="dxa"/>
          </w:tcPr>
          <w:p w14:paraId="4298C391" w14:textId="77777777" w:rsidR="007644B2" w:rsidRDefault="00000000">
            <w:pPr>
              <w:pStyle w:val="Compact"/>
            </w:pPr>
            <w:r>
              <w:t>A way to transfer a registration since Skip Meal returns no money</w:t>
            </w:r>
          </w:p>
        </w:tc>
        <w:tc>
          <w:tcPr>
            <w:tcW w:w="1980" w:type="dxa"/>
          </w:tcPr>
          <w:p w14:paraId="7993704F" w14:textId="77777777" w:rsidR="007644B2" w:rsidRDefault="00000000">
            <w:pPr>
              <w:pStyle w:val="Compact"/>
            </w:pPr>
            <w:r>
              <w:t>Buyers and sellers can find each other informally and transact on trust</w:t>
            </w:r>
          </w:p>
        </w:tc>
      </w:tr>
      <w:tr w:rsidR="007644B2" w14:paraId="2357E8F4" w14:textId="77777777">
        <w:tc>
          <w:tcPr>
            <w:tcW w:w="1980" w:type="dxa"/>
          </w:tcPr>
          <w:p w14:paraId="7E0AE483" w14:textId="77777777" w:rsidR="007644B2" w:rsidRDefault="00000000">
            <w:pPr>
              <w:pStyle w:val="Compact"/>
            </w:pPr>
            <w:r>
              <w:t>Unofficial mess-tool developers</w:t>
            </w:r>
          </w:p>
        </w:tc>
        <w:tc>
          <w:tcPr>
            <w:tcW w:w="1980" w:type="dxa"/>
          </w:tcPr>
          <w:p w14:paraId="02ED8229" w14:textId="77777777" w:rsidR="007644B2" w:rsidRDefault="00000000">
            <w:pPr>
              <w:pStyle w:val="Compact"/>
            </w:pPr>
            <w:r>
              <w:t>Not established beyond building the tool itself</w:t>
            </w:r>
          </w:p>
        </w:tc>
        <w:tc>
          <w:tcPr>
            <w:tcW w:w="1980" w:type="dxa"/>
          </w:tcPr>
          <w:p w14:paraId="6CA70914" w14:textId="77777777" w:rsidR="007644B2" w:rsidRDefault="00000000">
            <w:pPr>
              <w:pStyle w:val="Compact"/>
            </w:pPr>
            <w:r>
              <w:t>Not established</w:t>
            </w:r>
          </w:p>
        </w:tc>
        <w:tc>
          <w:tcPr>
            <w:tcW w:w="1980" w:type="dxa"/>
          </w:tcPr>
          <w:p w14:paraId="5F142839" w14:textId="77777777" w:rsidR="007644B2" w:rsidRDefault="00000000">
            <w:pPr>
              <w:pStyle w:val="Compact"/>
            </w:pPr>
            <w:r>
              <w:t>Described in the tool’s own documentation as built “for students of IIIT Hyderabad”</w:t>
            </w:r>
          </w:p>
        </w:tc>
      </w:tr>
      <w:tr w:rsidR="007644B2" w14:paraId="55BAA0FF" w14:textId="77777777">
        <w:tc>
          <w:tcPr>
            <w:tcW w:w="1980" w:type="dxa"/>
          </w:tcPr>
          <w:p w14:paraId="7E908EBC" w14:textId="77777777" w:rsidR="007644B2" w:rsidRDefault="00000000">
            <w:pPr>
              <w:pStyle w:val="Compact"/>
            </w:pPr>
            <w:r>
              <w:t>Ping (student publication)</w:t>
            </w:r>
          </w:p>
        </w:tc>
        <w:tc>
          <w:tcPr>
            <w:tcW w:w="1980" w:type="dxa"/>
          </w:tcPr>
          <w:p w14:paraId="0AC0C80C" w14:textId="77777777" w:rsidR="007644B2" w:rsidRDefault="00000000">
            <w:pPr>
              <w:pStyle w:val="Compact"/>
            </w:pPr>
            <w:r>
              <w:t>Reporting on mess issues as a matter of student interest</w:t>
            </w:r>
          </w:p>
        </w:tc>
        <w:tc>
          <w:tcPr>
            <w:tcW w:w="1980" w:type="dxa"/>
          </w:tcPr>
          <w:p w14:paraId="20C730AE" w14:textId="77777777" w:rsidR="007644B2" w:rsidRDefault="00000000">
            <w:pPr>
              <w:pStyle w:val="Compact"/>
            </w:pPr>
            <w:r>
              <w:t>Access to information worth publishing</w:t>
            </w:r>
          </w:p>
        </w:tc>
        <w:tc>
          <w:tcPr>
            <w:tcW w:w="1980" w:type="dxa"/>
          </w:tcPr>
          <w:p w14:paraId="14A33F28" w14:textId="77777777" w:rsidR="007644B2" w:rsidRDefault="00000000">
            <w:pPr>
              <w:pStyle w:val="Compact"/>
            </w:pPr>
            <w:r>
              <w:t>Not established whether coverage produces any institutional response</w:t>
            </w:r>
          </w:p>
        </w:tc>
      </w:tr>
      <w:tr w:rsidR="007644B2" w14:paraId="38119AC7" w14:textId="77777777">
        <w:tc>
          <w:tcPr>
            <w:tcW w:w="1980" w:type="dxa"/>
          </w:tcPr>
          <w:p w14:paraId="73BF2AB4" w14:textId="77777777" w:rsidR="007644B2" w:rsidRDefault="00000000">
            <w:pPr>
              <w:pStyle w:val="Compact"/>
            </w:pPr>
            <w:r>
              <w:t>Vindhya Canteen and juice canteens</w:t>
            </w:r>
          </w:p>
        </w:tc>
        <w:tc>
          <w:tcPr>
            <w:tcW w:w="1980" w:type="dxa"/>
          </w:tcPr>
          <w:p w14:paraId="07D633F4" w14:textId="77777777" w:rsidR="007644B2" w:rsidRDefault="00000000">
            <w:pPr>
              <w:pStyle w:val="Compact"/>
            </w:pPr>
            <w:r>
              <w:t>Capturing demand when mess breakfast is skipped or unavailable</w:t>
            </w:r>
          </w:p>
        </w:tc>
        <w:tc>
          <w:tcPr>
            <w:tcW w:w="1980" w:type="dxa"/>
          </w:tcPr>
          <w:p w14:paraId="3F93D528" w14:textId="77777777" w:rsidR="007644B2" w:rsidRDefault="00000000">
            <w:pPr>
              <w:pStyle w:val="Compact"/>
            </w:pPr>
            <w:r>
              <w:t>Steady walk-in customer flow</w:t>
            </w:r>
          </w:p>
        </w:tc>
        <w:tc>
          <w:tcPr>
            <w:tcW w:w="1980" w:type="dxa"/>
          </w:tcPr>
          <w:p w14:paraId="25653E3E" w14:textId="77777777" w:rsidR="007644B2" w:rsidRDefault="00000000">
            <w:pPr>
              <w:pStyle w:val="Compact"/>
            </w:pPr>
            <w:r>
              <w:t>Not established</w:t>
            </w:r>
          </w:p>
        </w:tc>
      </w:tr>
      <w:tr w:rsidR="007644B2" w14:paraId="53F29C90" w14:textId="77777777">
        <w:tc>
          <w:tcPr>
            <w:tcW w:w="1980" w:type="dxa"/>
          </w:tcPr>
          <w:p w14:paraId="166B9E5C" w14:textId="77777777" w:rsidR="007644B2" w:rsidRDefault="00000000">
            <w:pPr>
              <w:pStyle w:val="Compact"/>
            </w:pPr>
            <w:r>
              <w:t>Delivery platforms and riders</w:t>
            </w:r>
          </w:p>
        </w:tc>
        <w:tc>
          <w:tcPr>
            <w:tcW w:w="1980" w:type="dxa"/>
          </w:tcPr>
          <w:p w14:paraId="39A6EFA3" w14:textId="77777777" w:rsidR="007644B2" w:rsidRDefault="00000000">
            <w:pPr>
              <w:pStyle w:val="Compact"/>
            </w:pPr>
            <w:r>
              <w:t>Capturing demand when mess breakfast is skipped or unavailable</w:t>
            </w:r>
          </w:p>
        </w:tc>
        <w:tc>
          <w:tcPr>
            <w:tcW w:w="1980" w:type="dxa"/>
          </w:tcPr>
          <w:p w14:paraId="54440D3D" w14:textId="77777777" w:rsidR="007644B2" w:rsidRDefault="00000000">
            <w:pPr>
              <w:pStyle w:val="Compact"/>
            </w:pPr>
            <w:r>
              <w:t>Gate access for delivery, currently restricted</w:t>
            </w:r>
          </w:p>
        </w:tc>
        <w:tc>
          <w:tcPr>
            <w:tcW w:w="1980" w:type="dxa"/>
          </w:tcPr>
          <w:p w14:paraId="51BCD2DF" w14:textId="77777777" w:rsidR="007644B2" w:rsidRDefault="00000000">
            <w:pPr>
              <w:pStyle w:val="Compact"/>
            </w:pPr>
            <w:r>
              <w:t>Not established</w:t>
            </w:r>
          </w:p>
        </w:tc>
      </w:tr>
    </w:tbl>
    <w:p w14:paraId="1D6D1B34" w14:textId="77777777" w:rsidR="007644B2" w:rsidRDefault="00000000">
      <w:pPr>
        <w:pStyle w:val="Heading2"/>
      </w:pPr>
      <w:bookmarkStart w:id="8" w:name="formal-and-informal-roles"/>
      <w:bookmarkStart w:id="9" w:name="_Toc239627900"/>
      <w:bookmarkEnd w:id="6"/>
      <w:r>
        <w:t>Formal and Informal Roles</w:t>
      </w:r>
      <w:bookmarkEnd w:id="9"/>
    </w:p>
    <w:p w14:paraId="7DB95A07" w14:textId="77777777" w:rsidR="007644B2" w:rsidRDefault="00000000">
      <w:pPr>
        <w:pStyle w:val="FirstParagraph"/>
      </w:pPr>
      <w:r>
        <w:rPr>
          <w:b/>
          <w:bCs/>
        </w:rPr>
        <w:t>Formal roles</w:t>
      </w:r>
      <w:r>
        <w:t xml:space="preserve"> attach to every institutional and commercial actor: Students (as registrant), Mess Committee, Mess Office, Warden, the three vendors, serving and kitchen staff, Vindhya Canteen and juice canteens, and delivery platforms all hold a formal, rule-defined position in the system.</w:t>
      </w:r>
    </w:p>
    <w:p w14:paraId="4ABFAAF7" w14:textId="77777777" w:rsidR="007644B2" w:rsidRDefault="00000000">
      <w:pPr>
        <w:pStyle w:val="BodyText"/>
      </w:pPr>
      <w:r>
        <w:rPr>
          <w:b/>
          <w:bCs/>
        </w:rPr>
        <w:t>Informal roles</w:t>
      </w:r>
      <w:r>
        <w:t xml:space="preserve"> attach to the Mess Cell WhatsApp community, Ping, and the unofficial mess-tool developers — none of these has any official standing in the system, yet each performs a real function (resale market, public-pressure channel, and an alternative registration interface, respectively).</w:t>
      </w:r>
    </w:p>
    <w:p w14:paraId="360E9947" w14:textId="77777777" w:rsidR="007644B2" w:rsidRDefault="00000000">
      <w:pPr>
        <w:pStyle w:val="BodyText"/>
      </w:pPr>
      <w:r>
        <w:rPr>
          <w:b/>
          <w:bCs/>
        </w:rPr>
        <w:lastRenderedPageBreak/>
        <w:t>Roles that are not separate stakeholders.</w:t>
      </w:r>
      <w:r>
        <w:t xml:space="preserve"> Several categories that might appear as distinct actors are, on inspection, behavioral states or temporary roles occupied by the single actor Students, not separate stakeholders in their own right: attending regularly, skipping regularly, having an early class on a given day, buying or selling on Mess Cell, and using an unofficial registration tool are all states a single student may move through within the same week. Peer influence between students — a roommate or friend’s presence changing whether a given student attends on a given morning — is an internal relationship on the Students node, not a separate “Friends” or “Roommates” stakeholder. Guest diners (relatives, visiting parents, non-student campus affiliates who pay a vendor directly) are the one genuine exception: they hold a materially different formal relationship — no registration or monthly billing cycle — but their volume is too marginal to warrant inclusion as a full stakeholder.</w:t>
      </w:r>
    </w:p>
    <w:p w14:paraId="691B0092" w14:textId="77777777" w:rsidR="007644B2" w:rsidRDefault="00000000">
      <w:pPr>
        <w:pStyle w:val="Heading1"/>
      </w:pPr>
      <w:bookmarkStart w:id="10" w:name="create-the-map"/>
      <w:bookmarkStart w:id="11" w:name="_Toc239627901"/>
      <w:bookmarkEnd w:id="2"/>
      <w:bookmarkEnd w:id="8"/>
      <w:r>
        <w:t>Create the Map</w:t>
      </w:r>
      <w:bookmarkEnd w:id="11"/>
    </w:p>
    <w:p w14:paraId="4BF1E1B1" w14:textId="77777777" w:rsidR="007644B2" w:rsidRDefault="00000000">
      <w:pPr>
        <w:pStyle w:val="Heading2"/>
      </w:pPr>
      <w:bookmarkStart w:id="12" w:name="stakeholder-map"/>
      <w:bookmarkStart w:id="13" w:name="_Toc239627902"/>
      <w:r>
        <w:t>Stakeholder Map</w:t>
      </w:r>
      <w:bookmarkEnd w:id="13"/>
    </w:p>
    <w:p w14:paraId="196C186C" w14:textId="77777777" w:rsidR="007644B2" w:rsidRDefault="00000000">
      <w:pPr>
        <w:pStyle w:val="CaptionedFigure"/>
      </w:pPr>
      <w:r>
        <w:rPr>
          <w:noProof/>
        </w:rPr>
        <w:drawing>
          <wp:inline distT="0" distB="0" distL="0" distR="0" wp14:anchorId="50C90C48" wp14:editId="4BE9064A">
            <wp:extent cx="5334000" cy="2505363"/>
            <wp:effectExtent l="0" t="0" r="0" b="0"/>
            <wp:docPr id="15" name="Picture" descr="Stakeholder Map"/>
            <wp:cNvGraphicFramePr/>
            <a:graphic xmlns:a="http://schemas.openxmlformats.org/drawingml/2006/main">
              <a:graphicData uri="http://schemas.openxmlformats.org/drawingml/2006/picture">
                <pic:pic xmlns:pic="http://schemas.openxmlformats.org/drawingml/2006/picture">
                  <pic:nvPicPr>
                    <pic:cNvPr id="16" name="Picture" descr="assets/diagram3-stakeholder-map.png"/>
                    <pic:cNvPicPr>
                      <a:picLocks noChangeAspect="1" noChangeArrowheads="1"/>
                    </pic:cNvPicPr>
                  </pic:nvPicPr>
                  <pic:blipFill>
                    <a:blip r:embed="rId5"/>
                    <a:stretch>
                      <a:fillRect/>
                    </a:stretch>
                  </pic:blipFill>
                  <pic:spPr bwMode="auto">
                    <a:xfrm>
                      <a:off x="0" y="0"/>
                      <a:ext cx="5334000" cy="2505363"/>
                    </a:xfrm>
                    <a:prstGeom prst="rect">
                      <a:avLst/>
                    </a:prstGeom>
                    <a:noFill/>
                    <a:ln w="9525">
                      <a:noFill/>
                      <a:headEnd/>
                      <a:tailEnd/>
                    </a:ln>
                  </pic:spPr>
                </pic:pic>
              </a:graphicData>
            </a:graphic>
          </wp:inline>
        </w:drawing>
      </w:r>
    </w:p>
    <w:p w14:paraId="62F1A7E5" w14:textId="77777777" w:rsidR="007644B2" w:rsidRDefault="00000000">
      <w:pPr>
        <w:pStyle w:val="ImageCaption"/>
      </w:pPr>
      <w:r>
        <w:t>Stakeholder Map</w:t>
      </w:r>
    </w:p>
    <w:p w14:paraId="6BC2F306" w14:textId="77777777" w:rsidR="007644B2" w:rsidRDefault="00000000">
      <w:pPr>
        <w:pStyle w:val="BodyText"/>
      </w:pPr>
      <w:r>
        <w:rPr>
          <w:b/>
          <w:bCs/>
        </w:rPr>
        <w:t>Legend — relationship types</w:t>
      </w:r>
    </w:p>
    <w:tbl>
      <w:tblPr>
        <w:tblStyle w:val="Table"/>
        <w:tblW w:w="5000" w:type="pct"/>
        <w:tblLayout w:type="fixed"/>
        <w:tblLook w:val="0020" w:firstRow="1" w:lastRow="0" w:firstColumn="0" w:lastColumn="0" w:noHBand="0" w:noVBand="0"/>
      </w:tblPr>
      <w:tblGrid>
        <w:gridCol w:w="4788"/>
        <w:gridCol w:w="4788"/>
      </w:tblGrid>
      <w:tr w:rsidR="007644B2" w14:paraId="6D29C818"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F23088" w14:textId="77777777" w:rsidR="007644B2" w:rsidRDefault="00000000">
            <w:pPr>
              <w:pStyle w:val="Compact"/>
            </w:pPr>
            <w:r>
              <w:t>Style</w:t>
            </w:r>
          </w:p>
        </w:tc>
        <w:tc>
          <w:tcPr>
            <w:tcW w:w="3960" w:type="dxa"/>
          </w:tcPr>
          <w:p w14:paraId="563C94EA" w14:textId="77777777" w:rsidR="007644B2" w:rsidRDefault="00000000">
            <w:pPr>
              <w:pStyle w:val="Compact"/>
            </w:pPr>
            <w:r>
              <w:t>Relationship</w:t>
            </w:r>
          </w:p>
        </w:tc>
      </w:tr>
      <w:tr w:rsidR="007644B2" w14:paraId="28EAA21E" w14:textId="77777777">
        <w:tc>
          <w:tcPr>
            <w:tcW w:w="3960" w:type="dxa"/>
          </w:tcPr>
          <w:p w14:paraId="76EE40EB" w14:textId="77777777" w:rsidR="007644B2" w:rsidRDefault="00000000">
            <w:pPr>
              <w:pStyle w:val="Compact"/>
            </w:pPr>
            <w:r>
              <w:t>Solid line, plain label</w:t>
            </w:r>
          </w:p>
        </w:tc>
        <w:tc>
          <w:tcPr>
            <w:tcW w:w="3960" w:type="dxa"/>
          </w:tcPr>
          <w:p w14:paraId="2D3D6F7C" w14:textId="77777777" w:rsidR="007644B2" w:rsidRDefault="00000000">
            <w:pPr>
              <w:pStyle w:val="Compact"/>
            </w:pPr>
            <w:r>
              <w:t>Relation</w:t>
            </w:r>
          </w:p>
        </w:tc>
      </w:tr>
      <w:tr w:rsidR="007644B2" w14:paraId="05F08711" w14:textId="77777777">
        <w:tc>
          <w:tcPr>
            <w:tcW w:w="3960" w:type="dxa"/>
          </w:tcPr>
          <w:p w14:paraId="4C5A29F8" w14:textId="77777777" w:rsidR="007644B2" w:rsidRDefault="00000000">
            <w:pPr>
              <w:pStyle w:val="Compact"/>
            </w:pPr>
            <w:r>
              <w:t>Dotted line</w:t>
            </w:r>
          </w:p>
        </w:tc>
        <w:tc>
          <w:tcPr>
            <w:tcW w:w="3960" w:type="dxa"/>
          </w:tcPr>
          <w:p w14:paraId="3A08FD77" w14:textId="77777777" w:rsidR="007644B2" w:rsidRDefault="00000000">
            <w:pPr>
              <w:pStyle w:val="Compact"/>
            </w:pPr>
            <w:r>
              <w:t>Unclear, informal relationship</w:t>
            </w:r>
          </w:p>
        </w:tc>
      </w:tr>
      <w:tr w:rsidR="007644B2" w14:paraId="2CD925ED" w14:textId="77777777">
        <w:tc>
          <w:tcPr>
            <w:tcW w:w="3960" w:type="dxa"/>
          </w:tcPr>
          <w:p w14:paraId="777A3991" w14:textId="77777777" w:rsidR="007644B2" w:rsidRDefault="00000000">
            <w:pPr>
              <w:pStyle w:val="Compact"/>
            </w:pPr>
            <w:r>
              <w:t>Thick line</w:t>
            </w:r>
          </w:p>
        </w:tc>
        <w:tc>
          <w:tcPr>
            <w:tcW w:w="3960" w:type="dxa"/>
          </w:tcPr>
          <w:p w14:paraId="26FF57D4" w14:textId="77777777" w:rsidR="007644B2" w:rsidRDefault="00000000">
            <w:pPr>
              <w:pStyle w:val="Compact"/>
            </w:pPr>
            <w:r>
              <w:t>Institutional relationship</w:t>
            </w:r>
          </w:p>
        </w:tc>
      </w:tr>
      <w:tr w:rsidR="007644B2" w14:paraId="71D41EF0" w14:textId="77777777">
        <w:tc>
          <w:tcPr>
            <w:tcW w:w="3960" w:type="dxa"/>
          </w:tcPr>
          <w:p w14:paraId="2190BAA2" w14:textId="77777777" w:rsidR="007644B2" w:rsidRDefault="00000000">
            <w:pPr>
              <w:pStyle w:val="Compact"/>
            </w:pPr>
            <w:r>
              <w:t>Solid arrow, labeled</w:t>
            </w:r>
          </w:p>
        </w:tc>
        <w:tc>
          <w:tcPr>
            <w:tcW w:w="3960" w:type="dxa"/>
          </w:tcPr>
          <w:p w14:paraId="4854A1E8" w14:textId="77777777" w:rsidR="007644B2" w:rsidRDefault="00000000">
            <w:pPr>
              <w:pStyle w:val="Compact"/>
            </w:pPr>
            <w:r>
              <w:t>Directed flow of information</w:t>
            </w:r>
          </w:p>
        </w:tc>
      </w:tr>
      <w:tr w:rsidR="007644B2" w14:paraId="3B45D57E" w14:textId="77777777">
        <w:tc>
          <w:tcPr>
            <w:tcW w:w="3960" w:type="dxa"/>
          </w:tcPr>
          <w:p w14:paraId="71B3DF56" w14:textId="77777777" w:rsidR="007644B2" w:rsidRDefault="00000000">
            <w:pPr>
              <w:pStyle w:val="Compact"/>
            </w:pPr>
            <w:r>
              <w:t>Red line</w:t>
            </w:r>
          </w:p>
        </w:tc>
        <w:tc>
          <w:tcPr>
            <w:tcW w:w="3960" w:type="dxa"/>
          </w:tcPr>
          <w:p w14:paraId="1C8BD3B7" w14:textId="77777777" w:rsidR="007644B2" w:rsidRDefault="00000000">
            <w:pPr>
              <w:pStyle w:val="Compact"/>
            </w:pPr>
            <w:r>
              <w:t>Relationship with conflict potential</w:t>
            </w:r>
          </w:p>
        </w:tc>
      </w:tr>
      <w:tr w:rsidR="007644B2" w14:paraId="79BD4DB8" w14:textId="77777777">
        <w:tc>
          <w:tcPr>
            <w:tcW w:w="3960" w:type="dxa"/>
          </w:tcPr>
          <w:p w14:paraId="011C1D97" w14:textId="77777777" w:rsidR="007644B2" w:rsidRDefault="00000000">
            <w:pPr>
              <w:pStyle w:val="Compact"/>
            </w:pPr>
            <w:r>
              <w:t>Dotted line ending in ✕</w:t>
            </w:r>
          </w:p>
        </w:tc>
        <w:tc>
          <w:tcPr>
            <w:tcW w:w="3960" w:type="dxa"/>
          </w:tcPr>
          <w:p w14:paraId="2EA7E307" w14:textId="77777777" w:rsidR="007644B2" w:rsidRDefault="00000000">
            <w:pPr>
              <w:pStyle w:val="Compact"/>
            </w:pPr>
            <w:r>
              <w:t>Interrupted relationship (no confirmed connection)</w:t>
            </w:r>
          </w:p>
        </w:tc>
      </w:tr>
    </w:tbl>
    <w:p w14:paraId="6E5B90CD" w14:textId="77777777" w:rsidR="007644B2" w:rsidRDefault="00000000">
      <w:pPr>
        <w:pStyle w:val="BodyText"/>
      </w:pPr>
      <w:r>
        <w:lastRenderedPageBreak/>
        <w:t xml:space="preserve">Placement follows the standard four-ring model. </w:t>
      </w:r>
      <w:r>
        <w:rPr>
          <w:b/>
          <w:bCs/>
        </w:rPr>
        <w:t>Customer/user:</w:t>
      </w:r>
      <w:r>
        <w:t xml:space="preserve"> Students. </w:t>
      </w:r>
      <w:r>
        <w:rPr>
          <w:b/>
          <w:bCs/>
        </w:rPr>
        <w:t>Internal stakeholders:</w:t>
      </w:r>
      <w:r>
        <w:t xml:space="preserve"> Mess Committee, Mess Office, Warden, the three vendors, and serving and kitchen staff — the mess system’s own operating structure. </w:t>
      </w:r>
      <w:r>
        <w:rPr>
          <w:b/>
          <w:bCs/>
        </w:rPr>
        <w:t>External stakeholders:</w:t>
      </w:r>
      <w:r>
        <w:t xml:space="preserve"> Academic administration, the Facilities/Estate team, the Portal/IT owner, Vindhya and the juice canteens, and delivery platforms — organizations that interact with the system’s boundary from outside it. </w:t>
      </w:r>
      <w:r>
        <w:rPr>
          <w:b/>
          <w:bCs/>
        </w:rPr>
        <w:t>Public stakeholders:</w:t>
      </w:r>
      <w:r>
        <w:t xml:space="preserve"> the Mess Cell WhatsApp community, unofficial tool developers, and Ping — informal, public-facing actors with no institutional standing in the system.</w:t>
      </w:r>
    </w:p>
    <w:p w14:paraId="49CF01C8" w14:textId="77777777" w:rsidR="007644B2" w:rsidRDefault="00000000">
      <w:pPr>
        <w:pStyle w:val="Heading2"/>
      </w:pPr>
      <w:bookmarkStart w:id="14" w:name="relationship-network"/>
      <w:bookmarkStart w:id="15" w:name="_Toc239627903"/>
      <w:bookmarkEnd w:id="12"/>
      <w:r>
        <w:t>Relationship Network</w:t>
      </w:r>
      <w:bookmarkEnd w:id="15"/>
    </w:p>
    <w:p w14:paraId="2584327F" w14:textId="77777777" w:rsidR="007644B2" w:rsidRDefault="00000000">
      <w:pPr>
        <w:pStyle w:val="CaptionedFigure"/>
      </w:pPr>
      <w:r>
        <w:rPr>
          <w:noProof/>
        </w:rPr>
        <w:drawing>
          <wp:inline distT="0" distB="0" distL="0" distR="0" wp14:anchorId="45A32072" wp14:editId="1E208DE8">
            <wp:extent cx="5334000" cy="1471564"/>
            <wp:effectExtent l="0" t="0" r="0" b="0"/>
            <wp:docPr id="19" name="Picture" descr="Relationship Network"/>
            <wp:cNvGraphicFramePr/>
            <a:graphic xmlns:a="http://schemas.openxmlformats.org/drawingml/2006/main">
              <a:graphicData uri="http://schemas.openxmlformats.org/drawingml/2006/picture">
                <pic:pic xmlns:pic="http://schemas.openxmlformats.org/drawingml/2006/picture">
                  <pic:nvPicPr>
                    <pic:cNvPr id="20" name="Picture" descr="assets/diagram4-relationship-network.png"/>
                    <pic:cNvPicPr>
                      <a:picLocks noChangeAspect="1" noChangeArrowheads="1"/>
                    </pic:cNvPicPr>
                  </pic:nvPicPr>
                  <pic:blipFill>
                    <a:blip r:embed="rId6"/>
                    <a:stretch>
                      <a:fillRect/>
                    </a:stretch>
                  </pic:blipFill>
                  <pic:spPr bwMode="auto">
                    <a:xfrm>
                      <a:off x="0" y="0"/>
                      <a:ext cx="5334000" cy="1471564"/>
                    </a:xfrm>
                    <a:prstGeom prst="rect">
                      <a:avLst/>
                    </a:prstGeom>
                    <a:noFill/>
                    <a:ln w="9525">
                      <a:noFill/>
                      <a:headEnd/>
                      <a:tailEnd/>
                    </a:ln>
                  </pic:spPr>
                </pic:pic>
              </a:graphicData>
            </a:graphic>
          </wp:inline>
        </w:drawing>
      </w:r>
    </w:p>
    <w:p w14:paraId="5B91E7A2" w14:textId="77777777" w:rsidR="007644B2" w:rsidRDefault="00000000">
      <w:pPr>
        <w:pStyle w:val="ImageCaption"/>
      </w:pPr>
      <w:r>
        <w:t>Relationship Network</w:t>
      </w:r>
    </w:p>
    <w:p w14:paraId="07702638" w14:textId="77777777" w:rsidR="007644B2" w:rsidRDefault="00000000">
      <w:pPr>
        <w:pStyle w:val="BodyText"/>
      </w:pPr>
      <w:r>
        <w:t>This second view lays out the same seventeen stakeholders by functional cluster — core daily operation, governance, and informal/competing — rather than by ring distance, making the full set of information, money, and authority flows easier to trace end to end.</w:t>
      </w:r>
    </w:p>
    <w:p w14:paraId="7476E930" w14:textId="77777777" w:rsidR="007644B2" w:rsidRDefault="00000000">
      <w:pPr>
        <w:pStyle w:val="Heading2"/>
      </w:pPr>
      <w:bookmarkStart w:id="16" w:name="X558a667db69c8bcb79f127222023e4664d92793"/>
      <w:bookmarkStart w:id="17" w:name="_Toc239627904"/>
      <w:bookmarkEnd w:id="14"/>
      <w:r>
        <w:lastRenderedPageBreak/>
        <w:t>Proximity to the Student’s Lived Experience</w:t>
      </w:r>
      <w:bookmarkEnd w:id="17"/>
    </w:p>
    <w:p w14:paraId="10DCD525" w14:textId="77777777" w:rsidR="007644B2" w:rsidRDefault="00000000">
      <w:pPr>
        <w:pStyle w:val="CaptionedFigure"/>
      </w:pPr>
      <w:r>
        <w:rPr>
          <w:noProof/>
        </w:rPr>
        <w:drawing>
          <wp:inline distT="0" distB="0" distL="0" distR="0" wp14:anchorId="61F0C49C" wp14:editId="6CB391E0">
            <wp:extent cx="5334000" cy="1198608"/>
            <wp:effectExtent l="0" t="0" r="0" b="0"/>
            <wp:docPr id="23" name="Picture" descr="Onion Proximity Map"/>
            <wp:cNvGraphicFramePr/>
            <a:graphic xmlns:a="http://schemas.openxmlformats.org/drawingml/2006/main">
              <a:graphicData uri="http://schemas.openxmlformats.org/drawingml/2006/picture">
                <pic:pic xmlns:pic="http://schemas.openxmlformats.org/drawingml/2006/picture">
                  <pic:nvPicPr>
                    <pic:cNvPr id="24" name="Picture" descr="assets/diagram5-onion-proximity.png"/>
                    <pic:cNvPicPr>
                      <a:picLocks noChangeAspect="1" noChangeArrowheads="1"/>
                    </pic:cNvPicPr>
                  </pic:nvPicPr>
                  <pic:blipFill>
                    <a:blip r:embed="rId7"/>
                    <a:stretch>
                      <a:fillRect/>
                    </a:stretch>
                  </pic:blipFill>
                  <pic:spPr bwMode="auto">
                    <a:xfrm>
                      <a:off x="0" y="0"/>
                      <a:ext cx="5334000" cy="1198608"/>
                    </a:xfrm>
                    <a:prstGeom prst="rect">
                      <a:avLst/>
                    </a:prstGeom>
                    <a:noFill/>
                    <a:ln w="9525">
                      <a:noFill/>
                      <a:headEnd/>
                      <a:tailEnd/>
                    </a:ln>
                  </pic:spPr>
                </pic:pic>
              </a:graphicData>
            </a:graphic>
          </wp:inline>
        </w:drawing>
      </w:r>
    </w:p>
    <w:p w14:paraId="4CA834C5" w14:textId="4957F3D3" w:rsidR="003D052E" w:rsidRDefault="003D052E">
      <w:pPr>
        <w:pStyle w:val="CaptionedFigure"/>
      </w:pPr>
      <w:r w:rsidRPr="003D052E">
        <w:drawing>
          <wp:inline distT="0" distB="0" distL="0" distR="0" wp14:anchorId="4E31CB2E" wp14:editId="0DFF8A23">
            <wp:extent cx="5943600" cy="5427345"/>
            <wp:effectExtent l="0" t="0" r="0" b="0"/>
            <wp:docPr id="18763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5980" name=""/>
                    <pic:cNvPicPr/>
                  </pic:nvPicPr>
                  <pic:blipFill>
                    <a:blip r:embed="rId8"/>
                    <a:stretch>
                      <a:fillRect/>
                    </a:stretch>
                  </pic:blipFill>
                  <pic:spPr>
                    <a:xfrm>
                      <a:off x="0" y="0"/>
                      <a:ext cx="5943600" cy="5427345"/>
                    </a:xfrm>
                    <a:prstGeom prst="rect">
                      <a:avLst/>
                    </a:prstGeom>
                  </pic:spPr>
                </pic:pic>
              </a:graphicData>
            </a:graphic>
          </wp:inline>
        </w:drawing>
      </w:r>
    </w:p>
    <w:p w14:paraId="02E9A5EA" w14:textId="77777777" w:rsidR="007644B2" w:rsidRDefault="00000000">
      <w:pPr>
        <w:pStyle w:val="ImageCaption"/>
      </w:pPr>
      <w:r>
        <w:t>Onion Proximity Map</w:t>
      </w:r>
    </w:p>
    <w:p w14:paraId="588EC1B2" w14:textId="77777777" w:rsidR="007644B2" w:rsidRDefault="00000000">
      <w:pPr>
        <w:pStyle w:val="BodyText"/>
      </w:pPr>
      <w:r>
        <w:t xml:space="preserve">This third view clusters the same actors by closeness to a student’s actual morning rather than by relationship type. It surfaces a different finding from the two maps above: Academic administration sits at the outermost ring with no adjacent relationship connecting it inward at any layer, while Mess Cell, the unofficial tools, and Ping — none of </w:t>
      </w:r>
      <w:r>
        <w:lastRenderedPageBreak/>
        <w:t>them part of the formal governance structure — sit at the innermost ring alongside the students themselves.</w:t>
      </w:r>
    </w:p>
    <w:p w14:paraId="77A9B2A3" w14:textId="77777777" w:rsidR="007644B2" w:rsidRDefault="00000000">
      <w:pPr>
        <w:pStyle w:val="Heading1"/>
      </w:pPr>
      <w:bookmarkStart w:id="18" w:name="relationships-dependencies-and-conflicts"/>
      <w:bookmarkStart w:id="19" w:name="_Toc239627905"/>
      <w:bookmarkEnd w:id="10"/>
      <w:bookmarkEnd w:id="16"/>
      <w:r>
        <w:t>Relationships, Dependencies, and Conflicts</w:t>
      </w:r>
      <w:bookmarkEnd w:id="19"/>
    </w:p>
    <w:p w14:paraId="44371A6A" w14:textId="77777777" w:rsidR="007644B2" w:rsidRDefault="00000000">
      <w:pPr>
        <w:pStyle w:val="Heading2"/>
      </w:pPr>
      <w:bookmarkStart w:id="20" w:name="relationship-matrix"/>
      <w:bookmarkStart w:id="21" w:name="_Toc239627906"/>
      <w:r>
        <w:t>Relationship Matrix</w:t>
      </w:r>
      <w:bookmarkEnd w:id="21"/>
    </w:p>
    <w:p w14:paraId="10FD3073" w14:textId="77777777" w:rsidR="007644B2" w:rsidRDefault="00000000">
      <w:pPr>
        <w:pStyle w:val="FirstParagraph"/>
      </w:pPr>
      <w:r>
        <w:t xml:space="preserve">Cells marked </w:t>
      </w:r>
      <w:r>
        <w:rPr>
          <w:i/>
          <w:iCs/>
        </w:rPr>
        <w:t>hypothesis</w:t>
      </w:r>
      <w:r>
        <w:t xml:space="preserve"> have not been independently confirmed.</w:t>
      </w:r>
    </w:p>
    <w:tbl>
      <w:tblPr>
        <w:tblStyle w:val="Table"/>
        <w:tblW w:w="5000" w:type="pct"/>
        <w:tblLayout w:type="fixed"/>
        <w:tblLook w:val="0020" w:firstRow="1" w:lastRow="0" w:firstColumn="0" w:lastColumn="0" w:noHBand="0" w:noVBand="0"/>
      </w:tblPr>
      <w:tblGrid>
        <w:gridCol w:w="957"/>
        <w:gridCol w:w="957"/>
        <w:gridCol w:w="957"/>
        <w:gridCol w:w="957"/>
        <w:gridCol w:w="958"/>
        <w:gridCol w:w="958"/>
        <w:gridCol w:w="958"/>
        <w:gridCol w:w="958"/>
        <w:gridCol w:w="958"/>
        <w:gridCol w:w="958"/>
      </w:tblGrid>
      <w:tr w:rsidR="007644B2" w14:paraId="5F82EBF3"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792" w:type="dxa"/>
          </w:tcPr>
          <w:p w14:paraId="5C385A62" w14:textId="77777777" w:rsidR="007644B2" w:rsidRDefault="007644B2">
            <w:pPr>
              <w:pStyle w:val="Compact"/>
            </w:pPr>
          </w:p>
        </w:tc>
        <w:tc>
          <w:tcPr>
            <w:tcW w:w="792" w:type="dxa"/>
          </w:tcPr>
          <w:p w14:paraId="78F03AB0" w14:textId="77777777" w:rsidR="007644B2" w:rsidRDefault="00000000">
            <w:pPr>
              <w:pStyle w:val="Compact"/>
            </w:pPr>
            <w:r>
              <w:t>Students</w:t>
            </w:r>
          </w:p>
        </w:tc>
        <w:tc>
          <w:tcPr>
            <w:tcW w:w="792" w:type="dxa"/>
          </w:tcPr>
          <w:p w14:paraId="33087104" w14:textId="77777777" w:rsidR="007644B2" w:rsidRDefault="00000000">
            <w:pPr>
              <w:pStyle w:val="Compact"/>
            </w:pPr>
            <w:r>
              <w:t>Mess Committee</w:t>
            </w:r>
          </w:p>
        </w:tc>
        <w:tc>
          <w:tcPr>
            <w:tcW w:w="792" w:type="dxa"/>
          </w:tcPr>
          <w:p w14:paraId="65E482B0" w14:textId="77777777" w:rsidR="007644B2" w:rsidRDefault="00000000">
            <w:pPr>
              <w:pStyle w:val="Compact"/>
            </w:pPr>
            <w:r>
              <w:t>Mess Office</w:t>
            </w:r>
          </w:p>
        </w:tc>
        <w:tc>
          <w:tcPr>
            <w:tcW w:w="792" w:type="dxa"/>
          </w:tcPr>
          <w:p w14:paraId="0A768AC8" w14:textId="77777777" w:rsidR="007644B2" w:rsidRDefault="00000000">
            <w:pPr>
              <w:pStyle w:val="Compact"/>
            </w:pPr>
            <w:r>
              <w:t>Warden</w:t>
            </w:r>
          </w:p>
        </w:tc>
        <w:tc>
          <w:tcPr>
            <w:tcW w:w="792" w:type="dxa"/>
          </w:tcPr>
          <w:p w14:paraId="00B6E344" w14:textId="77777777" w:rsidR="007644B2" w:rsidRDefault="00000000">
            <w:pPr>
              <w:pStyle w:val="Compact"/>
            </w:pPr>
            <w:r>
              <w:t>Academic admin.</w:t>
            </w:r>
          </w:p>
        </w:tc>
        <w:tc>
          <w:tcPr>
            <w:tcW w:w="792" w:type="dxa"/>
          </w:tcPr>
          <w:p w14:paraId="03395B8F" w14:textId="77777777" w:rsidR="007644B2" w:rsidRDefault="00000000">
            <w:pPr>
              <w:pStyle w:val="Compact"/>
            </w:pPr>
            <w:r>
              <w:t>Vendors</w:t>
            </w:r>
          </w:p>
        </w:tc>
        <w:tc>
          <w:tcPr>
            <w:tcW w:w="792" w:type="dxa"/>
          </w:tcPr>
          <w:p w14:paraId="4A7A24BD" w14:textId="77777777" w:rsidR="007644B2" w:rsidRDefault="00000000">
            <w:pPr>
              <w:pStyle w:val="Compact"/>
            </w:pPr>
            <w:r>
              <w:t>Staff</w:t>
            </w:r>
          </w:p>
        </w:tc>
        <w:tc>
          <w:tcPr>
            <w:tcW w:w="792" w:type="dxa"/>
          </w:tcPr>
          <w:p w14:paraId="4AE036F1" w14:textId="77777777" w:rsidR="007644B2" w:rsidRDefault="00000000">
            <w:pPr>
              <w:pStyle w:val="Compact"/>
            </w:pPr>
            <w:r>
              <w:t>Mess Cell</w:t>
            </w:r>
          </w:p>
        </w:tc>
        <w:tc>
          <w:tcPr>
            <w:tcW w:w="792" w:type="dxa"/>
          </w:tcPr>
          <w:p w14:paraId="16A8A9B3" w14:textId="77777777" w:rsidR="007644B2" w:rsidRDefault="00000000">
            <w:pPr>
              <w:pStyle w:val="Compact"/>
            </w:pPr>
            <w:r>
              <w:t>Ping</w:t>
            </w:r>
          </w:p>
        </w:tc>
      </w:tr>
      <w:tr w:rsidR="007644B2" w14:paraId="2FAD9F45" w14:textId="77777777">
        <w:tc>
          <w:tcPr>
            <w:tcW w:w="792" w:type="dxa"/>
          </w:tcPr>
          <w:p w14:paraId="3CA2C4C2" w14:textId="77777777" w:rsidR="007644B2" w:rsidRDefault="00000000">
            <w:pPr>
              <w:pStyle w:val="Compact"/>
            </w:pPr>
            <w:r>
              <w:rPr>
                <w:b/>
                <w:bCs/>
              </w:rPr>
              <w:t>Students</w:t>
            </w:r>
          </w:p>
        </w:tc>
        <w:tc>
          <w:tcPr>
            <w:tcW w:w="792" w:type="dxa"/>
          </w:tcPr>
          <w:p w14:paraId="4B632D81" w14:textId="77777777" w:rsidR="007644B2" w:rsidRDefault="00000000">
            <w:pPr>
              <w:pStyle w:val="Compact"/>
            </w:pPr>
            <w:r>
              <w:t>—</w:t>
            </w:r>
          </w:p>
        </w:tc>
        <w:tc>
          <w:tcPr>
            <w:tcW w:w="792" w:type="dxa"/>
          </w:tcPr>
          <w:p w14:paraId="36D57E56" w14:textId="77777777" w:rsidR="007644B2" w:rsidRDefault="00000000">
            <w:pPr>
              <w:pStyle w:val="Compact"/>
            </w:pPr>
            <w:r>
              <w:t>Feedback (rating system confirmed to exist; whether read is unconfirmed)</w:t>
            </w:r>
          </w:p>
        </w:tc>
        <w:tc>
          <w:tcPr>
            <w:tcW w:w="792" w:type="dxa"/>
          </w:tcPr>
          <w:p w14:paraId="375C863B" w14:textId="77777777" w:rsidR="007644B2" w:rsidRDefault="00000000">
            <w:pPr>
              <w:pStyle w:val="Compact"/>
            </w:pPr>
            <w:r>
              <w:t>Registration, payment</w:t>
            </w:r>
          </w:p>
        </w:tc>
        <w:tc>
          <w:tcPr>
            <w:tcW w:w="792" w:type="dxa"/>
          </w:tcPr>
          <w:p w14:paraId="739648DE" w14:textId="77777777" w:rsidR="007644B2" w:rsidRDefault="00000000">
            <w:pPr>
              <w:pStyle w:val="Compact"/>
            </w:pPr>
            <w:r>
              <w:t>—</w:t>
            </w:r>
          </w:p>
        </w:tc>
        <w:tc>
          <w:tcPr>
            <w:tcW w:w="792" w:type="dxa"/>
          </w:tcPr>
          <w:p w14:paraId="677658C5" w14:textId="77777777" w:rsidR="007644B2" w:rsidRDefault="00000000">
            <w:pPr>
              <w:pStyle w:val="Compact"/>
            </w:pPr>
            <w:r>
              <w:t>Dependent on its schedule</w:t>
            </w:r>
          </w:p>
        </w:tc>
        <w:tc>
          <w:tcPr>
            <w:tcW w:w="792" w:type="dxa"/>
          </w:tcPr>
          <w:p w14:paraId="42385B9A" w14:textId="77777777" w:rsidR="007644B2" w:rsidRDefault="00000000">
            <w:pPr>
              <w:pStyle w:val="Compact"/>
            </w:pPr>
            <w:r>
              <w:t>Payment, service</w:t>
            </w:r>
          </w:p>
        </w:tc>
        <w:tc>
          <w:tcPr>
            <w:tcW w:w="792" w:type="dxa"/>
          </w:tcPr>
          <w:p w14:paraId="071EFB37" w14:textId="77777777" w:rsidR="007644B2" w:rsidRDefault="00000000">
            <w:pPr>
              <w:pStyle w:val="Compact"/>
            </w:pPr>
            <w:r>
              <w:t>Service</w:t>
            </w:r>
          </w:p>
        </w:tc>
        <w:tc>
          <w:tcPr>
            <w:tcW w:w="792" w:type="dxa"/>
          </w:tcPr>
          <w:p w14:paraId="4A981F68" w14:textId="77777777" w:rsidR="007644B2" w:rsidRDefault="00000000">
            <w:pPr>
              <w:pStyle w:val="Compact"/>
            </w:pPr>
            <w:r>
              <w:t>Payment, service</w:t>
            </w:r>
          </w:p>
        </w:tc>
        <w:tc>
          <w:tcPr>
            <w:tcW w:w="792" w:type="dxa"/>
          </w:tcPr>
          <w:p w14:paraId="48F9BBFC" w14:textId="77777777" w:rsidR="007644B2" w:rsidRDefault="00000000">
            <w:pPr>
              <w:pStyle w:val="Compact"/>
            </w:pPr>
            <w:r>
              <w:t>—</w:t>
            </w:r>
          </w:p>
        </w:tc>
      </w:tr>
      <w:tr w:rsidR="007644B2" w14:paraId="28A155AC" w14:textId="77777777">
        <w:tc>
          <w:tcPr>
            <w:tcW w:w="792" w:type="dxa"/>
          </w:tcPr>
          <w:p w14:paraId="32C3E30C" w14:textId="77777777" w:rsidR="007644B2" w:rsidRDefault="00000000">
            <w:pPr>
              <w:pStyle w:val="Compact"/>
            </w:pPr>
            <w:r>
              <w:rPr>
                <w:b/>
                <w:bCs/>
              </w:rPr>
              <w:t>Mess Committee</w:t>
            </w:r>
          </w:p>
        </w:tc>
        <w:tc>
          <w:tcPr>
            <w:tcW w:w="792" w:type="dxa"/>
          </w:tcPr>
          <w:p w14:paraId="1FEA1A0E" w14:textId="77777777" w:rsidR="007644B2" w:rsidRDefault="00000000">
            <w:pPr>
              <w:pStyle w:val="Compact"/>
            </w:pPr>
            <w:r>
              <w:t>Authority (menu, feedback)</w:t>
            </w:r>
          </w:p>
        </w:tc>
        <w:tc>
          <w:tcPr>
            <w:tcW w:w="792" w:type="dxa"/>
          </w:tcPr>
          <w:p w14:paraId="72F644A1" w14:textId="77777777" w:rsidR="007644B2" w:rsidRDefault="00000000">
            <w:pPr>
              <w:pStyle w:val="Compact"/>
            </w:pPr>
            <w:r>
              <w:t>—</w:t>
            </w:r>
          </w:p>
        </w:tc>
        <w:tc>
          <w:tcPr>
            <w:tcW w:w="792" w:type="dxa"/>
          </w:tcPr>
          <w:p w14:paraId="6CB3C182" w14:textId="77777777" w:rsidR="007644B2" w:rsidRDefault="00000000">
            <w:pPr>
              <w:pStyle w:val="Compact"/>
            </w:pPr>
            <w:r>
              <w:t>Authority (sets policy)</w:t>
            </w:r>
          </w:p>
        </w:tc>
        <w:tc>
          <w:tcPr>
            <w:tcW w:w="792" w:type="dxa"/>
          </w:tcPr>
          <w:p w14:paraId="47137D28" w14:textId="77777777" w:rsidR="007644B2" w:rsidRDefault="00000000">
            <w:pPr>
              <w:pStyle w:val="Compact"/>
            </w:pPr>
            <w:r>
              <w:t>Hypothesis: overlap</w:t>
            </w:r>
          </w:p>
        </w:tc>
        <w:tc>
          <w:tcPr>
            <w:tcW w:w="792" w:type="dxa"/>
          </w:tcPr>
          <w:p w14:paraId="51B534C8" w14:textId="77777777" w:rsidR="007644B2" w:rsidRDefault="00000000">
            <w:pPr>
              <w:pStyle w:val="Compact"/>
            </w:pPr>
            <w:r>
              <w:t>No relationship of any kind</w:t>
            </w:r>
          </w:p>
        </w:tc>
        <w:tc>
          <w:tcPr>
            <w:tcW w:w="792" w:type="dxa"/>
          </w:tcPr>
          <w:p w14:paraId="2FB6C0E9" w14:textId="77777777" w:rsidR="007644B2" w:rsidRDefault="00000000">
            <w:pPr>
              <w:pStyle w:val="Compact"/>
            </w:pPr>
            <w:r>
              <w:t>Authority (menu)</w:t>
            </w:r>
          </w:p>
        </w:tc>
        <w:tc>
          <w:tcPr>
            <w:tcW w:w="792" w:type="dxa"/>
          </w:tcPr>
          <w:p w14:paraId="111385D6" w14:textId="77777777" w:rsidR="007644B2" w:rsidRDefault="00000000">
            <w:pPr>
              <w:pStyle w:val="Compact"/>
            </w:pPr>
            <w:r>
              <w:t>—</w:t>
            </w:r>
          </w:p>
        </w:tc>
        <w:tc>
          <w:tcPr>
            <w:tcW w:w="792" w:type="dxa"/>
          </w:tcPr>
          <w:p w14:paraId="35021864" w14:textId="77777777" w:rsidR="007644B2" w:rsidRDefault="00000000">
            <w:pPr>
              <w:pStyle w:val="Compact"/>
            </w:pPr>
            <w:r>
              <w:t>—</w:t>
            </w:r>
          </w:p>
        </w:tc>
        <w:tc>
          <w:tcPr>
            <w:tcW w:w="792" w:type="dxa"/>
          </w:tcPr>
          <w:p w14:paraId="2C6E9044" w14:textId="77777777" w:rsidR="007644B2" w:rsidRDefault="00000000">
            <w:pPr>
              <w:pStyle w:val="Compact"/>
            </w:pPr>
            <w:r>
              <w:t>Hypothesis: subject of coverage</w:t>
            </w:r>
          </w:p>
        </w:tc>
      </w:tr>
      <w:tr w:rsidR="007644B2" w14:paraId="0540A4D2" w14:textId="77777777">
        <w:tc>
          <w:tcPr>
            <w:tcW w:w="792" w:type="dxa"/>
          </w:tcPr>
          <w:p w14:paraId="50608093" w14:textId="77777777" w:rsidR="007644B2" w:rsidRDefault="00000000">
            <w:pPr>
              <w:pStyle w:val="Compact"/>
            </w:pPr>
            <w:r>
              <w:rPr>
                <w:b/>
                <w:bCs/>
              </w:rPr>
              <w:t>Mess Office</w:t>
            </w:r>
          </w:p>
        </w:tc>
        <w:tc>
          <w:tcPr>
            <w:tcW w:w="792" w:type="dxa"/>
          </w:tcPr>
          <w:p w14:paraId="2131601F" w14:textId="77777777" w:rsidR="007644B2" w:rsidRDefault="00000000">
            <w:pPr>
              <w:pStyle w:val="Compact"/>
            </w:pPr>
            <w:r>
              <w:t>Billing, dependent on for order accuracy</w:t>
            </w:r>
          </w:p>
        </w:tc>
        <w:tc>
          <w:tcPr>
            <w:tcW w:w="792" w:type="dxa"/>
          </w:tcPr>
          <w:p w14:paraId="7E413B22" w14:textId="77777777" w:rsidR="007644B2" w:rsidRDefault="00000000">
            <w:pPr>
              <w:pStyle w:val="Compact"/>
            </w:pPr>
            <w:r>
              <w:t>Reports to (hypothesis)</w:t>
            </w:r>
          </w:p>
        </w:tc>
        <w:tc>
          <w:tcPr>
            <w:tcW w:w="792" w:type="dxa"/>
          </w:tcPr>
          <w:p w14:paraId="27867832" w14:textId="77777777" w:rsidR="007644B2" w:rsidRDefault="00000000">
            <w:pPr>
              <w:pStyle w:val="Compact"/>
            </w:pPr>
            <w:r>
              <w:t>—</w:t>
            </w:r>
          </w:p>
        </w:tc>
        <w:tc>
          <w:tcPr>
            <w:tcW w:w="792" w:type="dxa"/>
          </w:tcPr>
          <w:p w14:paraId="6CBDDEC4" w14:textId="77777777" w:rsidR="007644B2" w:rsidRDefault="00000000">
            <w:pPr>
              <w:pStyle w:val="Compact"/>
            </w:pPr>
            <w:r>
              <w:t>Hypothesis: overlap</w:t>
            </w:r>
          </w:p>
        </w:tc>
        <w:tc>
          <w:tcPr>
            <w:tcW w:w="792" w:type="dxa"/>
          </w:tcPr>
          <w:p w14:paraId="4B1805C8" w14:textId="77777777" w:rsidR="007644B2" w:rsidRDefault="00000000">
            <w:pPr>
              <w:pStyle w:val="Compact"/>
            </w:pPr>
            <w:r>
              <w:t>No relationship of any kind</w:t>
            </w:r>
          </w:p>
        </w:tc>
        <w:tc>
          <w:tcPr>
            <w:tcW w:w="792" w:type="dxa"/>
          </w:tcPr>
          <w:p w14:paraId="73A297CE" w14:textId="77777777" w:rsidR="007644B2" w:rsidRDefault="00000000">
            <w:pPr>
              <w:pStyle w:val="Compact"/>
            </w:pPr>
            <w:r>
              <w:t>Authority, dependency (ordering)</w:t>
            </w:r>
          </w:p>
        </w:tc>
        <w:tc>
          <w:tcPr>
            <w:tcW w:w="792" w:type="dxa"/>
          </w:tcPr>
          <w:p w14:paraId="3FA6A4FC" w14:textId="77777777" w:rsidR="007644B2" w:rsidRDefault="00000000">
            <w:pPr>
              <w:pStyle w:val="Compact"/>
            </w:pPr>
            <w:r>
              <w:t>Authority</w:t>
            </w:r>
          </w:p>
        </w:tc>
        <w:tc>
          <w:tcPr>
            <w:tcW w:w="792" w:type="dxa"/>
          </w:tcPr>
          <w:p w14:paraId="771427A4" w14:textId="77777777" w:rsidR="007644B2" w:rsidRDefault="00000000">
            <w:pPr>
              <w:pStyle w:val="Compact"/>
            </w:pPr>
            <w:r>
              <w:t>—</w:t>
            </w:r>
          </w:p>
        </w:tc>
        <w:tc>
          <w:tcPr>
            <w:tcW w:w="792" w:type="dxa"/>
          </w:tcPr>
          <w:p w14:paraId="5B41C573" w14:textId="77777777" w:rsidR="007644B2" w:rsidRDefault="00000000">
            <w:pPr>
              <w:pStyle w:val="Compact"/>
            </w:pPr>
            <w:r>
              <w:t>Hypothesis: subject of coverage</w:t>
            </w:r>
          </w:p>
        </w:tc>
      </w:tr>
      <w:tr w:rsidR="007644B2" w14:paraId="1CDD2293" w14:textId="77777777">
        <w:tc>
          <w:tcPr>
            <w:tcW w:w="792" w:type="dxa"/>
          </w:tcPr>
          <w:p w14:paraId="1BFFD02D" w14:textId="77777777" w:rsidR="007644B2" w:rsidRDefault="00000000">
            <w:pPr>
              <w:pStyle w:val="Compact"/>
            </w:pPr>
            <w:r>
              <w:rPr>
                <w:b/>
                <w:bCs/>
              </w:rPr>
              <w:t>Warden</w:t>
            </w:r>
          </w:p>
        </w:tc>
        <w:tc>
          <w:tcPr>
            <w:tcW w:w="792" w:type="dxa"/>
          </w:tcPr>
          <w:p w14:paraId="3FE2178E" w14:textId="77777777" w:rsidR="007644B2" w:rsidRDefault="00000000">
            <w:pPr>
              <w:pStyle w:val="Compact"/>
            </w:pPr>
            <w:r>
              <w:t>—</w:t>
            </w:r>
          </w:p>
        </w:tc>
        <w:tc>
          <w:tcPr>
            <w:tcW w:w="792" w:type="dxa"/>
          </w:tcPr>
          <w:p w14:paraId="5FAE67D1" w14:textId="77777777" w:rsidR="007644B2" w:rsidRDefault="00000000">
            <w:pPr>
              <w:pStyle w:val="Compact"/>
            </w:pPr>
            <w:r>
              <w:t>Hypothesis</w:t>
            </w:r>
          </w:p>
        </w:tc>
        <w:tc>
          <w:tcPr>
            <w:tcW w:w="792" w:type="dxa"/>
          </w:tcPr>
          <w:p w14:paraId="40D1B6D6" w14:textId="77777777" w:rsidR="007644B2" w:rsidRDefault="00000000">
            <w:pPr>
              <w:pStyle w:val="Compact"/>
            </w:pPr>
            <w:r>
              <w:t>Hypothesis</w:t>
            </w:r>
          </w:p>
        </w:tc>
        <w:tc>
          <w:tcPr>
            <w:tcW w:w="792" w:type="dxa"/>
          </w:tcPr>
          <w:p w14:paraId="485FF786" w14:textId="77777777" w:rsidR="007644B2" w:rsidRDefault="00000000">
            <w:pPr>
              <w:pStyle w:val="Compact"/>
            </w:pPr>
            <w:r>
              <w:t>—</w:t>
            </w:r>
          </w:p>
        </w:tc>
        <w:tc>
          <w:tcPr>
            <w:tcW w:w="792" w:type="dxa"/>
          </w:tcPr>
          <w:p w14:paraId="24A7A9F8" w14:textId="77777777" w:rsidR="007644B2" w:rsidRDefault="00000000">
            <w:pPr>
              <w:pStyle w:val="Compact"/>
            </w:pPr>
            <w:r>
              <w:t>No relationship of any kind</w:t>
            </w:r>
          </w:p>
        </w:tc>
        <w:tc>
          <w:tcPr>
            <w:tcW w:w="792" w:type="dxa"/>
          </w:tcPr>
          <w:p w14:paraId="4F306436" w14:textId="77777777" w:rsidR="007644B2" w:rsidRDefault="00000000">
            <w:pPr>
              <w:pStyle w:val="Compact"/>
            </w:pPr>
            <w:r>
              <w:t>Authority (contracts)</w:t>
            </w:r>
          </w:p>
        </w:tc>
        <w:tc>
          <w:tcPr>
            <w:tcW w:w="792" w:type="dxa"/>
          </w:tcPr>
          <w:p w14:paraId="0E8152A6" w14:textId="77777777" w:rsidR="007644B2" w:rsidRDefault="00000000">
            <w:pPr>
              <w:pStyle w:val="Compact"/>
            </w:pPr>
            <w:r>
              <w:t>—</w:t>
            </w:r>
          </w:p>
        </w:tc>
        <w:tc>
          <w:tcPr>
            <w:tcW w:w="792" w:type="dxa"/>
          </w:tcPr>
          <w:p w14:paraId="124C546B" w14:textId="77777777" w:rsidR="007644B2" w:rsidRDefault="00000000">
            <w:pPr>
              <w:pStyle w:val="Compact"/>
            </w:pPr>
            <w:r>
              <w:t>—</w:t>
            </w:r>
          </w:p>
        </w:tc>
        <w:tc>
          <w:tcPr>
            <w:tcW w:w="792" w:type="dxa"/>
          </w:tcPr>
          <w:p w14:paraId="154F437F" w14:textId="77777777" w:rsidR="007644B2" w:rsidRDefault="00000000">
            <w:pPr>
              <w:pStyle w:val="Compact"/>
            </w:pPr>
            <w:r>
              <w:t>—</w:t>
            </w:r>
          </w:p>
        </w:tc>
      </w:tr>
      <w:tr w:rsidR="007644B2" w14:paraId="0C513BDD" w14:textId="77777777">
        <w:tc>
          <w:tcPr>
            <w:tcW w:w="792" w:type="dxa"/>
          </w:tcPr>
          <w:p w14:paraId="6A842729" w14:textId="77777777" w:rsidR="007644B2" w:rsidRDefault="00000000">
            <w:pPr>
              <w:pStyle w:val="Compact"/>
            </w:pPr>
            <w:r>
              <w:rPr>
                <w:b/>
                <w:bCs/>
              </w:rPr>
              <w:lastRenderedPageBreak/>
              <w:t>Vendors</w:t>
            </w:r>
          </w:p>
        </w:tc>
        <w:tc>
          <w:tcPr>
            <w:tcW w:w="792" w:type="dxa"/>
          </w:tcPr>
          <w:p w14:paraId="6ADF2DDA" w14:textId="77777777" w:rsidR="007644B2" w:rsidRDefault="00000000">
            <w:pPr>
              <w:pStyle w:val="Compact"/>
            </w:pPr>
            <w:r>
              <w:t>Payment, food/material</w:t>
            </w:r>
          </w:p>
        </w:tc>
        <w:tc>
          <w:tcPr>
            <w:tcW w:w="792" w:type="dxa"/>
          </w:tcPr>
          <w:p w14:paraId="0EEEFBDC" w14:textId="77777777" w:rsidR="007644B2" w:rsidRDefault="00000000">
            <w:pPr>
              <w:pStyle w:val="Compact"/>
            </w:pPr>
            <w:r>
              <w:t>Authority over</w:t>
            </w:r>
          </w:p>
        </w:tc>
        <w:tc>
          <w:tcPr>
            <w:tcW w:w="792" w:type="dxa"/>
          </w:tcPr>
          <w:p w14:paraId="0140DD8C" w14:textId="77777777" w:rsidR="007644B2" w:rsidRDefault="00000000">
            <w:pPr>
              <w:pStyle w:val="Compact"/>
            </w:pPr>
            <w:r>
              <w:t>Authority over, dependency</w:t>
            </w:r>
          </w:p>
        </w:tc>
        <w:tc>
          <w:tcPr>
            <w:tcW w:w="792" w:type="dxa"/>
          </w:tcPr>
          <w:p w14:paraId="3080074C" w14:textId="77777777" w:rsidR="007644B2" w:rsidRDefault="00000000">
            <w:pPr>
              <w:pStyle w:val="Compact"/>
            </w:pPr>
            <w:r>
              <w:t>Contract authority</w:t>
            </w:r>
          </w:p>
        </w:tc>
        <w:tc>
          <w:tcPr>
            <w:tcW w:w="792" w:type="dxa"/>
          </w:tcPr>
          <w:p w14:paraId="3AA4B45F" w14:textId="77777777" w:rsidR="007644B2" w:rsidRDefault="00000000">
            <w:pPr>
              <w:pStyle w:val="Compact"/>
            </w:pPr>
            <w:r>
              <w:t>—</w:t>
            </w:r>
          </w:p>
        </w:tc>
        <w:tc>
          <w:tcPr>
            <w:tcW w:w="792" w:type="dxa"/>
          </w:tcPr>
          <w:p w14:paraId="5BA8639C" w14:textId="77777777" w:rsidR="007644B2" w:rsidRDefault="00000000">
            <w:pPr>
              <w:pStyle w:val="Compact"/>
            </w:pPr>
            <w:r>
              <w:t>—</w:t>
            </w:r>
          </w:p>
        </w:tc>
        <w:tc>
          <w:tcPr>
            <w:tcW w:w="792" w:type="dxa"/>
          </w:tcPr>
          <w:p w14:paraId="660237A7" w14:textId="77777777" w:rsidR="007644B2" w:rsidRDefault="00000000">
            <w:pPr>
              <w:pStyle w:val="Compact"/>
            </w:pPr>
            <w:r>
              <w:t>Manages</w:t>
            </w:r>
          </w:p>
        </w:tc>
        <w:tc>
          <w:tcPr>
            <w:tcW w:w="792" w:type="dxa"/>
          </w:tcPr>
          <w:p w14:paraId="7E1DF5A7" w14:textId="77777777" w:rsidR="007644B2" w:rsidRDefault="00000000">
            <w:pPr>
              <w:pStyle w:val="Compact"/>
            </w:pPr>
            <w:r>
              <w:t>—</w:t>
            </w:r>
          </w:p>
        </w:tc>
        <w:tc>
          <w:tcPr>
            <w:tcW w:w="792" w:type="dxa"/>
          </w:tcPr>
          <w:p w14:paraId="5E660EC3" w14:textId="77777777" w:rsidR="007644B2" w:rsidRDefault="00000000">
            <w:pPr>
              <w:pStyle w:val="Compact"/>
            </w:pPr>
            <w:r>
              <w:t>—</w:t>
            </w:r>
          </w:p>
        </w:tc>
      </w:tr>
      <w:tr w:rsidR="007644B2" w14:paraId="3051CFE0" w14:textId="77777777">
        <w:tc>
          <w:tcPr>
            <w:tcW w:w="792" w:type="dxa"/>
          </w:tcPr>
          <w:p w14:paraId="23724BC7" w14:textId="77777777" w:rsidR="007644B2" w:rsidRDefault="00000000">
            <w:pPr>
              <w:pStyle w:val="Compact"/>
            </w:pPr>
            <w:r>
              <w:rPr>
                <w:b/>
                <w:bCs/>
              </w:rPr>
              <w:t>Mess Cell</w:t>
            </w:r>
          </w:p>
        </w:tc>
        <w:tc>
          <w:tcPr>
            <w:tcW w:w="792" w:type="dxa"/>
          </w:tcPr>
          <w:p w14:paraId="72D1D77F" w14:textId="77777777" w:rsidR="007644B2" w:rsidRDefault="00000000">
            <w:pPr>
              <w:pStyle w:val="Compact"/>
            </w:pPr>
            <w:r>
              <w:t>Payment, service, informal influence</w:t>
            </w:r>
          </w:p>
        </w:tc>
        <w:tc>
          <w:tcPr>
            <w:tcW w:w="792" w:type="dxa"/>
          </w:tcPr>
          <w:p w14:paraId="77452AE7" w14:textId="77777777" w:rsidR="007644B2" w:rsidRDefault="00000000">
            <w:pPr>
              <w:pStyle w:val="Compact"/>
            </w:pPr>
            <w:r>
              <w:t>—</w:t>
            </w:r>
          </w:p>
        </w:tc>
        <w:tc>
          <w:tcPr>
            <w:tcW w:w="792" w:type="dxa"/>
          </w:tcPr>
          <w:p w14:paraId="338BE537" w14:textId="77777777" w:rsidR="007644B2" w:rsidRDefault="00000000">
            <w:pPr>
              <w:pStyle w:val="Compact"/>
            </w:pPr>
            <w:r>
              <w:t>—</w:t>
            </w:r>
          </w:p>
        </w:tc>
        <w:tc>
          <w:tcPr>
            <w:tcW w:w="792" w:type="dxa"/>
          </w:tcPr>
          <w:p w14:paraId="18E54E38" w14:textId="77777777" w:rsidR="007644B2" w:rsidRDefault="00000000">
            <w:pPr>
              <w:pStyle w:val="Compact"/>
            </w:pPr>
            <w:r>
              <w:t>—</w:t>
            </w:r>
          </w:p>
        </w:tc>
        <w:tc>
          <w:tcPr>
            <w:tcW w:w="792" w:type="dxa"/>
          </w:tcPr>
          <w:p w14:paraId="2FF668A7" w14:textId="77777777" w:rsidR="007644B2" w:rsidRDefault="00000000">
            <w:pPr>
              <w:pStyle w:val="Compact"/>
            </w:pPr>
            <w:r>
              <w:t>—</w:t>
            </w:r>
          </w:p>
        </w:tc>
        <w:tc>
          <w:tcPr>
            <w:tcW w:w="792" w:type="dxa"/>
          </w:tcPr>
          <w:p w14:paraId="1B198BE3" w14:textId="77777777" w:rsidR="007644B2" w:rsidRDefault="00000000">
            <w:pPr>
              <w:pStyle w:val="Compact"/>
            </w:pPr>
            <w:r>
              <w:t>—</w:t>
            </w:r>
          </w:p>
        </w:tc>
        <w:tc>
          <w:tcPr>
            <w:tcW w:w="792" w:type="dxa"/>
          </w:tcPr>
          <w:p w14:paraId="3E18464D" w14:textId="77777777" w:rsidR="007644B2" w:rsidRDefault="00000000">
            <w:pPr>
              <w:pStyle w:val="Compact"/>
            </w:pPr>
            <w:r>
              <w:t>—</w:t>
            </w:r>
          </w:p>
        </w:tc>
        <w:tc>
          <w:tcPr>
            <w:tcW w:w="792" w:type="dxa"/>
          </w:tcPr>
          <w:p w14:paraId="444DD2B6" w14:textId="77777777" w:rsidR="007644B2" w:rsidRDefault="00000000">
            <w:pPr>
              <w:pStyle w:val="Compact"/>
            </w:pPr>
            <w:r>
              <w:t>—</w:t>
            </w:r>
          </w:p>
        </w:tc>
        <w:tc>
          <w:tcPr>
            <w:tcW w:w="792" w:type="dxa"/>
          </w:tcPr>
          <w:p w14:paraId="789968AE" w14:textId="77777777" w:rsidR="007644B2" w:rsidRDefault="00000000">
            <w:pPr>
              <w:pStyle w:val="Compact"/>
            </w:pPr>
            <w:r>
              <w:t>—</w:t>
            </w:r>
          </w:p>
        </w:tc>
      </w:tr>
    </w:tbl>
    <w:p w14:paraId="4DA0972C" w14:textId="77777777" w:rsidR="007644B2" w:rsidRDefault="00000000">
      <w:pPr>
        <w:pStyle w:val="BodyText"/>
      </w:pPr>
      <w:r>
        <w:t>The empty and no-relationship cells are as significant as the populated ones. Academic administration has no confirmed relationship of any kind to any of the three governance actors — a genuine structural gap, not a modeling omission, and the single most consequential finding in this map.</w:t>
      </w:r>
    </w:p>
    <w:p w14:paraId="24D441D0" w14:textId="77777777" w:rsidR="007644B2" w:rsidRDefault="00000000">
      <w:pPr>
        <w:pStyle w:val="Heading2"/>
      </w:pPr>
      <w:bookmarkStart w:id="22" w:name="dependencies"/>
      <w:bookmarkStart w:id="23" w:name="_Toc239627907"/>
      <w:bookmarkEnd w:id="20"/>
      <w:r>
        <w:t>Dependencies</w:t>
      </w:r>
      <w:bookmarkEnd w:id="23"/>
    </w:p>
    <w:p w14:paraId="7DED7F55" w14:textId="77777777" w:rsidR="007644B2" w:rsidRDefault="00000000">
      <w:pPr>
        <w:pStyle w:val="FirstParagraph"/>
      </w:pPr>
      <w:r>
        <w:t>Students depend on vendors for food quality and timing; vendors do not depend on any individual student — an asymmetric dependency consistent with a walk-in pricing structure that requires no negotiation. Vendors depend on the Mess Office for a registration forecast fixed four days ahead of service; the Mess Office depends on students to register accurately, but nothing in the billing structure requires accuracy, since a student is charged identically whether or not they attend — the weakest link in this dependency chain is also the one with no incentive attached to it. The Mess Committee depends on the Mess Office to execute policy; the Mess Office’s own stated motivation for its one confirmed policy change (reducing workload) did not visibly originate from or require Mess Committee direction, suggesting operational pressure may drive policy from below at least as often as governance drives it from above.</w:t>
      </w:r>
    </w:p>
    <w:p w14:paraId="1B3AD79E" w14:textId="77777777" w:rsidR="007644B2" w:rsidRDefault="00000000">
      <w:pPr>
        <w:pStyle w:val="BodyText"/>
      </w:pPr>
      <w:r>
        <w:t>Beyond the Academic administration gap already noted: no source describes a direct relationship between vendors and students — all communication routes through the Mess Office or the portal. No source describes the Portal/IT owner having any direct relationship with the Mess Committee, despite the Committee setting policy this system presumably enforces technically.</w:t>
      </w:r>
    </w:p>
    <w:p w14:paraId="3B6E85EA" w14:textId="77777777" w:rsidR="007644B2" w:rsidRDefault="00000000">
      <w:pPr>
        <w:pStyle w:val="Heading2"/>
      </w:pPr>
      <w:bookmarkStart w:id="24" w:name="conflicts"/>
      <w:bookmarkStart w:id="25" w:name="_Toc239627908"/>
      <w:bookmarkEnd w:id="22"/>
      <w:r>
        <w:t>Conflicts</w:t>
      </w:r>
      <w:bookmarkEnd w:id="25"/>
    </w:p>
    <w:tbl>
      <w:tblPr>
        <w:tblStyle w:val="Table"/>
        <w:tblW w:w="5000" w:type="pct"/>
        <w:tblLayout w:type="fixed"/>
        <w:tblLook w:val="0020" w:firstRow="1" w:lastRow="0" w:firstColumn="0" w:lastColumn="0" w:noHBand="0" w:noVBand="0"/>
      </w:tblPr>
      <w:tblGrid>
        <w:gridCol w:w="3192"/>
        <w:gridCol w:w="3192"/>
        <w:gridCol w:w="3192"/>
      </w:tblGrid>
      <w:tr w:rsidR="007644B2" w14:paraId="7D8F4C04" w14:textId="77777777" w:rsidTr="007644B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1440B8" w14:textId="77777777" w:rsidR="007644B2" w:rsidRDefault="00000000">
            <w:pPr>
              <w:pStyle w:val="Compact"/>
            </w:pPr>
            <w:r>
              <w:t>Conflict</w:t>
            </w:r>
          </w:p>
        </w:tc>
        <w:tc>
          <w:tcPr>
            <w:tcW w:w="2640" w:type="dxa"/>
          </w:tcPr>
          <w:p w14:paraId="16039D1A" w14:textId="77777777" w:rsidR="007644B2" w:rsidRDefault="00000000">
            <w:pPr>
              <w:pStyle w:val="Compact"/>
            </w:pPr>
            <w:r>
              <w:t>Side A</w:t>
            </w:r>
          </w:p>
        </w:tc>
        <w:tc>
          <w:tcPr>
            <w:tcW w:w="2640" w:type="dxa"/>
          </w:tcPr>
          <w:p w14:paraId="23AEA226" w14:textId="77777777" w:rsidR="007644B2" w:rsidRDefault="00000000">
            <w:pPr>
              <w:pStyle w:val="Compact"/>
            </w:pPr>
            <w:r>
              <w:t>Side B</w:t>
            </w:r>
          </w:p>
        </w:tc>
      </w:tr>
      <w:tr w:rsidR="007644B2" w14:paraId="788ED513" w14:textId="77777777">
        <w:tc>
          <w:tcPr>
            <w:tcW w:w="2640" w:type="dxa"/>
          </w:tcPr>
          <w:p w14:paraId="7D6428D7" w14:textId="77777777" w:rsidR="007644B2" w:rsidRDefault="00000000">
            <w:pPr>
              <w:pStyle w:val="Compact"/>
            </w:pPr>
            <w:r>
              <w:lastRenderedPageBreak/>
              <w:t>Billing certainty vs. attendance uncertainty</w:t>
            </w:r>
          </w:p>
        </w:tc>
        <w:tc>
          <w:tcPr>
            <w:tcW w:w="2640" w:type="dxa"/>
          </w:tcPr>
          <w:p w14:paraId="067FB5D2" w14:textId="77777777" w:rsidR="007644B2" w:rsidRDefault="00000000">
            <w:pPr>
              <w:pStyle w:val="Compact"/>
            </w:pPr>
            <w:r>
              <w:t>Mess Office and vendors need a stable number to order against, fixed four days ahead</w:t>
            </w:r>
          </w:p>
        </w:tc>
        <w:tc>
          <w:tcPr>
            <w:tcW w:w="2640" w:type="dxa"/>
          </w:tcPr>
          <w:p w14:paraId="6C6EFA8D" w14:textId="77777777" w:rsidR="007644B2" w:rsidRDefault="00000000">
            <w:pPr>
              <w:pStyle w:val="Compact"/>
            </w:pPr>
            <w:r>
              <w:t>Students face genuinely uncertain day-to-day attendance, with no incentive built into billing to report it accurately</w:t>
            </w:r>
          </w:p>
        </w:tc>
      </w:tr>
      <w:tr w:rsidR="007644B2" w14:paraId="5EEB9722" w14:textId="77777777">
        <w:tc>
          <w:tcPr>
            <w:tcW w:w="2640" w:type="dxa"/>
          </w:tcPr>
          <w:p w14:paraId="1A9142A6" w14:textId="77777777" w:rsidR="007644B2" w:rsidRDefault="00000000">
            <w:pPr>
              <w:pStyle w:val="Compact"/>
            </w:pPr>
            <w:r>
              <w:t>Flexibility vs. workload</w:t>
            </w:r>
          </w:p>
        </w:tc>
        <w:tc>
          <w:tcPr>
            <w:tcW w:w="2640" w:type="dxa"/>
          </w:tcPr>
          <w:p w14:paraId="51B6A0D0" w14:textId="77777777" w:rsidR="007644B2" w:rsidRDefault="00000000">
            <w:pPr>
              <w:pStyle w:val="Compact"/>
            </w:pPr>
            <w:r>
              <w:t>Students and the Mess Cell market want more cancellation and resale flexibility</w:t>
            </w:r>
          </w:p>
        </w:tc>
        <w:tc>
          <w:tcPr>
            <w:tcW w:w="2640" w:type="dxa"/>
          </w:tcPr>
          <w:p w14:paraId="6644227A" w14:textId="77777777" w:rsidR="007644B2" w:rsidRDefault="00000000">
            <w:pPr>
              <w:pStyle w:val="Compact"/>
            </w:pPr>
            <w:r>
              <w:t>The Mess Office’s one confirmed policy change tightened rules specifically to reduce staff workload</w:t>
            </w:r>
          </w:p>
        </w:tc>
      </w:tr>
      <w:tr w:rsidR="007644B2" w14:paraId="21580803" w14:textId="77777777">
        <w:tc>
          <w:tcPr>
            <w:tcW w:w="2640" w:type="dxa"/>
          </w:tcPr>
          <w:p w14:paraId="0F11D403" w14:textId="77777777" w:rsidR="007644B2" w:rsidRDefault="00000000">
            <w:pPr>
              <w:pStyle w:val="Compact"/>
            </w:pPr>
            <w:r>
              <w:t>Convenience vs. waste</w:t>
            </w:r>
          </w:p>
        </w:tc>
        <w:tc>
          <w:tcPr>
            <w:tcW w:w="2640" w:type="dxa"/>
          </w:tcPr>
          <w:p w14:paraId="39FF36B4" w14:textId="77777777" w:rsidR="007644B2" w:rsidRDefault="00000000">
            <w:pPr>
              <w:pStyle w:val="Compact"/>
            </w:pPr>
            <w:r>
              <w:t>Students want flexible registration</w:t>
            </w:r>
          </w:p>
        </w:tc>
        <w:tc>
          <w:tcPr>
            <w:tcW w:w="2640" w:type="dxa"/>
          </w:tcPr>
          <w:p w14:paraId="0EE27966" w14:textId="77777777" w:rsidR="007644B2" w:rsidRDefault="00000000">
            <w:pPr>
              <w:pStyle w:val="Compact"/>
            </w:pPr>
            <w:r>
              <w:t>The Mess Office wants predictable, low-workload ordering</w:t>
            </w:r>
          </w:p>
        </w:tc>
      </w:tr>
      <w:tr w:rsidR="007644B2" w14:paraId="34CA996E" w14:textId="77777777">
        <w:tc>
          <w:tcPr>
            <w:tcW w:w="2640" w:type="dxa"/>
          </w:tcPr>
          <w:p w14:paraId="49381948" w14:textId="77777777" w:rsidR="007644B2" w:rsidRDefault="00000000">
            <w:pPr>
              <w:pStyle w:val="Compact"/>
            </w:pPr>
            <w:r>
              <w:t>Cuisine demand vs. fixed procurement</w:t>
            </w:r>
          </w:p>
        </w:tc>
        <w:tc>
          <w:tcPr>
            <w:tcW w:w="2640" w:type="dxa"/>
          </w:tcPr>
          <w:p w14:paraId="082EAFDC" w14:textId="77777777" w:rsidR="007644B2" w:rsidRDefault="00000000">
            <w:pPr>
              <w:pStyle w:val="Compact"/>
            </w:pPr>
            <w:r>
              <w:t>Registered uptake is markedly lower at every North Indian line (Palash, Bakul) than at the South Indian line (Kadamba)</w:t>
            </w:r>
          </w:p>
        </w:tc>
        <w:tc>
          <w:tcPr>
            <w:tcW w:w="2640" w:type="dxa"/>
          </w:tcPr>
          <w:p w14:paraId="021D3017" w14:textId="77777777" w:rsidR="007644B2" w:rsidRDefault="00000000">
            <w:pPr>
              <w:pStyle w:val="Compact"/>
            </w:pPr>
            <w:r>
              <w:t>The four cuisine lines are fixed by vendor contract, not adjusted in response to demand</w:t>
            </w:r>
          </w:p>
        </w:tc>
      </w:tr>
      <w:tr w:rsidR="007644B2" w14:paraId="55BAB2D0" w14:textId="77777777">
        <w:tc>
          <w:tcPr>
            <w:tcW w:w="2640" w:type="dxa"/>
          </w:tcPr>
          <w:p w14:paraId="5B6CD7D8" w14:textId="77777777" w:rsidR="007644B2" w:rsidRDefault="00000000">
            <w:pPr>
              <w:pStyle w:val="Compact"/>
            </w:pPr>
            <w:r>
              <w:t>Academic schedule vs. meal schedule</w:t>
            </w:r>
          </w:p>
        </w:tc>
        <w:tc>
          <w:tcPr>
            <w:tcW w:w="2640" w:type="dxa"/>
          </w:tcPr>
          <w:p w14:paraId="79A163DD" w14:textId="77777777" w:rsidR="007644B2" w:rsidRDefault="00000000">
            <w:pPr>
              <w:pStyle w:val="Compact"/>
            </w:pPr>
            <w:r>
              <w:t>Academic administration owns class timing and holds no stake in mess outcomes</w:t>
            </w:r>
          </w:p>
        </w:tc>
        <w:tc>
          <w:tcPr>
            <w:tcW w:w="2640" w:type="dxa"/>
          </w:tcPr>
          <w:p w14:paraId="3F8112CA" w14:textId="77777777" w:rsidR="007644B2" w:rsidRDefault="00000000">
            <w:pPr>
              <w:pStyle w:val="Compact"/>
            </w:pPr>
            <w:r>
              <w:t>Students bear the actual cost of the 8:30 AM overlap with breakfast hours</w:t>
            </w:r>
          </w:p>
        </w:tc>
      </w:tr>
    </w:tbl>
    <w:p w14:paraId="766AB0D2" w14:textId="77777777" w:rsidR="007644B2" w:rsidRDefault="00000000">
      <w:pPr>
        <w:pStyle w:val="Heading1"/>
      </w:pPr>
      <w:bookmarkStart w:id="26" w:name="findings"/>
      <w:bookmarkStart w:id="27" w:name="_Toc239627909"/>
      <w:bookmarkEnd w:id="18"/>
      <w:bookmarkEnd w:id="24"/>
      <w:r>
        <w:t>Findings</w:t>
      </w:r>
      <w:bookmarkEnd w:id="27"/>
    </w:p>
    <w:p w14:paraId="760E71A1" w14:textId="77777777" w:rsidR="007644B2" w:rsidRDefault="00000000">
      <w:pPr>
        <w:pStyle w:val="FirstParagraph"/>
      </w:pPr>
      <w:r>
        <w:t>Twenty-seven candidate stakeholders were narrowed to seventeen through direct evidence rather than assumption; three lenses that might plausibly have produced a stakeholder — student health, senior-junior norm transmission, and a parental financial relationship — produced none.</w:t>
      </w:r>
    </w:p>
    <w:p w14:paraId="232A2BBF" w14:textId="77777777" w:rsidR="007644B2" w:rsidRDefault="00000000">
      <w:pPr>
        <w:pStyle w:val="BodyText"/>
      </w:pPr>
      <w:r>
        <w:t>The Mess Office is a distinct actor from the Mess Committee, separating “who decides policy” from “who executes it.” Every earlier account of this system’s governance, including this team’s own first drafts, had collapsed the two into one. The Mess Office places food orders on a four-day lead time, administers the registration platform, and issued the one confirmed policy change on record — driven by reducing staff workload, not a student-facing goal.</w:t>
      </w:r>
    </w:p>
    <w:p w14:paraId="23DCF469" w14:textId="77777777" w:rsidR="007644B2" w:rsidRDefault="00000000">
      <w:pPr>
        <w:pStyle w:val="BodyText"/>
      </w:pPr>
      <w:r>
        <w:t>Academic administration holds the single lever most likely to materially affect the core problem — the overlap between breakfast hours and the 8:30 AM class start — and has no relationship of any kind, formal or informal, to any of the three mess-governance actors. This is the clearest sleeping stakeholder in the map: total authority over the one variable in conflict, zero engagement with the system it conflicts with.</w:t>
      </w:r>
    </w:p>
    <w:p w14:paraId="6E99388F" w14:textId="77777777" w:rsidR="007644B2" w:rsidRDefault="00000000">
      <w:pPr>
        <w:pStyle w:val="BodyText"/>
      </w:pPr>
      <w:r>
        <w:lastRenderedPageBreak/>
        <w:t>Three real feedback channels exist — an in-app per-meal rating, a public email address, and coverage in Ping, the student publication — and none has a confirmed instance of producing a policy change. Inputs exist; a confirmed output does not.</w:t>
      </w:r>
    </w:p>
    <w:p w14:paraId="071BACAE" w14:textId="77777777" w:rsidR="007644B2" w:rsidRDefault="00000000">
      <w:pPr>
        <w:pStyle w:val="BodyText"/>
      </w:pPr>
      <w:r>
        <w:t>Registered attendance is markedly lower, relative to capacity, at every mess serving North Indian food than at the South Indian mess, a pattern consistent across three independently operated messes rather than one, making cuisine preference a stronger candidate explanation for the uptake gap than any single mess’s individual circumstances.</w:t>
      </w:r>
    </w:p>
    <w:p w14:paraId="4BBC43E3" w14:textId="77777777" w:rsidR="007644B2" w:rsidRDefault="00000000">
      <w:pPr>
        <w:pStyle w:val="BodyText"/>
      </w:pPr>
      <w:r>
        <w:t>The Mess Committee’s chair — reported in a secondhand, not directly verified source as a faculty member — is a second, more subtle candidate sleeping stakeholder if that report holds: an individual with cross-institutional standing that no student-only channel possesses, and a structurally plausible bridge to Academic administration, with no evidence that bridge has ever been used.</w:t>
      </w:r>
    </w:p>
    <w:p w14:paraId="1085298B" w14:textId="77777777" w:rsidR="007644B2" w:rsidRDefault="00000000">
      <w:pPr>
        <w:pStyle w:val="BodyText"/>
      </w:pPr>
      <w:r>
        <w:t>A directly verified addition since this map was first drawn: the Student Parliament maintains an elected Mess Secretary and a Mess Deputy Secretary for each mess (Kadamba, Palash, Yuktāhār), confirmed directly from the Parliament’s own published records — not a secondhand source. This is a real, structured channel of student representation that the three diagrams above do not yet depict; it belongs on the Internal ring alongside the Mess Committee, Mess Office, and Warden, and is carried forward into the Power–Interest/Leverage Map (Task 3) in full.</w:t>
      </w:r>
    </w:p>
    <w:p w14:paraId="5F97774F" w14:textId="77777777" w:rsidR="007644B2" w:rsidRDefault="00000000">
      <w:pPr>
        <w:pStyle w:val="BodyText"/>
      </w:pPr>
      <w:r>
        <w:t>Two structurally hidden actors carry outsized influence without being visible to any single respondent: the Portal/IT system owner, interacted with constantly and named by no one, and the four-day procurement lead time itself — not a person, but a fixed constraint that caps how responsive the entire system can be to any same-day signal, including Skip Meal, regardless of which stakeholder wants to act on it.</w:t>
      </w:r>
      <w:bookmarkEnd w:id="26"/>
    </w:p>
    <w:sectPr w:rsidR="007644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7CE2E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846554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644B2"/>
    <w:rsid w:val="003D052E"/>
    <w:rsid w:val="007644B2"/>
    <w:rsid w:val="00C2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76BD0"/>
  <w15:docId w15:val="{BDCA4D7E-D4F9-2247-996D-2E316F72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D052E"/>
    <w:pPr>
      <w:spacing w:after="100"/>
    </w:pPr>
  </w:style>
  <w:style w:type="paragraph" w:styleId="TOC2">
    <w:name w:val="toc 2"/>
    <w:basedOn w:val="Normal"/>
    <w:next w:val="Normal"/>
    <w:autoRedefine/>
    <w:uiPriority w:val="39"/>
    <w:rsid w:val="003D052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2779</Words>
  <Characters>15846</Characters>
  <Application>Microsoft Office Word</Application>
  <DocSecurity>0</DocSecurity>
  <Lines>132</Lines>
  <Paragraphs>37</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Map</dc:title>
  <dc:creator/>
  <cp:keywords/>
  <cp:lastModifiedBy>Peri Sri Charan</cp:lastModifiedBy>
  <cp:revision>2</cp:revision>
  <dcterms:created xsi:type="dcterms:W3CDTF">2026-09-06T17:03:00Z</dcterms:created>
  <dcterms:modified xsi:type="dcterms:W3CDTF">2026-09-06T17:44:00Z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