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45.png" ContentType="image/png"/>
  <Override PartName="/word/media/rId48.png" ContentType="image/png"/>
  <Override PartName="/word/media/rId24.png" ContentType="image/png"/>
  <Override PartName="/word/media/rId13.png" ContentType="image/png"/>
  <Override PartName="/word/media/rId51.png" ContentType="image/png"/>
  <Override PartName="/word/media/rId33.png" ContentType="image/png"/>
  <Override PartName="/word/media/rId36.png" ContentType="image/png"/>
  <Override PartName="/word/media/rId39.png" ContentType="image/png"/>
  <Override PartName="/word/media/rId42.png" ContentType="image/png"/>
  <Override PartName="/word/media/rId19.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System Map</w:t>
      </w:r>
    </w:p>
    <w:p>
      <w:pPr>
        <w:pStyle w:val="Subtitle"/>
      </w:pPr>
      <w:r>
        <w:t xml:space="preserve">IIIT Hyderabad Breakfast Mess System</w:t>
      </w:r>
    </w:p>
    <w:bookmarkStart w:id="9" w:name="overview"/>
    <w:p>
      <w:pPr>
        <w:pStyle w:val="Heading1"/>
      </w:pPr>
      <w:r>
        <w:t xml:space="preserve">Overview</w:t>
      </w:r>
    </w:p>
    <w:p>
      <w:pPr>
        <w:pStyle w:val="FirstParagraph"/>
      </w:pPr>
      <w:r>
        <w:t xml:space="preserve">This map lays out who is involved in the breakfast mess system, how registration turns into food on a plate, what resources and rules shape that process, and where the system visibly strains. It draws on a Campus Facilities Services Chair interview, a walkthrough of the Kadamba kitchen, four dining service posters, and student interviews. Every claim is marked confirmed, single sourced, candidate, or assumed, the same way as the rest of this project’s work: confirmed means a named source stated it directly, single sourced means one account only, candidate means a reasonable but unverified mechanism, and assumed means a systems thinking judgment offered honestly rather than as fact.</w:t>
      </w:r>
    </w:p>
    <w:p>
      <w:pPr>
        <w:pStyle w:val="BodyText"/>
      </w:pPr>
      <w:r>
        <w:t xml:space="preserve">The clearest finding in this map: the institution has already run a version of this system where billing tracks who actually shows up instead of who registered, and it worked. That gets covered in detail further down, but it shapes how almost everything else here should be read.</w:t>
      </w:r>
    </w:p>
    <w:bookmarkEnd w:id="9"/>
    <w:bookmarkStart w:id="16" w:name="actors-process-resources-and-constraints"/>
    <w:p>
      <w:pPr>
        <w:pStyle w:val="Heading1"/>
      </w:pPr>
      <w:r>
        <w:t xml:space="preserve">Actors, Process, Resources and Constraints</w:t>
      </w:r>
    </w:p>
    <w:p>
      <w:pPr>
        <w:pStyle w:val="FirstParagraph"/>
      </w:pPr>
      <w:r>
        <w:t xml:space="preserve">Students are the registrant, the billed party, and the one eating. Separately, interns need a mandatory Food Card, and faculty and staff can get one too, billed against salary rather than a prepaid balance. Campus Facilities Services sits above Campus Dining Services, which has its own structure underneath it: a CDS Chair (Giri, not yet interviewed for this project), a CDS Committee made up of faculty with final say, a CDS Student Council that proposes changes and does first review, and one admin per dining hall. A CFS Head handles low intensity feedback directly, without needing committee involvement. Catering is outsourced through open tender. Academic administration sets the class schedule and has no formal role in mess governance at all. Students also run an informal resale market through a WhatsApp group known as Mess Cell.</w:t>
      </w:r>
    </w:p>
    <w:p>
      <w:pPr>
        <w:pStyle w:val="BodyText"/>
      </w:pPr>
      <w:r>
        <w:t xml:space="preserve">Three other groups matter here that hadn’t been mapped before. Faculty and early shift ground, security, and housekeeping staff are a real but uncounted demand stream on the same food supply, this is assumed rather than confirmed. The Canine Council, a real student body that feeds and manages the campus’s community dogs, plausibly absorbs some kitchen waste informally, also assumed. And the vendors and suppliers upstream of the kitchen are a real part of the system, not just an invisible box labeled</w:t>
      </w:r>
      <w:r>
        <w:t xml:space="preserve"> </w:t>
      </w:r>
      <w:r>
        <w:t xml:space="preserve">“kitchen.”</w:t>
      </w:r>
    </w:p>
    <w:p>
      <w:pPr>
        <w:pStyle w:val="BodyText"/>
      </w:pPr>
      <w:r>
        <w:t xml:space="preserve">One thing worth flagging honestly rather than guessing at: whether</w:t>
      </w:r>
      <w:r>
        <w:t xml:space="preserve"> </w:t>
      </w:r>
      <w:r>
        <w:t xml:space="preserve">“CDS,”</w:t>
      </w:r>
      <w:r>
        <w:t xml:space="preserve"> </w:t>
      </w:r>
      <w:r>
        <w:t xml:space="preserve">“CDS Committee,”</w:t>
      </w:r>
      <w:r>
        <w:t xml:space="preserve"> </w:t>
      </w:r>
      <w:r>
        <w:t xml:space="preserve">and</w:t>
      </w:r>
      <w:r>
        <w:t xml:space="preserve"> </w:t>
      </w:r>
      <w:r>
        <w:t xml:space="preserve">“CDS Student Council”</w:t>
      </w:r>
      <w:r>
        <w:t xml:space="preserve"> </w:t>
      </w:r>
      <w:r>
        <w:t xml:space="preserve">are the same bodies that earlier phases of this project called</w:t>
      </w:r>
      <w:r>
        <w:t xml:space="preserve"> </w:t>
      </w:r>
      <w:r>
        <w:t xml:space="preserve">“Mess Office,”</w:t>
      </w:r>
      <w:r>
        <w:t xml:space="preserve"> </w:t>
      </w:r>
      <w:r>
        <w:t xml:space="preserve">“Mess Committee,”</w:t>
      </w:r>
      <w:r>
        <w:t xml:space="preserve"> </w:t>
      </w:r>
      <w:r>
        <w:t xml:space="preserve">and</w:t>
      </w:r>
      <w:r>
        <w:t xml:space="preserve"> </w:t>
      </w:r>
      <w:r>
        <w:t xml:space="preserve">“Student Parliament,”</w:t>
      </w:r>
      <w:r>
        <w:t xml:space="preserve"> </w:t>
      </w:r>
      <w:r>
        <w:t xml:space="preserve">or whether they’re genuinely different, is not resolved. Same for whether</w:t>
      </w:r>
      <w:r>
        <w:t xml:space="preserve"> </w:t>
      </w:r>
      <w:r>
        <w:t xml:space="preserve">“Warden,”</w:t>
      </w:r>
      <w:r>
        <w:t xml:space="preserve"> </w:t>
      </w:r>
      <w:r>
        <w:t xml:space="preserve">named earlier as the owner of vendor management, is actually the same role as CFS. Both are flagged as open questions, not settled either way.</w:t>
      </w:r>
    </w:p>
    <w:p>
      <w:pPr>
        <w:pStyle w:val="BodyText"/>
      </w:pPr>
      <w:r>
        <w:t xml:space="preserve">Registration happens monthly, four days ahead of time, and billing runs off how many people registered rather than who showed up. That four day lock feeds the vendor’s ordering, so nothing about a specific morning can change what gets bought. There’s a separate, later stage though: how much of the ordered stock actually gets cooked for a given service can still shift based on same week Skip Meal declarations, confirmed directly this pass. So the system has a bit more room to adjust than a single hard freeze would suggest, it just kicks in one step later than the actual ordering. A weekly stock check, driven by consumption trends, sits between ordering and cooking: high turnover items like paneer, egg, and chicken run above ninety percent turnout, general items run around seventy percent, and breakfast specifically runs somewhere between thirty five and forty five percent. The service window itself runs from 7:30 to 9:30 in the morning, with about eighty percent of students arriving around 9:20, entry closing at 9:30, and food staying out for refills until 10:00.</w:t>
      </w:r>
    </w:p>
    <w:p>
      <w:pPr>
        <w:pStyle w:val="BodyText"/>
      </w:pPr>
      <w:r>
        <w:t xml:space="preserve">A student who never registers at all still gets automatically assigned a vegetarian meal somewhere, rather than defaulting to nothing. Exemptions exist for internships, PhD students, and long term medical need, though the monthly infrastructure fee still applies to exempted students since it funds shared infrastructure rather than individual meals. Walking in without registering is deliberately made harder near the end of a billing cycle, specifically to protect food for people who did register.</w:t>
      </w:r>
    </w:p>
    <w:p>
      <w:pPr>
        <w:pStyle w:val="BodyText"/>
      </w:pPr>
      <w:r>
        <w:t xml:space="preserve">The registration platform is named as dining.iiit.ac.in on three of the four posters checked, but as mess.iiit.ac.in on the bottom of a fourth. That’s a real inconsistency on the institution’s own signage, not a mistake made while writing this document. The personal QR code used for access can be regenerated if compromised, and the old one is invalidated the moment a new one is issued. There are four physically separate dining halls and kitchens, detailed below. Kadamba’s on site kitchen runs a roti line, a machine that cooks multiple items while keeping vegetarian and non vegetarian food physically apart, a tilting steaming unit, and cold and dry storage run by one person on a first in first out basis, with nobody named as backup.</w:t>
      </w:r>
    </w:p>
    <w:p>
      <w:pPr>
        <w:pStyle w:val="BodyText"/>
      </w:pPr>
      <w:r>
        <w:rPr>
          <w:b/>
          <w:bCs/>
        </w:rPr>
        <w:t xml:space="preserve">Dining halls, from the CDS overview poster: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Dining Hall</w:t>
            </w:r>
          </w:p>
        </w:tc>
        <w:tc>
          <w:tcPr/>
          <w:p>
            <w:pPr>
              <w:pStyle w:val="Compact"/>
            </w:pPr>
            <w:r>
              <w:t xml:space="preserve">Capacity</w:t>
            </w:r>
          </w:p>
        </w:tc>
        <w:tc>
          <w:tcPr/>
          <w:p>
            <w:pPr>
              <w:pStyle w:val="Compact"/>
            </w:pPr>
            <w:r>
              <w:t xml:space="preserve">Cuisine</w:t>
            </w:r>
          </w:p>
        </w:tc>
        <w:tc>
          <w:tcPr/>
          <w:p>
            <w:pPr>
              <w:pStyle w:val="Compact"/>
            </w:pPr>
            <w:r>
              <w:t xml:space="preserve">Dining Type</w:t>
            </w:r>
          </w:p>
        </w:tc>
        <w:tc>
          <w:tcPr/>
          <w:p>
            <w:pPr>
              <w:pStyle w:val="Compact"/>
            </w:pPr>
            <w:r>
              <w:t xml:space="preserve">Kitchen</w:t>
            </w:r>
          </w:p>
        </w:tc>
      </w:tr>
      <w:tr>
        <w:tc>
          <w:tcPr/>
          <w:p>
            <w:pPr>
              <w:pStyle w:val="Compact"/>
            </w:pPr>
            <w:r>
              <w:t xml:space="preserve">Kadamba</w:t>
            </w:r>
          </w:p>
        </w:tc>
        <w:tc>
          <w:tcPr/>
          <w:p>
            <w:pPr>
              <w:pStyle w:val="Compact"/>
            </w:pPr>
            <w:r>
              <w:t xml:space="preserve">1200</w:t>
            </w:r>
          </w:p>
        </w:tc>
        <w:tc>
          <w:tcPr/>
          <w:p>
            <w:pPr>
              <w:pStyle w:val="Compact"/>
            </w:pPr>
            <w:r>
              <w:t xml:space="preserve">South Indian</w:t>
            </w:r>
          </w:p>
        </w:tc>
        <w:tc>
          <w:tcPr/>
          <w:p>
            <w:pPr>
              <w:pStyle w:val="Compact"/>
            </w:pPr>
            <w:r>
              <w:t xml:space="preserve">Mixed</w:t>
            </w:r>
          </w:p>
        </w:tc>
        <w:tc>
          <w:tcPr/>
          <w:p>
            <w:pPr>
              <w:pStyle w:val="Compact"/>
            </w:pPr>
            <w:r>
              <w:t xml:space="preserve">On site, automated</w:t>
            </w:r>
          </w:p>
        </w:tc>
      </w:tr>
      <w:tr>
        <w:tc>
          <w:tcPr/>
          <w:p>
            <w:pPr>
              <w:pStyle w:val="Compact"/>
            </w:pPr>
            <w:r>
              <w:t xml:space="preserve">Bakul</w:t>
            </w:r>
          </w:p>
        </w:tc>
        <w:tc>
          <w:tcPr/>
          <w:p>
            <w:pPr>
              <w:pStyle w:val="Compact"/>
            </w:pPr>
            <w:r>
              <w:t xml:space="preserve">750</w:t>
            </w:r>
          </w:p>
        </w:tc>
        <w:tc>
          <w:tcPr/>
          <w:p>
            <w:pPr>
              <w:pStyle w:val="Compact"/>
            </w:pPr>
            <w:r>
              <w:t xml:space="preserve">North Indian</w:t>
            </w:r>
          </w:p>
        </w:tc>
        <w:tc>
          <w:tcPr/>
          <w:p>
            <w:pPr>
              <w:pStyle w:val="Compact"/>
            </w:pPr>
            <w:r>
              <w:t xml:space="preserve">Mixed</w:t>
            </w:r>
          </w:p>
        </w:tc>
        <w:tc>
          <w:tcPr/>
          <w:p>
            <w:pPr>
              <w:pStyle w:val="Compact"/>
            </w:pPr>
            <w:r>
              <w:t xml:space="preserve">Off site, shared with Palash for now</w:t>
            </w:r>
          </w:p>
        </w:tc>
      </w:tr>
      <w:tr>
        <w:tc>
          <w:tcPr/>
          <w:p>
            <w:pPr>
              <w:pStyle w:val="Compact"/>
            </w:pPr>
            <w:r>
              <w:t xml:space="preserve">Palash</w:t>
            </w:r>
          </w:p>
        </w:tc>
        <w:tc>
          <w:tcPr/>
          <w:p>
            <w:pPr>
              <w:pStyle w:val="Compact"/>
            </w:pPr>
            <w:r>
              <w:t xml:space="preserve">450</w:t>
            </w:r>
          </w:p>
        </w:tc>
        <w:tc>
          <w:tcPr/>
          <w:p>
            <w:pPr>
              <w:pStyle w:val="Compact"/>
            </w:pPr>
            <w:r>
              <w:t xml:space="preserve">North Indian</w:t>
            </w:r>
          </w:p>
        </w:tc>
        <w:tc>
          <w:tcPr/>
          <w:p>
            <w:pPr>
              <w:pStyle w:val="Compact"/>
            </w:pPr>
            <w:r>
              <w:t xml:space="preserve">Vegetarian</w:t>
            </w:r>
          </w:p>
        </w:tc>
        <w:tc>
          <w:tcPr/>
          <w:p>
            <w:pPr>
              <w:pStyle w:val="Compact"/>
            </w:pPr>
            <w:r>
              <w:t xml:space="preserve">Off site, under construction</w:t>
            </w:r>
          </w:p>
        </w:tc>
      </w:tr>
      <w:tr>
        <w:tc>
          <w:tcPr/>
          <w:p>
            <w:pPr>
              <w:pStyle w:val="Compact"/>
            </w:pPr>
            <w:r>
              <w:t xml:space="preserve">Yuktahar</w:t>
            </w:r>
          </w:p>
        </w:tc>
        <w:tc>
          <w:tcPr/>
          <w:p>
            <w:pPr>
              <w:pStyle w:val="Compact"/>
            </w:pPr>
            <w:r>
              <w:t xml:space="preserve">350</w:t>
            </w:r>
          </w:p>
        </w:tc>
        <w:tc>
          <w:tcPr/>
          <w:p>
            <w:pPr>
              <w:pStyle w:val="Compact"/>
            </w:pPr>
            <w:r>
              <w:t xml:space="preserve">Satvik and Jain</w:t>
            </w:r>
          </w:p>
        </w:tc>
        <w:tc>
          <w:tcPr/>
          <w:p>
            <w:pPr>
              <w:pStyle w:val="Compact"/>
            </w:pPr>
            <w:r>
              <w:t xml:space="preserve">Vegetarian</w:t>
            </w:r>
          </w:p>
        </w:tc>
        <w:tc>
          <w:tcPr/>
          <w:p>
            <w:pPr>
              <w:pStyle w:val="Compact"/>
            </w:pPr>
            <w:r>
              <w:t xml:space="preserve">On site, manual</w:t>
            </w:r>
          </w:p>
        </w:tc>
      </w:tr>
    </w:tbl>
    <w:p>
      <w:pPr>
        <w:pStyle w:val="BodyText"/>
      </w:pPr>
      <w:r>
        <w:t xml:space="preserve">Bakul and Palash were earlier thought to be one converted warehouse with food shipped in from the other. That turned out to be wrong. Palash is currently under construction and isn’t cooking on site at all right now. Both it and Bakul are served from one outside vendor until a new shared kitchen, expected around December 2026, opens. Worth remembering this is a system mid transition, not a fixed structure.</w:t>
      </w:r>
    </w:p>
    <w:p>
      <w:pPr>
        <w:pStyle w:val="BodyText"/>
      </w:pPr>
      <w:r>
        <w:t xml:space="preserve">There’s also an unresolved gap between two numbers for Kadamba’s capacity. The poster lists 1200. A separate interview mentions 420 seats against a stated 1,200 turnout, with a 1 to 3 ratio maintained on purpose. These are probably two different things, registration capacity versus physical seats, but that’s a guess, not a confirmed fact. If 420 really is the seat count, that alone would explain crowding during any high demand meal.</w:t>
      </w:r>
    </w:p>
    <w:p>
      <w:pPr>
        <w:pStyle w:val="BodyText"/>
      </w:pPr>
      <w:r>
        <w:rPr>
          <w:b/>
          <w:bCs/>
        </w:rPr>
        <w:t xml:space="preserve">Meal prices in rupees, the confirmed three tier structure: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Student rate</w:t>
            </w:r>
          </w:p>
        </w:tc>
        <w:tc>
          <w:tcPr/>
          <w:p>
            <w:pPr>
              <w:pStyle w:val="Compact"/>
            </w:pPr>
            <w:r>
              <w:t xml:space="preserve">Card rate</w:t>
            </w:r>
          </w:p>
        </w:tc>
        <w:tc>
          <w:tcPr/>
          <w:p>
            <w:pPr>
              <w:pStyle w:val="Compact"/>
            </w:pPr>
            <w:r>
              <w:t xml:space="preserve">Walk-in rate</w:t>
            </w:r>
          </w:p>
        </w:tc>
      </w:tr>
      <w:tr>
        <w:tc>
          <w:tcPr/>
          <w:p>
            <w:pPr>
              <w:pStyle w:val="Compact"/>
            </w:pPr>
            <w:r>
              <w:t xml:space="preserve">Veg Breakfast</w:t>
            </w:r>
          </w:p>
        </w:tc>
        <w:tc>
          <w:tcPr/>
          <w:p>
            <w:pPr>
              <w:pStyle w:val="Compact"/>
            </w:pPr>
            <w:r>
              <w:t xml:space="preserve">48</w:t>
            </w:r>
          </w:p>
        </w:tc>
        <w:tc>
          <w:tcPr/>
          <w:p>
            <w:pPr>
              <w:pStyle w:val="Compact"/>
            </w:pPr>
            <w:r>
              <w:t xml:space="preserve">55</w:t>
            </w:r>
          </w:p>
        </w:tc>
        <w:tc>
          <w:tcPr/>
          <w:p>
            <w:pPr>
              <w:pStyle w:val="Compact"/>
            </w:pPr>
            <w:r>
              <w:t xml:space="preserve">81</w:t>
            </w:r>
          </w:p>
        </w:tc>
      </w:tr>
      <w:tr>
        <w:tc>
          <w:tcPr/>
          <w:p>
            <w:pPr>
              <w:pStyle w:val="Compact"/>
            </w:pPr>
            <w:r>
              <w:t xml:space="preserve">Double Egg Breakfast</w:t>
            </w:r>
          </w:p>
        </w:tc>
        <w:tc>
          <w:tcPr/>
          <w:p>
            <w:pPr>
              <w:pStyle w:val="Compact"/>
            </w:pPr>
            <w:r>
              <w:t xml:space="preserve">66</w:t>
            </w:r>
          </w:p>
        </w:tc>
        <w:tc>
          <w:tcPr/>
          <w:p>
            <w:pPr>
              <w:pStyle w:val="Compact"/>
            </w:pPr>
            <w:r>
              <w:t xml:space="preserve">76</w:t>
            </w:r>
          </w:p>
        </w:tc>
        <w:tc>
          <w:tcPr/>
          <w:p>
            <w:pPr>
              <w:pStyle w:val="Compact"/>
            </w:pPr>
            <w:r>
              <w:t xml:space="preserve">111</w:t>
            </w:r>
          </w:p>
        </w:tc>
      </w:tr>
      <w:tr>
        <w:tc>
          <w:tcPr/>
          <w:p>
            <w:pPr>
              <w:pStyle w:val="Compact"/>
            </w:pPr>
            <w:r>
              <w:t xml:space="preserve">Veg Lunch</w:t>
            </w:r>
          </w:p>
        </w:tc>
        <w:tc>
          <w:tcPr/>
          <w:p>
            <w:pPr>
              <w:pStyle w:val="Compact"/>
            </w:pPr>
            <w:r>
              <w:t xml:space="preserve">65</w:t>
            </w:r>
          </w:p>
        </w:tc>
        <w:tc>
          <w:tcPr/>
          <w:p>
            <w:pPr>
              <w:pStyle w:val="Compact"/>
            </w:pPr>
            <w:r>
              <w:t xml:space="preserve">75</w:t>
            </w:r>
          </w:p>
        </w:tc>
        <w:tc>
          <w:tcPr/>
          <w:p>
            <w:pPr>
              <w:pStyle w:val="Compact"/>
            </w:pPr>
            <w:r>
              <w:t xml:space="preserve">111</w:t>
            </w:r>
          </w:p>
        </w:tc>
      </w:tr>
      <w:tr>
        <w:tc>
          <w:tcPr/>
          <w:p>
            <w:pPr>
              <w:pStyle w:val="Compact"/>
            </w:pPr>
            <w:r>
              <w:t xml:space="preserve">Veg Dinner</w:t>
            </w:r>
          </w:p>
        </w:tc>
        <w:tc>
          <w:tcPr/>
          <w:p>
            <w:pPr>
              <w:pStyle w:val="Compact"/>
            </w:pPr>
            <w:r>
              <w:t xml:space="preserve">65</w:t>
            </w:r>
          </w:p>
        </w:tc>
        <w:tc>
          <w:tcPr/>
          <w:p>
            <w:pPr>
              <w:pStyle w:val="Compact"/>
            </w:pPr>
            <w:r>
              <w:t xml:space="preserve">75</w:t>
            </w:r>
          </w:p>
        </w:tc>
        <w:tc>
          <w:tcPr/>
          <w:p>
            <w:pPr>
              <w:pStyle w:val="Compact"/>
            </w:pPr>
            <w:r>
              <w:t xml:space="preserve">111</w:t>
            </w:r>
          </w:p>
        </w:tc>
      </w:tr>
      <w:tr>
        <w:tc>
          <w:tcPr/>
          <w:p>
            <w:pPr>
              <w:pStyle w:val="Compact"/>
            </w:pPr>
            <w:r>
              <w:t xml:space="preserve">Chicken Biryani Lunch</w:t>
            </w:r>
          </w:p>
        </w:tc>
        <w:tc>
          <w:tcPr/>
          <w:p>
            <w:pPr>
              <w:pStyle w:val="Compact"/>
            </w:pPr>
            <w:r>
              <w:t xml:space="preserve">155</w:t>
            </w:r>
          </w:p>
        </w:tc>
        <w:tc>
          <w:tcPr/>
          <w:p>
            <w:pPr>
              <w:pStyle w:val="Compact"/>
            </w:pPr>
            <w:r>
              <w:t xml:space="preserve">178</w:t>
            </w:r>
          </w:p>
        </w:tc>
        <w:tc>
          <w:tcPr/>
          <w:p>
            <w:pPr>
              <w:pStyle w:val="Compact"/>
            </w:pPr>
            <w:r>
              <w:t xml:space="preserve">263</w:t>
            </w:r>
          </w:p>
        </w:tc>
      </w:tr>
    </w:tbl>
    <w:p>
      <w:pPr>
        <w:pStyle w:val="BodyText"/>
      </w:pPr>
      <w:r>
        <w:t xml:space="preserve">The student rate only applies if the meal was registered in advance. Anyone who shows up unregistered, even a student, pays the walk-in rate instead, which is seventy to ninety percent higher. That’s a real financial nudge toward registering, and it exists alongside, not instead of, the low breakfast turnout this whole project is trying to explain.</w:t>
      </w:r>
    </w:p>
    <w:p>
      <w:pPr>
        <w:pStyle w:val="CaptionedFigure"/>
      </w:pPr>
      <w:r>
        <w:drawing>
          <wp:inline>
            <wp:extent cx="5334000" cy="3789947"/>
            <wp:effectExtent b="0" l="0" r="0" t="0"/>
            <wp:docPr descr="System Map" title="" id="11" name="Picture"/>
            <a:graphic>
              <a:graphicData uri="http://schemas.openxmlformats.org/drawingml/2006/picture">
                <pic:pic>
                  <pic:nvPicPr>
                    <pic:cNvPr descr="assets/diagram1-system-map.png" id="12" name="Picture"/>
                    <pic:cNvPicPr>
                      <a:picLocks noChangeArrowheads="1" noChangeAspect="1"/>
                    </pic:cNvPicPr>
                  </pic:nvPicPr>
                  <pic:blipFill>
                    <a:blip r:embed="rId10"/>
                    <a:stretch>
                      <a:fillRect/>
                    </a:stretch>
                  </pic:blipFill>
                  <pic:spPr bwMode="auto">
                    <a:xfrm>
                      <a:off x="0" y="0"/>
                      <a:ext cx="5334000" cy="3789947"/>
                    </a:xfrm>
                    <a:prstGeom prst="rect">
                      <a:avLst/>
                    </a:prstGeom>
                    <a:noFill/>
                    <a:ln w="9525">
                      <a:noFill/>
                      <a:headEnd/>
                      <a:tailEnd/>
                    </a:ln>
                  </pic:spPr>
                </pic:pic>
              </a:graphicData>
            </a:graphic>
          </wp:inline>
        </w:drawing>
      </w:r>
    </w:p>
    <w:p>
      <w:pPr>
        <w:pStyle w:val="ImageCaption"/>
      </w:pPr>
      <w:r>
        <w:t xml:space="preserve">System Map</w:t>
      </w:r>
    </w:p>
    <w:p>
      <w:pPr>
        <w:pStyle w:val="BodyText"/>
      </w:pPr>
      <w:r>
        <w:t xml:space="preserve">The vendor and kitchen sit as one box in that diagram because it’s the right level of detail for tracing what a registration turns into on the student side. It isn’t a black box out of ignorance. What’s actually behind it is shown next.</w:t>
      </w:r>
    </w:p>
    <w:p>
      <w:pPr>
        <w:pStyle w:val="CaptionedFigure"/>
      </w:pPr>
      <w:r>
        <w:drawing>
          <wp:inline>
            <wp:extent cx="5334000" cy="3733800"/>
            <wp:effectExtent b="0" l="0" r="0" t="0"/>
            <wp:docPr descr="Kitchen and Supply Subsystem" title="" id="14" name="Picture"/>
            <a:graphic>
              <a:graphicData uri="http://schemas.openxmlformats.org/drawingml/2006/picture">
                <pic:pic>
                  <pic:nvPicPr>
                    <pic:cNvPr descr="assets/diagram13-kitchen-supply-subsystem.png" id="15" name="Picture"/>
                    <pic:cNvPicPr>
                      <a:picLocks noChangeArrowheads="1" noChangeAspect="1"/>
                    </pic:cNvPicPr>
                  </pic:nvPicPr>
                  <pic:blipFill>
                    <a:blip r:embed="rId13"/>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Kitchen and Supply Subsystem</w:t>
      </w:r>
    </w:p>
    <w:p>
      <w:pPr>
        <w:pStyle w:val="BodyText"/>
      </w:pPr>
      <w:r>
        <w:t xml:space="preserve">Four things interact around Kadamba’s kitchen specifically: the supply chain feeding it, the equipment used to prepare food, the inventory management, and waste and food safety. Yuktahar, Bakul, and Palash each run structurally different versions of some or all of this, covered next.</w:t>
      </w:r>
    </w:p>
    <w:bookmarkEnd w:id="16"/>
    <w:bookmarkStart w:id="17" w:name="three-kitchens-not-one"/>
    <w:p>
      <w:pPr>
        <w:pStyle w:val="Heading1"/>
      </w:pPr>
      <w:r>
        <w:t xml:space="preserve">Three Kitchens, Not One</w:t>
      </w:r>
    </w:p>
    <w:p>
      <w:pPr>
        <w:pStyle w:val="FirstParagraph"/>
      </w:pPr>
      <w:r>
        <w:t xml:space="preserve">Kadamba runs food off the live floor, using machines, and portions it into individual containers before serving, nobody sees it cooked. Yuktahar cooks manually and live, rotis and breads made fresh in front of students, and it runs separate Jain and pure vegetarian lines that Kadamba doesn’t offer. Palash right now cooks nothing on site, it and Bakul are both served from the same outside vendor. These are three separate systems, and a finding drawn from one, whether about turnout, waste, or quality, shouldn’t be assumed to apply to the others.</w:t>
      </w:r>
    </w:p>
    <w:p>
      <w:pPr>
        <w:pStyle w:val="BodyText"/>
      </w:pPr>
      <w:r>
        <w:t xml:space="preserve">When a delivered ingredient is bad or missing, the kitchen substitutes from whatever’s in storage and posts about the swap afterward in a student facing WhatsApp group, this is a reasonable guess based on how mess communication normally works, not something directly confirmed. Leftover dal becoming the next meal’s sambar base is the same kind of resourceful substitution, not evidence of anything being wrong.</w:t>
      </w:r>
    </w:p>
    <w:p>
      <w:pPr>
        <w:pStyle w:val="BodyText"/>
      </w:pPr>
      <w:r>
        <w:t xml:space="preserve">It’s a reasonable guess that a fixed per student fee caps what any vendor contract can actually pay for ingredients, meaning a narrower menu on a tight day is a rational response to a budget limit, not carelessness. Kadamba’s automated setup likely has lower labor costs and higher upfront equipment costs than Yuktahar’s manual model, which probably makes Kadamba’s economics favor steady, predictable volume, something registration based billing conveniently guarantees regardless of who actually shows up. That’s worth naming plainly: billing decoupled from attendance may not just be an oversight on the governance side, it might also quietly suit the vendor.</w:t>
      </w:r>
    </w:p>
    <w:p>
      <w:pPr>
        <w:pStyle w:val="BodyText"/>
      </w:pPr>
      <w:r>
        <w:t xml:space="preserve">The most likely reason popular items run out isn’t a deliberate under cook policy. It’s more likely that portions are set using one average consumption number applied the same way across every item, and that assumption fails exactly on the days it matters most, since a high demand item like biryani draws more than any average would predict.</w:t>
      </w:r>
    </w:p>
    <w:bookmarkEnd w:id="17"/>
    <w:bookmarkStart w:id="18" w:name="waste-environment-and-the-dogs"/>
    <w:p>
      <w:pPr>
        <w:pStyle w:val="Heading1"/>
      </w:pPr>
      <w:r>
        <w:t xml:space="preserve">Waste, Environment, and the Dogs</w:t>
      </w:r>
    </w:p>
    <w:p>
      <w:pPr>
        <w:pStyle w:val="FirstParagraph"/>
      </w:pPr>
      <w:r>
        <w:t xml:space="preserve">Kadamba splits its waste into what’s left over from cooking and what’s left on plates, both routed to an outside compost facility, with anything suspected of contamination sent for lab testing. This is confirmed, and it’s part of why the kitchen holds a five star Eat Right Campus rating. What’s also confirmed, stated directly by the person running this project, is that no one actually tracks how much waste there is by volume, and nothing connects waste back to registration or ordering decisions.</w:t>
      </w:r>
    </w:p>
    <w:p>
      <w:pPr>
        <w:pStyle w:val="BodyText"/>
      </w:pPr>
      <w:r>
        <w:t xml:space="preserve">That matters because composting solves a health and cleanliness problem without doing anything about the size of the problem itself. A well run disposal system means nobody ever has to look at a growing pile of uneaten food to realize something’s off, because it gets quietly removed every day. That’s the exact same shape as the informal resale market covered later in this document, just on the supply side instead of the demand side.</w:t>
      </w:r>
    </w:p>
    <w:p>
      <w:pPr>
        <w:pStyle w:val="BodyText"/>
      </w:pPr>
      <w:r>
        <w:t xml:space="preserve">IIIT Hyderabad has a real student group, the Canine Council, that feeds and manages the campus’s stray dogs. It’s a reasonable guess, though not confirmed by any interview, that non vegetarian scraps and bones from Kadamba end up feeding them, either directly or through waste sitting out before collection. If that’s true, a few things plausibly follow: more dogs congregating near where the waste sits, health effects on the dogs from an unbalanced diet, and possibly students avoiding a mess entrance early in the morning if dogs are gathered there, which would be a genuinely new explanation for breakfast specifically being avoided more than other meals. All of this is speculative and would need direct observation to confirm.</w:t>
      </w:r>
    </w:p>
    <w:p>
      <w:pPr>
        <w:pStyle w:val="BodyText"/>
      </w:pPr>
      <w:r>
        <w:t xml:space="preserve">Bakul has been separately described as untidy, with insects near food, which has nothing to do with registration or billing and everything to do with why someone might avoid that particular mess regardless of the menu. Kadamba’s plates are washed on a staff run conveyor belt, which keeps cleaning consistent but means a student can’t choose their own plate, and since the same physical plates get used across all three meals, some students report not trusting them even though Kadamba’s official food safety rating is strong. That’s a trust problem, not a hygiene problem, and it’s worth naming as its own thing.</w:t>
      </w:r>
    </w:p>
    <w:p>
      <w:pPr>
        <w:pStyle w:val="BodyText"/>
      </w:pPr>
      <w:r>
        <w:t xml:space="preserve">Organic waste breaks down and produces smell and methane even when it’s composted properly, and a system generating a large, uncounted daily surplus has a real environmental cost nobody has measured. The dog population effect, if real, is a minor but genuine example of how far the consequences of a purely human registration and billing problem can actually reach.</w:t>
      </w:r>
    </w:p>
    <w:bookmarkEnd w:id="18"/>
    <w:bookmarkStart w:id="22" w:name="the-service-timeline"/>
    <w:p>
      <w:pPr>
        <w:pStyle w:val="Heading1"/>
      </w:pPr>
      <w:r>
        <w:t xml:space="preserve">The Service Timeline</w:t>
      </w:r>
    </w:p>
    <w:p>
      <w:pPr>
        <w:pStyle w:val="CaptionedFigure"/>
      </w:pPr>
      <w:r>
        <w:drawing>
          <wp:inline>
            <wp:extent cx="5334000" cy="3252439"/>
            <wp:effectExtent b="0" l="0" r="0" t="0"/>
            <wp:docPr descr="Service Blueprint" title="" id="20" name="Picture"/>
            <a:graphic>
              <a:graphicData uri="http://schemas.openxmlformats.org/drawingml/2006/picture">
                <pic:pic>
                  <pic:nvPicPr>
                    <pic:cNvPr descr="assets/diagram8-service-blueprint.png" id="21" name="Picture"/>
                    <pic:cNvPicPr>
                      <a:picLocks noChangeArrowheads="1" noChangeAspect="1"/>
                    </pic:cNvPicPr>
                  </pic:nvPicPr>
                  <pic:blipFill>
                    <a:blip r:embed="rId19"/>
                    <a:stretch>
                      <a:fillRect/>
                    </a:stretch>
                  </pic:blipFill>
                  <pic:spPr bwMode="auto">
                    <a:xfrm>
                      <a:off x="0" y="0"/>
                      <a:ext cx="5334000" cy="3252439"/>
                    </a:xfrm>
                    <a:prstGeom prst="rect">
                      <a:avLst/>
                    </a:prstGeom>
                    <a:noFill/>
                    <a:ln w="9525">
                      <a:noFill/>
                      <a:headEnd/>
                      <a:tailEnd/>
                    </a:ln>
                  </pic:spPr>
                </pic:pic>
              </a:graphicData>
            </a:graphic>
          </wp:inline>
        </w:drawing>
      </w:r>
    </w:p>
    <w:p>
      <w:pPr>
        <w:pStyle w:val="ImageCaption"/>
      </w:pPr>
      <w:r>
        <w:t xml:space="preserve">Service Blueprint</w:t>
      </w:r>
    </w:p>
    <w:p>
      <w:pPr>
        <w:pStyle w:val="BodyText"/>
      </w:pPr>
      <w:r>
        <w:t xml:space="preserve">Cutting the same system by what a student can see versus what happens behind the scenes shows something specific: the line between the two is crossed only twice in an entire month, once at registration and occasionally again when someone leaves a rating. Every decision that actually matters, whether to go, what to eat, whether to wait for a friend, happens entirely on the visible side, with nothing from behind the scenes feeding back into it in real time. The four day ordering lock and registration based billing are the reason for that. The one partial exception is that same week Skip Meal data does now reach kitchen planning, a small but real crack in an otherwise closed wall.</w:t>
      </w:r>
    </w:p>
    <w:bookmarkEnd w:id="22"/>
    <w:bookmarkStart w:id="23" w:name="conflicts-and-dependencies"/>
    <w:p>
      <w:pPr>
        <w:pStyle w:val="Heading1"/>
      </w:pPr>
      <w:r>
        <w:t xml:space="preserve">Conflicts and Dependencies</w:t>
      </w:r>
    </w:p>
    <w:p>
      <w:pPr>
        <w:pStyle w:val="FirstParagraph"/>
      </w:pPr>
      <w:r>
        <w:t xml:space="preserve">Students depend on the vendor for food, but the vendor doesn’t depend on any one student. The vendor depends on CDS for a forecast fixed four days out, though not for same week adjustments to how much gets cooked. CDS depends on students registering accurately, but nothing in the billing system actually requires that accuracy, which makes this the one relationship in the whole system where the side with less to lose controls an input the other side can’t replace. Kadamba’s entire inventory depends on one person showing up to manage it. Food safety assurance depends on lab testing that only kicks in once contamination is already suspected, not as an ongoing check. It’s also worth assuming that unregistered faculty or early shift staff eating at Kadamba, if that happens in any real volume, is a second demand stream nobody is currently counting.</w:t>
      </w:r>
    </w:p>
    <w:p>
      <w:pPr>
        <w:pStyle w:val="BodyText"/>
      </w:pPr>
      <w:r>
        <w:t xml:space="preserve">Billing certainty, which CDS and the vendor both need to plan around, sits in real tension with attendance uncertainty, which is just a normal feature of student life. Flexibility, which students and the resale market want more of, sits in tension with the Mess Office’s own workload, its stated reason for its one confirmed policy tightening. The 8:30 class start colliding with the breakfast window is really two systems each solving their own problem without talking to each other, not a design flaw on either side specifically. And there’s a broader tension between procurement certainty and matching food to real demand, since the institution has shown it can run either one but apparently not both at once as a standing policy.</w:t>
      </w:r>
    </w:p>
    <w:bookmarkEnd w:id="23"/>
    <w:bookmarkStart w:id="30" w:name="formal-and-informal-structure"/>
    <w:p>
      <w:pPr>
        <w:pStyle w:val="Heading1"/>
      </w:pPr>
      <w:r>
        <w:t xml:space="preserve">Formal and Informal Structure</w:t>
      </w:r>
    </w:p>
    <w:p>
      <w:pPr>
        <w:pStyle w:val="FirstParagraph"/>
      </w:pPr>
      <w:r>
        <w:t xml:space="preserve">CDS sits under CFS. Inside CDS there’s a Chair, a Committee of faculty with final authority, a Student Council that drafts and reviews proposals first, and one admin per dining hall. Low intensity feedback goes straight to the CFS Head. High intensity feedback escalates through the Student Council to the Committee.</w:t>
      </w:r>
    </w:p>
    <w:p>
      <w:pPr>
        <w:pStyle w:val="CaptionedFigure"/>
      </w:pPr>
      <w:r>
        <w:drawing>
          <wp:inline>
            <wp:extent cx="5334000" cy="3600450"/>
            <wp:effectExtent b="0" l="0" r="0" t="0"/>
            <wp:docPr descr="CDS and CFS Governance and Escalation" title="" id="25" name="Picture"/>
            <a:graphic>
              <a:graphicData uri="http://schemas.openxmlformats.org/drawingml/2006/picture">
                <pic:pic>
                  <pic:nvPicPr>
                    <pic:cNvPr descr="assets/diagram12-governance-escalation.png" id="26" name="Picture"/>
                    <pic:cNvPicPr>
                      <a:picLocks noChangeArrowheads="1" noChangeAspect="1"/>
                    </pic:cNvPicPr>
                  </pic:nvPicPr>
                  <pic:blipFill>
                    <a:blip r:embed="rId24"/>
                    <a:stretch>
                      <a:fillRect/>
                    </a:stretch>
                  </pic:blipFill>
                  <pic:spPr bwMode="auto">
                    <a:xfrm>
                      <a:off x="0" y="0"/>
                      <a:ext cx="5334000" cy="3600450"/>
                    </a:xfrm>
                    <a:prstGeom prst="rect">
                      <a:avLst/>
                    </a:prstGeom>
                    <a:noFill/>
                    <a:ln w="9525">
                      <a:noFill/>
                      <a:headEnd/>
                      <a:tailEnd/>
                    </a:ln>
                  </pic:spPr>
                </pic:pic>
              </a:graphicData>
            </a:graphic>
          </wp:inline>
        </w:drawing>
      </w:r>
    </w:p>
    <w:p>
      <w:pPr>
        <w:pStyle w:val="ImageCaption"/>
      </w:pPr>
      <w:r>
        <w:t xml:space="preserve">CDS and CFS Governance and Escalation</w:t>
      </w:r>
    </w:p>
    <w:p>
      <w:pPr>
        <w:pStyle w:val="BodyText"/>
      </w:pPr>
      <w:r>
        <w:t xml:space="preserve">Whether</w:t>
      </w:r>
      <w:r>
        <w:t xml:space="preserve"> </w:t>
      </w:r>
      <w:r>
        <w:t xml:space="preserve">“CDS Committee”</w:t>
      </w:r>
      <w:r>
        <w:t xml:space="preserve"> </w:t>
      </w:r>
      <w:r>
        <w:t xml:space="preserve">is the same body as the</w:t>
      </w:r>
      <w:r>
        <w:t xml:space="preserve"> </w:t>
      </w:r>
      <w:r>
        <w:t xml:space="preserve">“Mess Committee”</w:t>
      </w:r>
      <w:r>
        <w:t xml:space="preserve"> </w:t>
      </w:r>
      <w:r>
        <w:t xml:space="preserve">named earlier in this project, and whether</w:t>
      </w:r>
      <w:r>
        <w:t xml:space="preserve"> </w:t>
      </w:r>
      <w:r>
        <w:t xml:space="preserve">“CDS Student Council”</w:t>
      </w:r>
      <w:r>
        <w:t xml:space="preserve"> </w:t>
      </w:r>
      <w:r>
        <w:t xml:space="preserve">overlaps with</w:t>
      </w:r>
      <w:r>
        <w:t xml:space="preserve"> </w:t>
      </w:r>
      <w:r>
        <w:t xml:space="preserve">“Student Parliament,”</w:t>
      </w:r>
      <w:r>
        <w:t xml:space="preserve"> </w:t>
      </w:r>
      <w:r>
        <w:t xml:space="preserve">is left open in that diagram rather than assumed.</w:t>
      </w:r>
    </w:p>
    <w:p>
      <w:pPr>
        <w:pStyle w:val="BodyText"/>
      </w:pPr>
      <w:r>
        <w:t xml:space="preserve">This escalation path has actually produced a real result before. A long standing complaint about having one fixed menu for the whole semester went through the Student Council to the Committee and came out the other side as a menu that now rotates every two weeks. That’s the clearest working feedback loop found anywhere in this project.</w:t>
      </w:r>
    </w:p>
    <w:p>
      <w:pPr>
        <w:pStyle w:val="BodyText"/>
      </w:pPr>
      <w:r>
        <w:t xml:space="preserve">Outside the formal structure, Mess Cell operates as an informal resale market, Ping is the student publication that covers mess issues without any confirmed authority to act on them, and at least one unofficial tool exists for managing registrations outside the official portal.</w:t>
      </w:r>
    </w:p>
    <w:p>
      <w:pPr>
        <w:pStyle w:val="CaptionedFigure"/>
      </w:pPr>
      <w:r>
        <w:drawing>
          <wp:inline>
            <wp:extent cx="5334000" cy="3733800"/>
            <wp:effectExtent b="0" l="0" r="0" t="0"/>
            <wp:docPr descr="Power and Information Flow Network" title="" id="28" name="Picture"/>
            <a:graphic>
              <a:graphicData uri="http://schemas.openxmlformats.org/drawingml/2006/picture">
                <pic:pic>
                  <pic:nvPicPr>
                    <pic:cNvPr descr="assets/diagram9-power-flow-network.png" id="29" name="Picture"/>
                    <pic:cNvPicPr>
                      <a:picLocks noChangeArrowheads="1" noChangeAspect="1"/>
                    </pic:cNvPicPr>
                  </pic:nvPicPr>
                  <pic:blipFill>
                    <a:blip r:embed="rId27"/>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Power and Information Flow Network</w:t>
      </w:r>
    </w:p>
    <w:p>
      <w:pPr>
        <w:pStyle w:val="BodyText"/>
      </w:pPr>
      <w:r>
        <w:t xml:space="preserve">Academic administration has no formal or informal relationship to any part of mess governance. That’s a confirmed absence, not a gap in the research. Mess Cell operates entirely outside the formal system it’s compensating for.</w:t>
      </w:r>
    </w:p>
    <w:bookmarkEnd w:id="30"/>
    <w:bookmarkStart w:id="31" w:name="X9a8fc51a331a181f25247ddb237d96228089f4d"/>
    <w:p>
      <w:pPr>
        <w:pStyle w:val="Heading1"/>
      </w:pPr>
      <w:r>
        <w:t xml:space="preserve">The Class Schedule, and Who Else Needs Breakfast</w:t>
      </w:r>
    </w:p>
    <w:p>
      <w:pPr>
        <w:pStyle w:val="FirstParagraph"/>
      </w:pPr>
      <w:r>
        <w:t xml:space="preserve">This project has, until now, treated 8:30 classes as just an obstacle. That’s probably not fair to the academic side. It’s a reasonable guess that the timing reflects something like putting harder lecture courses in the morning when students are freshest, letting a faculty member teach once and keep the rest of the day free, or simply fitting every program’s required hours into a five day week using shared lecture halls. This document isn’t recommending that class time move. Doing that would treat the academic system as though its only job is to make breakfast easier, when it’s very likely solving a real problem of its own. The right way to treat the 8:30 start is as a fixed condition the mess system has to work around, not a lever anyone should expect to pull.</w:t>
      </w:r>
    </w:p>
    <w:p>
      <w:pPr>
        <w:pStyle w:val="BodyText"/>
      </w:pPr>
      <w:r>
        <w:t xml:space="preserve">Nobody has confirmed whether faculty have any defined breakfast access at Kadamba, or whether informal access exists that isn’t reflected anywhere in the ordering numbers. If it does, that’s a second, currently invisible demand stream sitting on top of the one already documented for students. The same goes for ground, security, and housekeeping staff who often start before seven in the morning and commute from outside campus. If either group eats at the mess in any real volume, it’s competing for food that isn’t accounted for anywhere.</w:t>
      </w:r>
    </w:p>
    <w:p>
      <w:pPr>
        <w:pStyle w:val="BodyText"/>
      </w:pPr>
      <w:r>
        <w:t xml:space="preserve">Mess Cell is proof students can organize around a shared problem when they want to, there’s even a past case of an organized student email effort producing a change. Right now though, that organizing energy goes entirely into helping each other resell registrations, not into pushing for a fix to registration or billing itself. Whether Mess Cell has ever formally raised the billing model with the Committee or CDS isn’t confirmed either way.</w:t>
      </w:r>
    </w:p>
    <w:bookmarkEnd w:id="31"/>
    <w:bookmarkStart w:id="32" w:name="the-system-already-solved-this-once"/>
    <w:p>
      <w:pPr>
        <w:pStyle w:val="Heading1"/>
      </w:pPr>
      <w:r>
        <w:t xml:space="preserve">The System Already Solved This Once</w:t>
      </w:r>
    </w:p>
    <w:p>
      <w:pPr>
        <w:pStyle w:val="FirstParagraph"/>
      </w:pPr>
      <w:r>
        <w:t xml:space="preserve">During a shortage of cooking gas, the mess cut down to serving one item at the same price, and the cancellation limit was doubled from five to ten a month. Separately, and more importantly, during holidays and long weekends like Felicity, when a lot of students leave campus, registration stopped being required altogether. Students could walk in and scan a QR code, or register just a day or two ahead at any of the four messes instead of being tied to one specific mess four days out. If someone didn’t register and didn’t show up, they simply weren’t charged.</w:t>
      </w:r>
    </w:p>
    <w:p>
      <w:pPr>
        <w:pStyle w:val="BodyText"/>
      </w:pPr>
      <w:r>
        <w:t xml:space="preserve">What this shows is that the institution already has, and has already run, a completely different way of matching food to demand, one that solves the exact gap this whole project is about. That changes the story from</w:t>
      </w:r>
      <w:r>
        <w:t xml:space="preserve"> </w:t>
      </w:r>
      <w:r>
        <w:t xml:space="preserve">“nobody has figured this out”</w:t>
      </w:r>
      <w:r>
        <w:t xml:space="preserve"> </w:t>
      </w:r>
      <w:r>
        <w:t xml:space="preserve">to</w:t>
      </w:r>
      <w:r>
        <w:t xml:space="preserve"> </w:t>
      </w:r>
      <w:r>
        <w:t xml:space="preserve">“this has already been figured out, more than once, and isn’t being kept.”</w:t>
      </w:r>
      <w:r>
        <w:t xml:space="preserve"> </w:t>
      </w:r>
      <w:r>
        <w:t xml:space="preserve">It doesn’t undercut the finding that responsibility for this is scattered across different offices, it actually sharpens it. The fix isn’t a mystery. It exists, it’s been tested, and it works. The institution just doesn’t seem willing to give up the certainty a locked in registration number gives the vendor in order to run it every day.</w:t>
      </w:r>
    </w:p>
    <w:p>
      <w:pPr>
        <w:pStyle w:val="BodyText"/>
      </w:pPr>
      <w:r>
        <w:t xml:space="preserve">The most likely reason it doesn’t stay on: a model where anyone can walk in without registering removes the vendor’s guarantee of knowing roughly how many people are coming four days out. The institution probably accepts a known, if inaccurate, registration number in exchange for that certainty, rather than accept real day to day unpredictability as a permanent condition. The exception works specifically because it’s rare and short. A vendor can absorb an occasional surprise that it likely couldn’t absorb every single day.</w:t>
      </w:r>
    </w:p>
    <w:bookmarkEnd w:id="32"/>
    <w:bookmarkStart w:id="54" w:name="Xcd7fe0675233f8ccd4e4bf391c53413e99e33f7"/>
    <w:p>
      <w:pPr>
        <w:pStyle w:val="Heading1"/>
      </w:pPr>
      <w:r>
        <w:t xml:space="preserve">Bottlenecks, Tensions, and What Actually Closes the Loop</w:t>
      </w:r>
    </w:p>
    <w:p>
      <w:pPr>
        <w:pStyle w:val="FirstParagraph"/>
      </w:pPr>
      <w:r>
        <w:t xml:space="preserve">The four day ordering lock is the clearest bottleneck. Nothing about a specific morning can change what’s already been bought, though same week Skip Meal data can now change what gets cooked. The 9:30 close is a hard, precisely timed cutoff against a crowd that peaks right before it. There’s no formal channel connecting Academic administration to mess governance at all. One person runs Kadamba’s entire inventory with no backup. And no waste volume is ever measured, so waste can’t function as a signal for anything, not because it’s ignored, but because it was never built to be tracked that way.</w:t>
      </w:r>
    </w:p>
    <w:p>
      <w:pPr>
        <w:pStyle w:val="BodyText"/>
      </w:pPr>
      <w:r>
        <w:t xml:space="preserve">The clearest tensions are registering broadly against the system wide waste that produces, the resale market outcompeting the tool actually designed for this situation, menu predictability against the selective skipping it can enable, procurement certainty against matching food to real demand, and a single registration model against a genuinely diverse set of dietary and cultural needs.</w:t>
      </w:r>
    </w:p>
    <w:p>
      <w:pPr>
        <w:pStyle w:val="BodyText"/>
      </w:pPr>
      <w:r>
        <w:t xml:space="preserve">Fourteen different feedback mechanisms were checked across this project for whether they actually close into loops, not just whether they sound like one.</w:t>
      </w:r>
    </w:p>
    <w:p>
      <w:pPr>
        <w:pStyle w:val="BodyText"/>
      </w:pPr>
      <w:r>
        <w:t xml:space="preserve">Registering broadly feeds the resale market, and the resale market probably makes registering broadly feel safer, since there’s a way to recover value from a slot you don’t use.</w:t>
      </w:r>
    </w:p>
    <w:p>
      <w:pPr>
        <w:pStyle w:val="CaptionedFigure"/>
      </w:pPr>
      <w:r>
        <w:drawing>
          <wp:inline>
            <wp:extent cx="5334000" cy="4308230"/>
            <wp:effectExtent b="0" l="0" r="0" t="0"/>
            <wp:docPr descr="Registration and Resale Loop" title="" id="34" name="Picture"/>
            <a:graphic>
              <a:graphicData uri="http://schemas.openxmlformats.org/drawingml/2006/picture">
                <pic:pic>
                  <pic:nvPicPr>
                    <pic:cNvPr descr="assets/diagram4-cld-r1-resale.png" id="35" name="Picture"/>
                    <pic:cNvPicPr>
                      <a:picLocks noChangeArrowheads="1" noChangeAspect="1"/>
                    </pic:cNvPicPr>
                  </pic:nvPicPr>
                  <pic:blipFill>
                    <a:blip r:embed="rId33"/>
                    <a:stretch>
                      <a:fillRect/>
                    </a:stretch>
                  </pic:blipFill>
                  <pic:spPr bwMode="auto">
                    <a:xfrm>
                      <a:off x="0" y="0"/>
                      <a:ext cx="5334000" cy="4308230"/>
                    </a:xfrm>
                    <a:prstGeom prst="rect">
                      <a:avLst/>
                    </a:prstGeom>
                    <a:noFill/>
                    <a:ln w="9525">
                      <a:noFill/>
                      <a:headEnd/>
                      <a:tailEnd/>
                    </a:ln>
                  </pic:spPr>
                </pic:pic>
              </a:graphicData>
            </a:graphic>
          </wp:inline>
        </w:drawing>
      </w:r>
    </w:p>
    <w:p>
      <w:pPr>
        <w:pStyle w:val="ImageCaption"/>
      </w:pPr>
      <w:r>
        <w:t xml:space="preserve">Registration and Resale Loop</w:t>
      </w:r>
    </w:p>
    <w:p>
      <w:pPr>
        <w:pStyle w:val="BodyText"/>
      </w:pPr>
      <w:r>
        <w:t xml:space="preserve">Skip Meal was designed to stop the kitchen over preparing for a known no show. It’s real and it functions, but almost nobody uses it, since it gives the student nothing back.</w:t>
      </w:r>
    </w:p>
    <w:p>
      <w:pPr>
        <w:pStyle w:val="CaptionedFigure"/>
      </w:pPr>
      <w:r>
        <w:drawing>
          <wp:inline>
            <wp:extent cx="5334000" cy="4406347"/>
            <wp:effectExtent b="0" l="0" r="0" t="0"/>
            <wp:docPr descr="Skip Meal Mechanism, a real chain that does not close into a loop" title="" id="37" name="Picture"/>
            <a:graphic>
              <a:graphicData uri="http://schemas.openxmlformats.org/drawingml/2006/picture">
                <pic:pic>
                  <pic:nvPicPr>
                    <pic:cNvPr descr="assets/diagram5-cld-b1-skipmeal.png" id="38" name="Picture"/>
                    <pic:cNvPicPr>
                      <a:picLocks noChangeArrowheads="1" noChangeAspect="1"/>
                    </pic:cNvPicPr>
                  </pic:nvPicPr>
                  <pic:blipFill>
                    <a:blip r:embed="rId36"/>
                    <a:stretch>
                      <a:fillRect/>
                    </a:stretch>
                  </pic:blipFill>
                  <pic:spPr bwMode="auto">
                    <a:xfrm>
                      <a:off x="0" y="0"/>
                      <a:ext cx="5334000" cy="4406347"/>
                    </a:xfrm>
                    <a:prstGeom prst="rect">
                      <a:avLst/>
                    </a:prstGeom>
                    <a:noFill/>
                    <a:ln w="9525">
                      <a:noFill/>
                      <a:headEnd/>
                      <a:tailEnd/>
                    </a:ln>
                  </pic:spPr>
                </pic:pic>
              </a:graphicData>
            </a:graphic>
          </wp:inline>
        </w:drawing>
      </w:r>
    </w:p>
    <w:p>
      <w:pPr>
        <w:pStyle w:val="ImageCaption"/>
      </w:pPr>
      <w:r>
        <w:t xml:space="preserve">Skip Meal Mechanism, a real chain that does not close into a loop</w:t>
      </w:r>
    </w:p>
    <w:p>
      <w:pPr>
        <w:pStyle w:val="BodyText"/>
      </w:pPr>
      <w:r>
        <w:t xml:space="preserve">The idea that scarcity at Kadamba would push people toward Bakul or Palash instead turns out to be the opposite of what actually happens. People lock down Kadamba harder when it’s scarce, not less.</w:t>
      </w:r>
    </w:p>
    <w:p>
      <w:pPr>
        <w:pStyle w:val="CaptionedFigure"/>
      </w:pPr>
      <w:r>
        <w:drawing>
          <wp:inline>
            <wp:extent cx="5334000" cy="4638260"/>
            <wp:effectExtent b="0" l="0" r="0" t="0"/>
            <wp:docPr descr="Capacity Redistribution, disconfirmed as a loop" title="" id="40" name="Picture"/>
            <a:graphic>
              <a:graphicData uri="http://schemas.openxmlformats.org/drawingml/2006/picture">
                <pic:pic>
                  <pic:nvPicPr>
                    <pic:cNvPr descr="assets/diagram6-cld-b2-redistribution.png" id="41" name="Picture"/>
                    <pic:cNvPicPr>
                      <a:picLocks noChangeArrowheads="1" noChangeAspect="1"/>
                    </pic:cNvPicPr>
                  </pic:nvPicPr>
                  <pic:blipFill>
                    <a:blip r:embed="rId39"/>
                    <a:stretch>
                      <a:fillRect/>
                    </a:stretch>
                  </pic:blipFill>
                  <pic:spPr bwMode="auto">
                    <a:xfrm>
                      <a:off x="0" y="0"/>
                      <a:ext cx="5334000" cy="4638260"/>
                    </a:xfrm>
                    <a:prstGeom prst="rect">
                      <a:avLst/>
                    </a:prstGeom>
                    <a:noFill/>
                    <a:ln w="9525">
                      <a:noFill/>
                      <a:headEnd/>
                      <a:tailEnd/>
                    </a:ln>
                  </pic:spPr>
                </pic:pic>
              </a:graphicData>
            </a:graphic>
          </wp:inline>
        </w:drawing>
      </w:r>
    </w:p>
    <w:p>
      <w:pPr>
        <w:pStyle w:val="ImageCaption"/>
      </w:pPr>
      <w:r>
        <w:t xml:space="preserve">Capacity Redistribution, disconfirmed as a loop</w:t>
      </w:r>
    </w:p>
    <w:p>
      <w:pPr>
        <w:pStyle w:val="BodyText"/>
      </w:pPr>
      <w:r>
        <w:t xml:space="preserve">A late night, low sleep pattern driving next day skipping is well supported by what students actually said. Whether that skip then causes a later energy crash and a second round of late night behavior is not something anyone’s actually checked yet.</w:t>
      </w:r>
    </w:p>
    <w:p>
      <w:pPr>
        <w:pStyle w:val="CaptionedFigure"/>
      </w:pPr>
      <w:r>
        <w:drawing>
          <wp:inline>
            <wp:extent cx="5334000" cy="4381500"/>
            <wp:effectExtent b="0" l="0" r="0" t="0"/>
            <wp:docPr descr="Late Night and Energy Crash Loop, Candidate" title="" id="43" name="Picture"/>
            <a:graphic>
              <a:graphicData uri="http://schemas.openxmlformats.org/drawingml/2006/picture">
                <pic:pic>
                  <pic:nvPicPr>
                    <pic:cNvPr descr="assets/diagram7-cld-candidate-skip-crash.png" id="44" name="Picture"/>
                    <pic:cNvPicPr>
                      <a:picLocks noChangeArrowheads="1" noChangeAspect="1"/>
                    </pic:cNvPicPr>
                  </pic:nvPicPr>
                  <pic:blipFill>
                    <a:blip r:embed="rId42"/>
                    <a:stretch>
                      <a:fillRect/>
                    </a:stretch>
                  </pic:blipFill>
                  <pic:spPr bwMode="auto">
                    <a:xfrm>
                      <a:off x="0" y="0"/>
                      <a:ext cx="5334000" cy="4381500"/>
                    </a:xfrm>
                    <a:prstGeom prst="rect">
                      <a:avLst/>
                    </a:prstGeom>
                    <a:noFill/>
                    <a:ln w="9525">
                      <a:noFill/>
                      <a:headEnd/>
                      <a:tailEnd/>
                    </a:ln>
                  </pic:spPr>
                </pic:pic>
              </a:graphicData>
            </a:graphic>
          </wp:inline>
        </w:drawing>
      </w:r>
    </w:p>
    <w:p>
      <w:pPr>
        <w:pStyle w:val="ImageCaption"/>
      </w:pPr>
      <w:r>
        <w:t xml:space="preserve">Late Night and Energy Crash Loop, Candidate</w:t>
      </w:r>
    </w:p>
    <w:p>
      <w:pPr>
        <w:pStyle w:val="BodyText"/>
      </w:pPr>
      <w:r>
        <w:t xml:space="preserve">The menu rotation process is the cleanest loop found anywhere in this project. Every link in it, from complaint to committee to an actual rotation, is confirmed directly by the person who ran it.</w:t>
      </w:r>
    </w:p>
    <w:p>
      <w:pPr>
        <w:pStyle w:val="CaptionedFigure"/>
      </w:pPr>
      <w:r>
        <w:drawing>
          <wp:inline>
            <wp:extent cx="5334000" cy="4308230"/>
            <wp:effectExtent b="0" l="0" r="0" t="0"/>
            <wp:docPr descr="Menu Rotation Governance Loop" title="" id="46" name="Picture"/>
            <a:graphic>
              <a:graphicData uri="http://schemas.openxmlformats.org/drawingml/2006/picture">
                <pic:pic>
                  <pic:nvPicPr>
                    <pic:cNvPr descr="assets/diagram10-cld-b3-menu-rotation.png" id="47" name="Picture"/>
                    <pic:cNvPicPr>
                      <a:picLocks noChangeArrowheads="1" noChangeAspect="1"/>
                    </pic:cNvPicPr>
                  </pic:nvPicPr>
                  <pic:blipFill>
                    <a:blip r:embed="rId45"/>
                    <a:stretch>
                      <a:fillRect/>
                    </a:stretch>
                  </pic:blipFill>
                  <pic:spPr bwMode="auto">
                    <a:xfrm>
                      <a:off x="0" y="0"/>
                      <a:ext cx="5334000" cy="4308230"/>
                    </a:xfrm>
                    <a:prstGeom prst="rect">
                      <a:avLst/>
                    </a:prstGeom>
                    <a:noFill/>
                    <a:ln w="9525">
                      <a:noFill/>
                      <a:headEnd/>
                      <a:tailEnd/>
                    </a:ln>
                  </pic:spPr>
                </pic:pic>
              </a:graphicData>
            </a:graphic>
          </wp:inline>
        </w:drawing>
      </w:r>
    </w:p>
    <w:p>
      <w:pPr>
        <w:pStyle w:val="ImageCaption"/>
      </w:pPr>
      <w:r>
        <w:t xml:space="preserve">Menu Rotation Governance Loop</w:t>
      </w:r>
    </w:p>
    <w:p>
      <w:pPr>
        <w:pStyle w:val="BodyText"/>
      </w:pPr>
      <w:r>
        <w:t xml:space="preserve">The same fix created a side effect its own architect flagged unprompted: once the menu is known ahead of time, some students may plan around it and skip on days they already know they’ll dislike.</w:t>
      </w:r>
    </w:p>
    <w:p>
      <w:pPr>
        <w:pStyle w:val="CaptionedFigure"/>
      </w:pPr>
      <w:r>
        <w:drawing>
          <wp:inline>
            <wp:extent cx="5334000" cy="4406347"/>
            <wp:effectExtent b="0" l="0" r="0" t="0"/>
            <wp:docPr descr="Menu Transparency Loop, Candidate" title="" id="49" name="Picture"/>
            <a:graphic>
              <a:graphicData uri="http://schemas.openxmlformats.org/drawingml/2006/picture">
                <pic:pic>
                  <pic:nvPicPr>
                    <pic:cNvPr descr="assets/diagram11-cld-r3-menu-backfire.png" id="50" name="Picture"/>
                    <pic:cNvPicPr>
                      <a:picLocks noChangeArrowheads="1" noChangeAspect="1"/>
                    </pic:cNvPicPr>
                  </pic:nvPicPr>
                  <pic:blipFill>
                    <a:blip r:embed="rId48"/>
                    <a:stretch>
                      <a:fillRect/>
                    </a:stretch>
                  </pic:blipFill>
                  <pic:spPr bwMode="auto">
                    <a:xfrm>
                      <a:off x="0" y="0"/>
                      <a:ext cx="5334000" cy="4406347"/>
                    </a:xfrm>
                    <a:prstGeom prst="rect">
                      <a:avLst/>
                    </a:prstGeom>
                    <a:noFill/>
                    <a:ln w="9525">
                      <a:noFill/>
                      <a:headEnd/>
                      <a:tailEnd/>
                    </a:ln>
                  </pic:spPr>
                </pic:pic>
              </a:graphicData>
            </a:graphic>
          </wp:inline>
        </w:drawing>
      </w:r>
    </w:p>
    <w:p>
      <w:pPr>
        <w:pStyle w:val="ImageCaption"/>
      </w:pPr>
      <w:r>
        <w:t xml:space="preserve">Menu Transparency Loop, Candidate</w:t>
      </w:r>
    </w:p>
    <w:p>
      <w:pPr>
        <w:pStyle w:val="BodyText"/>
      </w:pPr>
      <w:r>
        <w:t xml:space="preserve">And the clearest proof the whole system can actually work differently: the shortage and holiday exception described earlier, where registration eased up, billing followed real attendance, and the vendor absorbed some uncertainty in exchange for it, before everything reverted once the trigger passed.</w:t>
      </w:r>
    </w:p>
    <w:p>
      <w:pPr>
        <w:pStyle w:val="CaptionedFigure"/>
      </w:pPr>
      <w:r>
        <w:drawing>
          <wp:inline>
            <wp:extent cx="5334000" cy="4308230"/>
            <wp:effectExtent b="0" l="0" r="0" t="0"/>
            <wp:docPr descr="Shock-Adaptive Registration Relaxation Loop" title="" id="52" name="Picture"/>
            <a:graphic>
              <a:graphicData uri="http://schemas.openxmlformats.org/drawingml/2006/picture">
                <pic:pic>
                  <pic:nvPicPr>
                    <pic:cNvPr descr="assets/diagram14-cld-b4-shock-adaptive.png" id="53" name="Picture"/>
                    <pic:cNvPicPr>
                      <a:picLocks noChangeArrowheads="1" noChangeAspect="1"/>
                    </pic:cNvPicPr>
                  </pic:nvPicPr>
                  <pic:blipFill>
                    <a:blip r:embed="rId51"/>
                    <a:stretch>
                      <a:fillRect/>
                    </a:stretch>
                  </pic:blipFill>
                  <pic:spPr bwMode="auto">
                    <a:xfrm>
                      <a:off x="0" y="0"/>
                      <a:ext cx="5334000" cy="4308230"/>
                    </a:xfrm>
                    <a:prstGeom prst="rect">
                      <a:avLst/>
                    </a:prstGeom>
                    <a:noFill/>
                    <a:ln w="9525">
                      <a:noFill/>
                      <a:headEnd/>
                      <a:tailEnd/>
                    </a:ln>
                  </pic:spPr>
                </pic:pic>
              </a:graphicData>
            </a:graphic>
          </wp:inline>
        </w:drawing>
      </w:r>
    </w:p>
    <w:p>
      <w:pPr>
        <w:pStyle w:val="ImageCaption"/>
      </w:pPr>
      <w:r>
        <w:t xml:space="preserve">Shock-Adaptive Registration Relaxation Loop</w:t>
      </w:r>
    </w:p>
    <w:p>
      <w:pPr>
        <w:pStyle w:val="BodyText"/>
      </w:pPr>
      <w:r>
        <w:t xml:space="preserve">Several other candidates were checked and don’t hold up as loops once actually tested. The idea that falling attendance would pressure the vendor on quality turns out to be flatly untrue, since vendor payment doesn’t depend on attendance at all. Waste disposal quietly removes any pressure to fix what’s upstream of it, closing back into more waste next cycle, though how strong that particular link really is stays an assumption. And a known but ignored gap in who owns this problem looks less like a spiral getting worse over time and more like a stable, stuck situation.</w:t>
      </w:r>
    </w:p>
    <w:bookmarkEnd w:id="54"/>
    <w:bookmarkStart w:id="55" w:name="culture-health-and-what-isnt-a-problem"/>
    <w:p>
      <w:pPr>
        <w:pStyle w:val="Heading1"/>
      </w:pPr>
      <w:r>
        <w:t xml:space="preserve">Culture, Health, and What Isn’t a Problem</w:t>
      </w:r>
    </w:p>
    <w:p>
      <w:pPr>
        <w:pStyle w:val="FirstParagraph"/>
      </w:pPr>
      <w:r>
        <w:t xml:space="preserve">Breakfast menus lean toward nutrient focused items like dal, sprouts, and plain rotations rather than the kind of food people actively crave, and that’s a plausible, separate reason turnout is lower than lunch or dinner, on top of the billing incentive already covered. Both explanations can be true at once.</w:t>
      </w:r>
    </w:p>
    <w:p>
      <w:pPr>
        <w:pStyle w:val="BodyText"/>
      </w:pPr>
      <w:r>
        <w:t xml:space="preserve">A recent outbreak of hand, foot, and mouth disease reportedly spread across both hostels, cause unconfirmed. This isn’t being claimed as something skipped breakfast caused, that disease spreads through contact, not through nutrition. What’s fair to say is that a chronic pattern of irregular eating combined with a lot of shared common spaces, mess halls, washrooms, playgrounds, is the kind of condition that makes an outbreak worse once it starts, whatever actually started it.</w:t>
      </w:r>
    </w:p>
    <w:p>
      <w:pPr>
        <w:pStyle w:val="BodyText"/>
      </w:pPr>
      <w:r>
        <w:t xml:space="preserve">Some students have genuine reasons for not eating breakfast that have nothing to do with any of the above: intermittent fasting as a deliberate choice, a belief that they’re already healthy enough not to need it, family or regional habits that never included a formal breakfast at all, dietary or religious practice, or simple discomfort eating certain foods, like egg, somewhere visible and shared. None of that is dysfunction, and a meaningful share of what looks like low turnout is really just how a genuinely diverse group of people eats. That doesn’t undercut the billing and governance findings elsewhere in this document, but it does mean no future fix should be judged by whether it gets turnout close to one hundred percent.</w:t>
      </w:r>
    </w:p>
    <w:bookmarkEnd w:id="55"/>
    <w:bookmarkStart w:id="56" w:name="what-stands-out-most"/>
    <w:p>
      <w:pPr>
        <w:pStyle w:val="Heading1"/>
      </w:pPr>
      <w:r>
        <w:t xml:space="preserve">What Stands Out Most</w:t>
      </w:r>
    </w:p>
    <w:p>
      <w:pPr>
        <w:pStyle w:val="FirstParagraph"/>
      </w:pPr>
      <w:r>
        <w:t xml:space="preserve">The institution has already built and run a working fix for the core problem. It just isn’t the standing default, and the reason looks like a real trade off around vendor certainty, not a simple oversight. Kadamba, Yuktahar, and Bakul and Palash are three different kitchen systems, not one, so findings from one shouldn’t be assumed to apply everywhere. Decoupled billing may suit the vendor’s revenue as much as it reflects institutional inattention. Composting and the resale market do the exact same job in different places: they absorb a cost quietly enough that nobody’s ever forced to fix what’s actually causing it. Skip Meal works when used, the real problem is that almost nobody uses it. The class schedule almost certainly has its own good reasons and shouldn’t be treated as something to just change. At least two demand streams, faculty and early shift staff, are probably invisible in every number this system tracks. And a real share of what looks like a paradox is simply legitimate variation in how people eat, not something to solve away.</w:t>
      </w:r>
    </w:p>
    <w:bookmarkEnd w:id="56"/>
    <w:bookmarkStart w:id="57" w:name="whats-still-missing"/>
    <w:p>
      <w:pPr>
        <w:pStyle w:val="Heading1"/>
      </w:pPr>
      <w:r>
        <w:t xml:space="preserve">What’s Still Missing</w:t>
      </w:r>
    </w:p>
    <w:p>
      <w:pPr>
        <w:pStyle w:val="FirstParagraph"/>
      </w:pPr>
      <w:r>
        <w:t xml:space="preserve">The biggest open question is whether the vendor’s actual contract would allow any permanent version of the walk in model, even a partial one, without losing the lead time guarantee it depends on. Nobody has asked that question directly yet. Also unresolved: why Skip Meal usage is so low when the mechanism itself works, whether faculty or early shift staff have any real access to breakfast, whether the Canine Council mechanism described above is actually real at Kadamba, the exact meaning of Kadamba’s two different capacity numbers, whether the outside catering contract is fixed price or passed through as costs change, which of the two portal addresses is actually correct, and direct observation of an actual breakfast service window, which still hasn’t happened. A conversation with Giri, the CDS Chair, and with the mess committee directly, is also still pending.</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24" Target="media/rId24.png" /><Relationship Type="http://schemas.openxmlformats.org/officeDocument/2006/relationships/image" Id="rId13" Target="media/rId13.png" /><Relationship Type="http://schemas.openxmlformats.org/officeDocument/2006/relationships/image" Id="rId51" Target="media/rId51.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19" Target="media/rId19.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Map</dc:title>
  <dc:creator/>
  <cp:keywords/>
  <dcterms:created xsi:type="dcterms:W3CDTF">2026-09-14T16:40:41Z</dcterms:created>
  <dcterms:modified xsi:type="dcterms:W3CDTF">2026-09-14T16:40:41Z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IIIT Hyderabad Breakfast Mess System</vt:lpwstr>
  </property>
</Properties>
</file>