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b/>
          <w:bCs/>
          <w:color w:val="2E74B5"/>
          <w:sz w:val="26"/>
          <w:szCs w:val="26"/>
        </w:rPr>
        <w:t xml:space="preserve">PROJECT 1</w:t>
      </w:r>
    </w:p>
    <w:p>
      <w:pPr>
        <w:spacing w:after="100" w:before="200"/>
        <w:jc w:val="center"/>
      </w:pPr>
      <w:r>
        <w:rPr>
          <w:b/>
          <w:bCs/>
          <w:color w:val="1F3864"/>
          <w:sz w:val="56"/>
          <w:szCs w:val="56"/>
        </w:rPr>
        <w:t xml:space="preserve">Claim Sense</w:t>
      </w:r>
    </w:p>
    <w:p>
      <w:pPr>
        <w:spacing w:after="400"/>
        <w:jc w:val="center"/>
      </w:pPr>
      <w:r>
        <w:rPr>
          <w:i/>
          <w:iCs/>
          <w:color w:val="595959"/>
          <w:sz w:val="26"/>
          <w:szCs w:val="26"/>
        </w:rPr>
        <w:t xml:space="preserve">RAG-Based Insurance Claims Adjudication &amp; Policy Knowledge Assistant</w:t>
      </w:r>
    </w:p>
    <w:p>
      <w:pPr>
        <w:spacing w:after="100"/>
        <w:jc w:val="center"/>
      </w:pPr>
      <w:r>
        <w:rPr>
          <w:color w:val="595959"/>
          <w:sz w:val="20"/>
          <w:szCs w:val="20"/>
        </w:rPr>
        <w:t xml:space="preserve">Detailed Task Breakdown — Data Strategy, Database Schema, Tech Stack,</w:t>
      </w:r>
    </w:p>
    <w:p>
      <w:pPr>
        <w:spacing w:after="600"/>
        <w:jc w:val="center"/>
      </w:pPr>
      <w:r>
        <w:rPr>
          <w:color w:val="595959"/>
          <w:sz w:val="20"/>
          <w:szCs w:val="20"/>
        </w:rPr>
        <w:t xml:space="preserve">Development Environment &amp; Azure Deployment Configuration</w:t>
      </w:r>
    </w:p>
    <w:p>
      <w:pPr>
        <w:jc w:val="center"/>
      </w:pPr>
      <w:r>
        <w:rPr>
          <w:color w:val="595959"/>
          <w:sz w:val="18"/>
          <w:szCs w:val="18"/>
        </w:rPr>
        <w:t xml:space="preserve">Prepared: September 2026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Executive Summary</w:t>
      </w:r>
    </w:p>
    <w:p>
      <w:pPr>
        <w:spacing w:after="160" w:line="276"/>
      </w:pPr>
      <w:r>
        <w:rPr>
          <w:sz w:val="21"/>
          <w:szCs w:val="21"/>
        </w:rPr>
        <w:t xml:space="preserve">Claim Sense is a Retrieval-Augmented Generation (RAG) system that helps insurance adjusters adjudicate P&amp;C and health claims faster and more consistently. The system retrieves the exact policy clauses relevant to a claim, scores fraud/anomaly risk with a trained ML model, and produces a citation-backed recommendation (Approve / Investigate / Deny).</w:t>
      </w:r>
    </w:p>
    <w:p>
      <w:pPr>
        <w:spacing w:after="160" w:line="276"/>
      </w:pPr>
      <w:r>
        <w:rPr>
          <w:sz w:val="21"/>
          <w:szCs w:val="21"/>
        </w:rPr>
        <w:t xml:space="preserve">This document is a build-ready task breakdown covering six things you asked for: (1) which datasets should be real vs. synthetic and where to get real ones, (2) how to generate the synthetic portions, (3) the database schema, (4) the deployment/development tooling to install, (5) the full technology stack and installation requirements, and (6) the VS Code environment configuration.</w:t>
      </w:r>
    </w:p>
    <w:p>
      <w:pPr>
        <w:pBdr>
          <w:left w:val="single" w:color="C09853" w:sz="18" w:space="8"/>
        </w:pBdr>
        <w:shd w:fill="FFF3CD" w:val="clear"/>
        <w:spacing w:after="200" w:before="100"/>
      </w:pPr>
      <w:r>
        <w:rPr>
          <w:b/>
          <w:bCs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On “real-time datasets”: no insurer will publish live, identifiable policy wordings or claim-level records — that data is proprietary, PII-bearing, and regulated (IRDAI/HIPAA/GDPR depending on jurisdiction). What you can get in real, current form are (a) public regulatory/compliance text (circulars, acts, statistics) and (b) de-identified or public-use claim/fraud datasets released by regulators and research communities. Section 2 below gives the specific, current sources and explains exactly how to combine them with synthetic generation so the project is both realistic and legally safe to build and demo.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Dataset Strategy — What Should Be Synthetic vs. Real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1.1 Why the core policy/claims corpus must be synthetic</w:t>
      </w:r>
    </w:p>
    <w:p>
      <w:pPr>
        <w:spacing w:after="160" w:line="276"/>
      </w:pPr>
      <w:r>
        <w:rPr>
          <w:sz w:val="21"/>
          <w:szCs w:val="21"/>
        </w:rPr>
        <w:t xml:space="preserve">The knowledge base (policy wordings, exclusion clauses, riders) and the claims transaction data are the two pieces that legitimately need to be synthetic, for three reasons: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Confidentiality: Real policy wordings and claim files are commercially sensitive and contractually confidential to the issuing insurer; they are not published in bulk anywhere.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PII/PHI regulation: Real claims contain personally identifiable and (for health claims) protected health information governed by IRDAI data-protection norms, India's DPDP Act 2023, and — if you reference international patterns — HIPAA/GDPR. You cannot legally scrape or redistribute this.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Label scarcity: Confirmed fraud labels are rare even inside insurers (well under 1% of claims are formally investigated, per published fraud-analytics research), so any dataset you could obtain would be too small and too imbalanced to train a usable Low/Medium/High classifier without augmentation.</w:t>
      </w:r>
    </w:p>
    <w:p>
      <w:pPr>
        <w:spacing w:after="160" w:line="276"/>
      </w:pPr>
      <w:r>
        <w:rPr>
          <w:sz w:val="21"/>
          <w:szCs w:val="21"/>
        </w:rPr>
        <w:t xml:space="preserve">Synthetic generation solves all three: you control volume (10,000–50,000 claims as scoped), you control the fraud-injection rate so the classifier has enough positive examples, and there is no confidentiality exposure because no real policyholder exists.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1.2 What should be REAL — current, freely available sources</w:t>
      </w:r>
    </w:p>
    <w:p>
      <w:pPr>
        <w:spacing w:after="160" w:line="276"/>
      </w:pPr>
      <w:r>
        <w:rPr>
          <w:sz w:val="21"/>
          <w:szCs w:val="21"/>
        </w:rPr>
        <w:t xml:space="preserve">Even though the transactional data must be synthetic, the knowledge base and the calibration statistics behind your data generator should be grounded in real, current documents. These are public-domain or public-use and safe to ingest directly: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A. Regulatory &amp; compliance text (ingest directly into the RAG knowledge base — no synthesis needed)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950"/>
        <w:gridCol w:w="20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39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gives you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3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IRDAI Master Circulars (policyholder.gov.in / irdai.gov.in)</w:t>
            </w:r>
          </w:p>
        </w:tc>
        <w:tc>
          <w:tcPr>
            <w:tcW w:type="dxa" w:w="39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Current (2024–2026) master circulars on health insurance business, general insurance business, claim settlement timelines, reinsurance, corporate governance — real regulatory clauses to cite.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 PDF download, updated on a rolling basis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IRDAI Annual Report (latest: FY 2024–25)</w:t>
            </w:r>
          </w:p>
        </w:tc>
        <w:tc>
          <w:tcPr>
            <w:tcW w:type="dxa" w:w="3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 statistics on claim settlement ratios, grievance volumes (Bima Bharosa), sector-wide loss ratios — useful to calibrate synthetic claim-frequency and payout distributions.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 PDF, irdai.gov.in / policyholder.gov.in</w:t>
            </w:r>
          </w:p>
        </w:tc>
      </w:tr>
      <w:tr>
        <w:tc>
          <w:tcPr>
            <w:tcW w:type="dxa" w:w="3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IRDAI Handbook on Indian Insurance Statistics (via dataful.in aggregation)</w:t>
            </w:r>
          </w:p>
        </w:tc>
        <w:tc>
          <w:tcPr>
            <w:tcW w:type="dxa" w:w="39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69 time-series datasets, 2001–2024, covering premiums, claims incurred, settlement ratios by insurer and state.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Free, structured CSV/XLSX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data.gov.in — Insurance &amp; Financial Services catalogs</w:t>
            </w:r>
          </w:p>
        </w:tc>
        <w:tc>
          <w:tcPr>
            <w:tcW w:type="dxa" w:w="3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Sector aggregate datasets (state-wise, insurer-wise) usable as ground-truth priors for your synthetic data generator.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Free, open government data</w:t>
            </w:r>
          </w:p>
        </w:tc>
      </w:tr>
      <w:tr>
        <w:tc>
          <w:tcPr>
            <w:tcW w:type="dxa" w:w="3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Insurance Ombudsman / Bima Bharosa grievance data</w:t>
            </w:r>
          </w:p>
        </w:tc>
        <w:tc>
          <w:tcPr>
            <w:tcW w:type="dxa" w:w="39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 dispute categories and clause-related complaint patterns — useful seed text for exclusion-clause examples.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Free, published periodically</w:t>
            </w:r>
          </w:p>
        </w:tc>
      </w:tr>
    </w:tbl>
    <w:p>
      <w:pPr>
        <w:pBdr>
          <w:left w:val="single" w:color="C09853" w:sz="18" w:space="8"/>
        </w:pBdr>
        <w:shd w:fill="FFF3CD" w:val="clear"/>
        <w:spacing w:after="200" w:before="100"/>
      </w:pPr>
      <w:r>
        <w:rPr>
          <w:b/>
          <w:bCs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These regulatory documents are the one part of your knowledge base you should NOT synthesize — ingest them as-is (chunk + embed) since they are exactly what a real adjuster cites.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B. Reference claim/fraud datasets (use to calibrate distributions and validate model behavior, not as production data)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00"/>
        <w:gridCol w:w="28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Size / Content</w:t>
            </w:r>
          </w:p>
        </w:tc>
        <w:tc>
          <w:tcPr>
            <w:tcW w:type="dxa" w:w="28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 in this project</w:t>
            </w:r>
          </w:p>
        </w:tc>
      </w:tr>
      <w:tr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Kaggle — “Auto Insurance Claims” (mwitiderrick/insurancedata, also mirrored as roshansharma/insurance-claim)</w:t>
            </w:r>
          </w:p>
        </w:tc>
        <w:tc>
          <w:tcPr>
            <w:tcW w:type="dxa" w:w="33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1,000 claims, 39 features, fraud_reported label (~24.7% fraud)</w:t>
            </w:r>
          </w:p>
        </w:tc>
        <w:tc>
          <w:tcPr>
            <w:tcW w:type="dxa" w:w="28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Reference schema for claim features + realistic feature-value ranges to seed your synthetic generator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IEEE-CIS Fraud Detection (Kaggle / Vesta)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590,540 transactions, 3.5% fraud, high-cardinality categorical features</w:t>
            </w:r>
          </w:p>
        </w:tc>
        <w:tc>
          <w:tcPr>
            <w:tcW w:type="dxa" w:w="2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insurance-specific, but the closest large, real, labeled fraud dataset publicly available — use it to benchmark your XGBoost pipeline's handling of class imbalance before pointing it at your synthetic data</w:t>
            </w:r>
          </w:p>
        </w:tc>
      </w:tr>
      <w:tr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CMS DE-SynPUF (Medicare synthetic public use files)</w:t>
            </w:r>
          </w:p>
        </w:tc>
        <w:tc>
          <w:tcPr>
            <w:tcW w:type="dxa" w:w="33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CMS-published synthetic-but-realistic Medicare claims (Inpatient, Outpatient, Carrier, Part D)</w:t>
            </w:r>
          </w:p>
        </w:tc>
        <w:tc>
          <w:tcPr>
            <w:tcW w:type="dxa" w:w="28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regulator-built precedent for exactly what you are doing — mirror its schema design and its approach to synthetic-but-statistically-real claims for the health-claims slice of your project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CMS LEIE (List of Excluded Individuals/Entities)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Real, monthly-updated list of providers excluded for fraud</w:t>
            </w:r>
          </w:p>
        </w:tc>
        <w:tc>
          <w:tcPr>
            <w:tcW w:type="dxa" w:w="2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 the label-linking method (join on provider ID) as a template for how you inject “known fraud” flags into your synthetic provider/claimant history</w:t>
            </w:r>
          </w:p>
        </w:tc>
      </w:tr>
      <w:tr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National Insurance Crime Bureau / III fraud statistics (US) and General Insurance Council India fraud reports</w:t>
            </w:r>
          </w:p>
        </w:tc>
        <w:tc>
          <w:tcPr>
            <w:tcW w:type="dxa" w:w="33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Aggregate, current fraud-rate and fraud-type statistics</w:t>
            </w:r>
          </w:p>
        </w:tc>
        <w:tc>
          <w:tcPr>
            <w:tcW w:type="dxa" w:w="28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Calibrate the % and type-mix of fraud patterns you inject (staged accidents, duplicate claims, inflated repair costs, etc.)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1.3 Recommended data strategy (summary)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0"/>
        <w:gridCol w:w="3400"/>
        <w:gridCol w:w="3100"/>
      </w:tblGrid>
      <w:tr>
        <w:trPr>
          <w:tblHeader/>
        </w:trPr>
        <w:tc>
          <w:tcPr>
            <w:tcW w:type="dxa" w:w="28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 element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8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Policy wordings, exclusions, riders</w:t>
            </w:r>
          </w:p>
        </w:tc>
        <w:tc>
          <w:tcPr>
            <w:tcW w:type="dxa" w:w="3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Synthetic (LLM-generated, structured from real clause taxonomies)</w:t>
            </w:r>
          </w:p>
        </w:tc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public corpus exists; proprietary to insurers</w:t>
            </w:r>
          </w:p>
        </w:tc>
      </w:tr>
      <w:tr>
        <w:tc>
          <w:tcPr>
            <w:tcW w:type="dxa" w:w="2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Regulatory circulars / IRDAI guidelines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 — ingest as-is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 domain, exactly what adjusters cite</w:t>
            </w:r>
          </w:p>
        </w:tc>
      </w:tr>
      <w:tr>
        <w:tc>
          <w:tcPr>
            <w:tcW w:type="dxa" w:w="28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Claims (structured + free text)</w:t>
            </w:r>
          </w:p>
        </w:tc>
        <w:tc>
          <w:tcPr>
            <w:tcW w:type="dxa" w:w="3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Synthetic, statistically calibrated to real reference datasets</w:t>
            </w:r>
          </w:p>
        </w:tc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PII; scale and fraud-rate control needed</w:t>
            </w:r>
          </w:p>
        </w:tc>
      </w:tr>
      <w:tr>
        <w:tc>
          <w:tcPr>
            <w:tcW w:type="dxa" w:w="2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Claim history / policyholder history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Synthetic, longitudinal generator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PII; no public longitudinal insurer data exists</w:t>
            </w:r>
          </w:p>
        </w:tc>
      </w:tr>
      <w:tr>
        <w:tc>
          <w:tcPr>
            <w:tcW w:type="dxa" w:w="28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Fraud/anomaly ML training labels</w:t>
            </w:r>
          </w:p>
        </w:tc>
        <w:tc>
          <w:tcPr>
            <w:tcW w:type="dxa" w:w="3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Synthetic injection + validated against IEEE-CIS / Kaggle distributions</w:t>
            </w:r>
          </w:p>
        </w:tc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 labeled fraud data is scarce and non-public</w:t>
            </w:r>
          </w:p>
        </w:tc>
      </w:tr>
      <w:tr>
        <w:tc>
          <w:tcPr>
            <w:tcW w:type="dxa" w:w="2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Adjudication precedents (approve/investigate/deny history)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Synthetic, generated consistent with the synthetic policy clauses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Enables explainability testing without real case files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Synthetic Data Generation — How to Build It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2.1 Synthetic policy document corpus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1"/>
          <w:szCs w:val="21"/>
        </w:rPr>
        <w:t xml:space="preserve">Define a clause taxonomy: coverage grants, exclusions, conditions, definitions, riders/endorsements, claim-procedure clauses — one JSON schema per clause type.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1"/>
          <w:szCs w:val="21"/>
        </w:rPr>
        <w:t xml:space="preserve">Seed the taxonomy with real structural patterns extracted from IRDAI circulars and publicly available specimen policy wordings (insurer websites publish sample policy documents/T&amp;Cs for prospective buyers — legally referenceable structural templates, not proprietary claim data).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1"/>
          <w:szCs w:val="21"/>
        </w:rPr>
        <w:t xml:space="preserve">Use Azure OpenAI (GPT-4o class model) with clause-type-specific prompt templates to generate 200–500 unique policy documents across product lines (motor, health, fire, marine, property), each with 15–40 clauses.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1"/>
          <w:szCs w:val="21"/>
        </w:rPr>
        <w:t xml:space="preserve">Programmatically vary: sum insured bands, deductibles, waiting periods, sub-limits, named exclusions — using Faker + weighted random choice so no two policies are identical, while keeping clause language plausible and internally consistent.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1"/>
          <w:szCs w:val="21"/>
        </w:rPr>
        <w:t xml:space="preserve">Assign each generated document a stable policy_id and version, and store clause-level UUIDs so the RAG layer can cite “Clause 4.2(b) of Policy POL-00231” precisely.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1"/>
          <w:szCs w:val="21"/>
        </w:rPr>
        <w:t xml:space="preserve">Run a consistency validator (LLM-as-judge or rule-based) that checks a policy doesn't self-contradict (e.g., an exclusion that voids a coverage grant stated elsewhere).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2.2 Synthetic claims dataset (10,000–50,000 records)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1"/>
          <w:szCs w:val="21"/>
        </w:rPr>
        <w:t xml:space="preserve">Sample structured features from calibrated distributions: claim amount (log-normal, scaled to sum insured), sum insured (by product line), policy tenure, days-since-policy-start (Weibull for early-policy spike), prior claim count (Poisson), claim type, incident location, time-of-day (bimodal for motor claims), claimant history flags.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1"/>
          <w:szCs w:val="21"/>
        </w:rPr>
        <w:t xml:space="preserve">Calibrate the distribution parameters against the real reference datasets in Section 1.2(B) — e.g., match the ~1,000-record Kaggle dataset's claim-amount / fraud-rate correlation structure and the IEEE-CIS class-imbalance ratio, rather than inventing numbers from scratch.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1"/>
          <w:szCs w:val="21"/>
        </w:rPr>
        <w:t xml:space="preserve">Generate the free-text incident description with Azure OpenAI, conditioned on the structured fields, so the narrative is consistent with the numbers (e.g., a claim flagged as a staged accident should read as internally suspicious — vague timeline, inconsistent injury description).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1"/>
          <w:szCs w:val="21"/>
        </w:rPr>
        <w:t xml:space="preserve">Link each claim to a synthetic policy_id from the corpus in 2.1 and to a synthetic claimant_id with a generated claim-history timeline.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1"/>
          <w:szCs w:val="21"/>
        </w:rPr>
        <w:t xml:space="preserve">Batch-generate with a reproducible seed (store the random seed + generator version per batch) so datasets are versionable and re-creatable for MLflow experiment tracking.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2.3 Fraud/anomaly pattern injection logic</w:t>
      </w:r>
    </w:p>
    <w:p>
      <w:pPr>
        <w:spacing w:after="160" w:line="276"/>
      </w:pPr>
      <w:r>
        <w:rPr>
          <w:sz w:val="21"/>
          <w:szCs w:val="21"/>
        </w:rPr>
        <w:t xml:space="preserve">Inject fraud signal deliberately into a controlled percentage of records (recommend 8–15%, informed by industry fraud-rate literature, oversampled relative to the sub-1% real-world rate specifically so the classifier has enough positive examples — document this oversampling clearly, since it is a modeling choice, not a claim about real-world prevalence):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Amount anomalies: claim amount unusually close to (or exceeding) sum insured, or a round-number claim amount.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Timing anomalies: incident within days of policy inception, or immediately before policy expiry/non-renewal.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Frequency anomalies: multiple claims by the same claimant across short windows, or claims clustered at the same repair shop/hospital.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Narrative anomalies: incident descriptions with inconsistent details, injected via prompt-conditioned generation with intentionally vague or contradictory phrasing.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Network anomalies: shared contact details, addresses, or witnesses across ostensibly unrelated claimants (staged-ring simulation).</w:t>
      </w:r>
    </w:p>
    <w:p>
      <w:pPr>
        <w:spacing w:after="160" w:line="276"/>
      </w:pPr>
      <w:r>
        <w:rPr>
          <w:sz w:val="21"/>
          <w:szCs w:val="21"/>
        </w:rPr>
        <w:t xml:space="preserve">Tag every injected record with the specific fraud pattern(s) used, so you can evaluate not just “fraud vs. not” accuracy but also which pattern types the model catches or misses — useful for the explainability layer.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2.4 Recommended generation pipeline (step by step)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1"/>
          <w:szCs w:val="21"/>
        </w:rPr>
        <w:t xml:space="preserve">Set up a data-generation module (Python) separate from the application code, versioned in its own package (e.g., claimsense_datagen).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1"/>
          <w:szCs w:val="21"/>
        </w:rPr>
        <w:t xml:space="preserve">Layer 1 — Reference calibration: pull down the real reference datasets (Section 1.2) and compute summary statistics (means, variances, correlation matrices, category frequencies).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1"/>
          <w:szCs w:val="21"/>
        </w:rPr>
        <w:t xml:space="preserve">Layer 2 — Schema definition: define Pydantic models for Policy, Claim, Claimant, ClaimHistory, AdjudicationPrecedent so generation output is always schema-valid.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1"/>
          <w:szCs w:val="21"/>
        </w:rPr>
        <w:t xml:space="preserve">Layer 3 — Structured generation: use SDV (Synthetic Data Vault) or Mimesis + NumPy/SciPy for tabular fields sampled from the calibrated distributions.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1"/>
          <w:szCs w:val="21"/>
        </w:rPr>
        <w:t xml:space="preserve">Layer 4 — Narrative generation: batch-call Azure OpenAI to generate incident_description, adjuster_notes, and (for precedent data) adjudication_reasoning conditioned on the structured fields.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1"/>
          <w:szCs w:val="21"/>
        </w:rPr>
        <w:t xml:space="preserve">Layer 5 — Fraud injection: apply the pattern library from 2.3 to a sampled subset, writing an injected_patterns array per record.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1"/>
          <w:szCs w:val="21"/>
        </w:rPr>
        <w:t xml:space="preserve">Layer 6 — Referential integrity pass: ensure every claim references a valid policy_id/clause set and every clause cited in a precedent actually exists in that policy.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1"/>
          <w:szCs w:val="21"/>
        </w:rPr>
        <w:t xml:space="preserve">Layer 7 — Export: write to PostgreSQL/Azure SQL via SQLAlchemy and to Parquet/CSV snapshots in Azure Blob Storage for reproducibility and Spark processing.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1"/>
          <w:szCs w:val="21"/>
        </w:rPr>
        <w:t xml:space="preserve">Layer 8 — Validation report: auto-generate a data-quality report (class balance, missingness, distribution plots) and log it to MLflow as a dataset artifact.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Database Schema</w:t>
      </w:r>
    </w:p>
    <w:p>
      <w:pPr>
        <w:spacing w:after="160" w:line="276"/>
      </w:pPr>
      <w:r>
        <w:rPr>
          <w:sz w:val="21"/>
          <w:szCs w:val="21"/>
        </w:rPr>
        <w:t xml:space="preserve">Relational core in PostgreSQL / Azure SQL for structured/transactional data; the vector store (FAISS/ChromaDB) holds embeddings separately, keyed back to clause_id below so citations resolve to a real row.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3.1 Entity overview</w:t>
      </w:r>
    </w:p>
    <w:p>
      <w:pPr>
        <w:spacing w:after="160" w:line="276"/>
      </w:pPr>
      <w:r>
        <w:rPr>
          <w:sz w:val="21"/>
          <w:szCs w:val="21"/>
        </w:rPr>
        <w:t xml:space="preserve">Core entities: policyholders → policies → policy_clauses (chunked &amp; embedded) → claims → claim_documents, fraud_risk_scores, adjudication_decisions, regulatory_circulars (chunked &amp; embedded), adjusters/users, audit_log, model_registry_meta.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3.2 Table definitions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policyholders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600"/>
        <w:gridCol w:w="3650"/>
      </w:tblGrid>
      <w:tr>
        <w:trPr>
          <w:tblHeader/>
        </w:trPr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policyholder_id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 (PK)</w:t>
            </w:r>
          </w:p>
        </w:tc>
        <w:tc>
          <w:tcPr>
            <w:tcW w:type="dxa" w:w="36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Generated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full_name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Synthetic</w:t>
            </w:r>
          </w:p>
        </w:tc>
      </w:tr>
      <w:tr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date_of_birth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36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contact_flags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JSONB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Synthetic anomaly flags (shared contact, etc.)</w:t>
            </w:r>
          </w:p>
        </w:tc>
      </w:tr>
      <w:tr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kyc_status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36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Verified / Pending / Flagged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now()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policies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600"/>
        <w:gridCol w:w="3650"/>
      </w:tblGrid>
      <w:tr>
        <w:trPr>
          <w:tblHeader/>
        </w:trPr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policy_id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 (PK)</w:t>
            </w:r>
          </w:p>
        </w:tc>
        <w:tc>
          <w:tcPr>
            <w:tcW w:type="dxa" w:w="36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policyholder_id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 (FK → policyholders)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product_line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36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Motor / Health / Fire / Marine / Property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sum_insured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NUMERIC(14,2)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premium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36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policy_start_date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policy_end_date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36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tenure_years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document_uri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36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Blob Storage path to generated policy PDF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version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Supports amendments/riders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policy_clauses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600"/>
        <w:gridCol w:w="3650"/>
      </w:tblGrid>
      <w:tr>
        <w:trPr>
          <w:tblHeader/>
        </w:trPr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clause_id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 (PK)</w:t>
            </w:r>
          </w:p>
        </w:tc>
        <w:tc>
          <w:tcPr>
            <w:tcW w:type="dxa" w:w="36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policy_id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 (FK → policies)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clause_type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36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Coverage / Exclusion / Condition / Rider / Definition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clause_number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e.g., “4.2(b)” — used in citations</w:t>
            </w:r>
          </w:p>
        </w:tc>
      </w:tr>
      <w:tr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clause_text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36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Chunked text used for embedding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embedding_vector_id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 reference to FAISS/ChromaDB vector id</w:t>
            </w:r>
          </w:p>
        </w:tc>
      </w:tr>
      <w:tr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6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claims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600"/>
        <w:gridCol w:w="3650"/>
      </w:tblGrid>
      <w:tr>
        <w:trPr>
          <w:tblHeader/>
        </w:trPr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claim_id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 (PK)</w:t>
            </w:r>
          </w:p>
        </w:tc>
        <w:tc>
          <w:tcPr>
            <w:tcW w:type="dxa" w:w="36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policy_id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 (FK → policies)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claimant_id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 (FK → policyholders)</w:t>
            </w:r>
          </w:p>
        </w:tc>
        <w:tc>
          <w:tcPr>
            <w:tcW w:type="dxa" w:w="36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claim_amount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NUMERIC(14,2)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claim_type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36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incident_date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days_since_policy_start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36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Derived, indexed for model features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incident_location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incident_description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36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Synthetic free text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prior_claim_count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Denormalized for fast feature lookup</w:t>
            </w:r>
          </w:p>
        </w:tc>
      </w:tr>
      <w:tr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36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Submitted / Under Review / Approved / Denied / Investigating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injected_fraud_patterns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JSONB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Ground-truth tags (synthetic data only)</w:t>
            </w:r>
          </w:p>
        </w:tc>
      </w:tr>
      <w:tr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6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fraud_risk_scores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600"/>
        <w:gridCol w:w="3650"/>
      </w:tblGrid>
      <w:tr>
        <w:trPr>
          <w:tblHeader/>
        </w:trPr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score_id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 (PK)</w:t>
            </w:r>
          </w:p>
        </w:tc>
        <w:tc>
          <w:tcPr>
            <w:tcW w:type="dxa" w:w="36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claim_id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 (FK → claims)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model_version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36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MLflow run/model registry version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risk_level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 / Medium / High</w:t>
            </w:r>
          </w:p>
        </w:tc>
      </w:tr>
      <w:tr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risk_probability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NUMERIC(5,4)</w:t>
            </w:r>
          </w:p>
        </w:tc>
        <w:tc>
          <w:tcPr>
            <w:tcW w:type="dxa" w:w="36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feature_snapshot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JSONB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Feature vector used at scoring time</w:t>
            </w:r>
          </w:p>
        </w:tc>
      </w:tr>
      <w:tr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scored_at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6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adjudication_decisions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600"/>
        <w:gridCol w:w="3650"/>
      </w:tblGrid>
      <w:tr>
        <w:trPr>
          <w:tblHeader/>
        </w:trPr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decision_id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 (PK)</w:t>
            </w:r>
          </w:p>
        </w:tc>
        <w:tc>
          <w:tcPr>
            <w:tcW w:type="dxa" w:w="36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claim_id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 (FK → claims)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36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Approve / Flag for Investigation / Deny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cited_clause_ids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UUID[]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Array → policy_clauses</w:t>
            </w:r>
          </w:p>
        </w:tc>
      </w:tr>
      <w:tr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reasoning_text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36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LLM-generated explanation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adjuster_id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 (FK → users)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Nullable until reviewed</w:t>
            </w:r>
          </w:p>
        </w:tc>
      </w:tr>
      <w:tr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adjuster_override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36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Nullable; final human decision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decided_at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regulatory_circulars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600"/>
        <w:gridCol w:w="3650"/>
      </w:tblGrid>
      <w:tr>
        <w:trPr>
          <w:tblHeader/>
        </w:trPr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circular_id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 (PK)</w:t>
            </w:r>
          </w:p>
        </w:tc>
        <w:tc>
          <w:tcPr>
            <w:tcW w:type="dxa" w:w="36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IRDAI / State / Central</w:t>
            </w:r>
          </w:p>
        </w:tc>
      </w:tr>
      <w:tr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title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VARCHAR(300)</w:t>
            </w:r>
          </w:p>
        </w:tc>
        <w:tc>
          <w:tcPr>
            <w:tcW w:type="dxa" w:w="36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issue_date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chunk_text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36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embedding_vector_id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users (adjusters / admins) and audit_log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600"/>
        <w:gridCol w:w="3650"/>
      </w:tblGrid>
      <w:tr>
        <w:trPr>
          <w:tblHeader/>
        </w:trPr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user_id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 (PK)</w:t>
            </w:r>
          </w:p>
        </w:tc>
        <w:tc>
          <w:tcPr>
            <w:tcW w:type="dxa" w:w="36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users table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Adjuster / Supervisor / Admin</w:t>
            </w:r>
          </w:p>
        </w:tc>
      </w:tr>
      <w:tr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audit_id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 (PK)</w:t>
            </w:r>
          </w:p>
        </w:tc>
        <w:tc>
          <w:tcPr>
            <w:tcW w:type="dxa" w:w="36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audit_log table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entity_type / entity_id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 / UUID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Polymorphic reference (claim, decision, etc.)</w:t>
            </w:r>
          </w:p>
        </w:tc>
      </w:tr>
      <w:tr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action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36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 / Updated / Overridden / Escalated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actor_id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 (FK → users)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6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model_registry_meta (mirrors MLflow Model Registry)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600"/>
        <w:gridCol w:w="3650"/>
      </w:tblGrid>
      <w:tr>
        <w:trPr>
          <w:tblHeader/>
        </w:trPr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model_id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 (PK)</w:t>
            </w:r>
          </w:p>
        </w:tc>
        <w:tc>
          <w:tcPr>
            <w:tcW w:type="dxa" w:w="36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model_name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e.g., fraud_risk_classifier</w:t>
            </w:r>
          </w:p>
        </w:tc>
      </w:tr>
      <w:tr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version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36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algorithm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LogReg / RandomForest / GBM / XGBoost</w:t>
            </w:r>
          </w:p>
        </w:tc>
      </w:tr>
      <w:tr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metrics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JSONB</w:t>
            </w:r>
          </w:p>
        </w:tc>
        <w:tc>
          <w:tcPr>
            <w:tcW w:type="dxa" w:w="36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AUC, F1, precision/recall snapshot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Staging / Production / Archived</w:t>
            </w:r>
          </w:p>
        </w:tc>
      </w:tr>
      <w:tr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registered_at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6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Development &amp; Deployment Tools to Install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4.1 Local development machine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Python 3.11 (via pyenv or python.org installer)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Git + Git LFS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Visual Studio Code (see Section 6 for full config)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Docker Desktop (with WSL2 backend on Windows)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Azure CLI (az) and Azure Developer CLI (azd)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kubectl and Helm (for AKS)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Terraform or Bicep CLI (infrastructure-as-code for Azure resources)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Postman or Bruno (API testing for FastAPI endpoints)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DBeaver or Azure Data Studio (PostgreSQL/Azure SQL client)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pgAdmin (optional, PostgreSQL-specific admin UI)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Node.js LTS (only if the frontend later moves from Streamlit to a JS dashboard)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4.2 CI/CD &amp; cloud tooling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GitHub Actions or Azure DevOps Pipelines (build/test/push/deploy)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Azure Container Registry (ACR) CLI extension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Azure Kubernetes Service (AKS) — cluster + node pool provisioning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MLflow Tracking Server (self-hosted on AKS, or Azure ML-managed MLflow)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Azure Monitor / Application Insights SDKs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Trivy or Microsoft Defender for Containers (image vulnerability scanning in the pipeline)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Technology Stack &amp; Installation Requirements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5.1 Core Python requirements.txt</w:t>
      </w:r>
    </w:p>
    <w:p>
      <w:pPr>
        <w:shd w:fill="F2F2F2" w:val="clear"/>
        <w:spacing w:after="0" w:before="100" w:line="240"/>
      </w:pPr>
      <w:r>
        <w:rPr>
          <w:rFonts w:ascii="Consolas" w:cs="Consolas" w:eastAsia="Consolas" w:hAnsi="Consolas"/>
          <w:sz w:val="18"/>
          <w:szCs w:val="18"/>
        </w:rPr>
        <w:t xml:space="preserve">fastapi==0.115.*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uvicorn[standard]==0.30.*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pydantic==2.*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langchain==0.3.*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langchain-openai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sentence-transformers==3.*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faiss-cpu==1.8.*          # or chromadb==0.5.*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scikit-learn==1.5.*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xgboost==2.1.*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pandas==2.2.*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numpy==1.26.*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pyspark==3.5.*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mlflow==2.16.*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sdv==1.16.*                # synthetic data vault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faker==26.*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sqlalchemy==2.*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psycopg2-binary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azure-storage-blob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azure-identity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azure-ai-formrecognizer    # optional, for claim-document OCR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streamlit==1.38.*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pytest, pytest-cov</w:t>
      </w:r>
    </w:p>
    <w:p>
      <w:pPr>
        <w:shd w:fill="F2F2F2" w:val="clear"/>
        <w:spacing w:after="30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python-dotenv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5.2 Other tech-stack components (as scoped)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5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Install / provision via</w:t>
            </w:r>
          </w:p>
        </w:tc>
      </w:tr>
      <w:tr>
        <w:tc>
          <w:tcPr>
            <w:tcW w:type="dxa" w:w="2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framework</w:t>
            </w:r>
          </w:p>
        </w:tc>
        <w:tc>
          <w:tcPr>
            <w:tcW w:type="dxa" w:w="3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LangChain</w:t>
            </w:r>
          </w:p>
        </w:tc>
        <w:tc>
          <w:tcPr>
            <w:tcW w:type="dxa" w:w="33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pip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Embeddings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Sentence Transformers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pip (downloads model weights on first run)</w:t>
            </w:r>
          </w:p>
        </w:tc>
      </w:tr>
      <w:tr>
        <w:tc>
          <w:tcPr>
            <w:tcW w:type="dxa" w:w="2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Vector database</w:t>
            </w:r>
          </w:p>
        </w:tc>
        <w:tc>
          <w:tcPr>
            <w:tcW w:type="dxa" w:w="3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FAISS / ChromaDB</w:t>
            </w:r>
          </w:p>
        </w:tc>
        <w:tc>
          <w:tcPr>
            <w:tcW w:type="dxa" w:w="33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pip; ChromaDB can also run as a Docker service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LLM integration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Azure OpenAI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Azure Portal resource + API key/AAD auth</w:t>
            </w:r>
          </w:p>
        </w:tc>
      </w:tr>
      <w:tr>
        <w:tc>
          <w:tcPr>
            <w:tcW w:type="dxa" w:w="2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ML classification</w:t>
            </w:r>
          </w:p>
        </w:tc>
        <w:tc>
          <w:tcPr>
            <w:tcW w:type="dxa" w:w="3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Scikit-learn, XGBoost</w:t>
            </w:r>
          </w:p>
        </w:tc>
        <w:tc>
          <w:tcPr>
            <w:tcW w:type="dxa" w:w="33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pip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Experiment tracking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MLflow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pip + self-hosted tracking server (Docker/AKS) or Azure ML</w:t>
            </w:r>
          </w:p>
        </w:tc>
      </w:tr>
      <w:tr>
        <w:tc>
          <w:tcPr>
            <w:tcW w:type="dxa" w:w="2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processing</w:t>
            </w:r>
          </w:p>
        </w:tc>
        <w:tc>
          <w:tcPr>
            <w:tcW w:type="dxa" w:w="3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Pandas, NumPy, Apache Spark</w:t>
            </w:r>
          </w:p>
        </w:tc>
        <w:tc>
          <w:tcPr>
            <w:tcW w:type="dxa" w:w="33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pip; Spark via Databricks on Azure or standalone cluster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FastAPI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pip</w:t>
            </w:r>
          </w:p>
        </w:tc>
      </w:tr>
      <w:tr>
        <w:tc>
          <w:tcPr>
            <w:tcW w:type="dxa" w:w="2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3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Streamlit</w:t>
            </w:r>
          </w:p>
        </w:tc>
        <w:tc>
          <w:tcPr>
            <w:tcW w:type="dxa" w:w="33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pip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PostgreSQL / Azure SQL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Azure Database for PostgreSQL Flexible Server, or Azure SQL</w:t>
            </w:r>
          </w:p>
        </w:tc>
      </w:tr>
      <w:tr>
        <w:tc>
          <w:tcPr>
            <w:tcW w:type="dxa" w:w="2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Deployment</w:t>
            </w:r>
          </w:p>
        </w:tc>
        <w:tc>
          <w:tcPr>
            <w:tcW w:type="dxa" w:w="3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Docker → ACR → AKS</w:t>
            </w:r>
          </w:p>
        </w:tc>
        <w:tc>
          <w:tcPr>
            <w:tcW w:type="dxa" w:w="33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Docker Desktop, az acr, az aks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Monitoring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Azure Monitor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Azure Portal, auto-instrumented via App Insights SDK</w:t>
            </w:r>
          </w:p>
        </w:tc>
      </w:tr>
      <w:tr>
        <w:tc>
          <w:tcPr>
            <w:tcW w:type="dxa" w:w="2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Storage</w:t>
            </w:r>
          </w:p>
        </w:tc>
        <w:tc>
          <w:tcPr>
            <w:tcW w:type="dxa" w:w="3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Azure Blob Storage</w:t>
            </w:r>
          </w:p>
        </w:tc>
        <w:tc>
          <w:tcPr>
            <w:tcW w:type="dxa" w:w="33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Azure Portal / az storage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VS Code Environment Configuration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6.1 Recommended extensions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Python (ms-python.python) + Pylance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Jupyter (ms-toolsai.jupyter) — for EDA on synthetic data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Docker (ms-azuretools.vscode-docker)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Azure Tools extension pack (ms-vscode.vscode-node-azure-pack)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Azure Kubernetes Service (ms-kubernetes-tools.vscode-kubernetes-tools)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REST Client or Thunder Client — quick FastAPI endpoint testing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GitLens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Even Better TOML / DotENV — for config file editing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Ruff or Flake8 + Black formatter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6.2 Project virtual environment setup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1"/>
          <w:szCs w:val="21"/>
        </w:rPr>
        <w:t xml:space="preserve">python -m venv .venv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1"/>
          <w:szCs w:val="21"/>
        </w:rPr>
        <w:t xml:space="preserve">Windows: .venv\Scripts\activate   |   macOS/Linux: source .venv/bin/activate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1"/>
          <w:szCs w:val="21"/>
        </w:rPr>
        <w:t xml:space="preserve">pip install --upgrade pip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1"/>
          <w:szCs w:val="21"/>
        </w:rPr>
        <w:t xml:space="preserve">pip install -r requirements.txt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1"/>
          <w:szCs w:val="21"/>
        </w:rPr>
        <w:t xml:space="preserve">Select the .venv interpreter in VS Code: Ctrl+Shift+P → “Python: Select Interpreter”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6.3 .vscode/settings.json (suggested)</w:t>
      </w:r>
    </w:p>
    <w:p>
      <w:pPr>
        <w:shd w:fill="F2F2F2" w:val="clear"/>
        <w:spacing w:after="0" w:before="10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"python.defaultInterpreterPath": "${workspaceFolder}/.venv/bin/python",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"python.testing.pytestEnabled": true,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"python.testing.pytestArgs": ["tests"],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"editor.formatOnSave": true,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"python.formatting.provider": "black",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"files.exclude": { "**/__pycache__": true, "**/.mypy_cache": true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"docker.showStartPage": false</w:t>
      </w:r>
    </w:p>
    <w:p>
      <w:pPr>
        <w:shd w:fill="F2F2F2" w:val="clear"/>
        <w:spacing w:after="30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6.4 .env template</w:t>
      </w:r>
    </w:p>
    <w:p>
      <w:pPr>
        <w:shd w:fill="F2F2F2" w:val="clear"/>
        <w:spacing w:after="0" w:before="100" w:line="240"/>
      </w:pPr>
      <w:r>
        <w:rPr>
          <w:rFonts w:ascii="Consolas" w:cs="Consolas" w:eastAsia="Consolas" w:hAnsi="Consolas"/>
          <w:sz w:val="18"/>
          <w:szCs w:val="18"/>
        </w:rPr>
        <w:t xml:space="preserve">AZURE_OPENAI_ENDPOINT=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AZURE_OPENAI_API_KEY=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AZURE_OPENAI_DEPLOYMENT=gpt-4o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DATABASE_URL=postgresql://user:pass@localhost:5432/claimsense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AZURE_STORAGE_CONNECTION_STRING=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VECTOR_DB=faiss           # or chromadb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MLFLOW_TRACKING_URI=http://localhost:5000</w:t>
      </w:r>
    </w:p>
    <w:p>
      <w:pPr>
        <w:shd w:fill="F2F2F2" w:val="clear"/>
        <w:spacing w:after="30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ENV=development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6.5 launch.json (debug FastAPI in VS Code)</w:t>
      </w:r>
    </w:p>
    <w:p>
      <w:pPr>
        <w:shd w:fill="F2F2F2" w:val="clear"/>
        <w:spacing w:after="0" w:before="10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"version": "0.2.0",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"configurations": [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"name": "FastAPI: Uvicorn",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"debugpy",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"request": "launch",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"module": "uvicorn",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"args": ["app.main:app", "--reload", "--port", "8000"],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"jinja": true,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"envFile": "${workspaceFolder}/.env"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2F2F2" w:val="clear"/>
        <w:spacing w:after="30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7. Azure Resource Configuration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700"/>
        <w:gridCol w:w="2550"/>
      </w:tblGrid>
      <w:tr>
        <w:trPr>
          <w:tblHeader/>
        </w:trPr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3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5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Suggested tier / notes</w:t>
            </w:r>
          </w:p>
        </w:tc>
      </w:tr>
      <w:tr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Resource Group</w:t>
            </w:r>
          </w:p>
        </w:tc>
        <w:tc>
          <w:tcPr>
            <w:tcW w:type="dxa" w:w="37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Logical container for all project resources</w:t>
            </w:r>
          </w:p>
        </w:tc>
        <w:tc>
          <w:tcPr>
            <w:tcW w:type="dxa" w:w="25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rg-claimsense-dev / -prod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Azure OpenAI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LLM for RAG generation + synthetic narrative generation</w:t>
            </w:r>
          </w:p>
        </w:tc>
        <w:tc>
          <w:tcPr>
            <w:tcW w:type="dxa" w:w="2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Standard, request GPT-4o deployment quota</w:t>
            </w:r>
          </w:p>
        </w:tc>
      </w:tr>
      <w:tr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Azure Container Registry (ACR)</w:t>
            </w:r>
          </w:p>
        </w:tc>
        <w:tc>
          <w:tcPr>
            <w:tcW w:type="dxa" w:w="37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 Docker images for API, worker, dashboard</w:t>
            </w:r>
          </w:p>
        </w:tc>
        <w:tc>
          <w:tcPr>
            <w:tcW w:type="dxa" w:w="25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Basic (dev) → Standard (prod)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Azure Kubernetes Service (AKS)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Runtime for FastAPI backend, Streamlit frontend, workers</w:t>
            </w:r>
          </w:p>
        </w:tc>
        <w:tc>
          <w:tcPr>
            <w:tcW w:type="dxa" w:w="2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2–3 node pool (dev), autoscaling node pool (prod)</w:t>
            </w:r>
          </w:p>
        </w:tc>
      </w:tr>
      <w:tr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Azure Database for PostgreSQL Flexible Server</w:t>
            </w:r>
          </w:p>
        </w:tc>
        <w:tc>
          <w:tcPr>
            <w:tcW w:type="dxa" w:w="37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Relational store (or Azure SQL as alternative)</w:t>
            </w:r>
          </w:p>
        </w:tc>
        <w:tc>
          <w:tcPr>
            <w:tcW w:type="dxa" w:w="25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Burstable B2s (dev) → General Purpose (prod)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Azure Blob Storage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Synthetic policy PDFs, claim documents, dataset snapshots</w:t>
            </w:r>
          </w:p>
        </w:tc>
        <w:tc>
          <w:tcPr>
            <w:tcW w:type="dxa" w:w="2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Standard LRS (dev), GRS (prod)</w:t>
            </w:r>
          </w:p>
        </w:tc>
      </w:tr>
      <w:tr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Azure Key Vault</w:t>
            </w:r>
          </w:p>
        </w:tc>
        <w:tc>
          <w:tcPr>
            <w:tcW w:type="dxa" w:w="37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Secrets: OpenAI keys, DB connection strings, storage keys</w:t>
            </w:r>
          </w:p>
        </w:tc>
        <w:tc>
          <w:tcPr>
            <w:tcW w:type="dxa" w:w="25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Azure Monitor / Application Insights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Logs, traces, model-serving latency, drift alerts</w:t>
            </w:r>
          </w:p>
        </w:tc>
        <w:tc>
          <w:tcPr>
            <w:tcW w:type="dxa" w:w="2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Pay-as-you-go</w:t>
            </w:r>
          </w:p>
        </w:tc>
      </w:tr>
      <w:tr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MLflow Tracking (self-hosted on AKS or Azure ML workspace)</w:t>
            </w:r>
          </w:p>
        </w:tc>
        <w:tc>
          <w:tcPr>
            <w:tcW w:type="dxa" w:w="37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Experiment tracking + model registry</w:t>
            </w:r>
          </w:p>
        </w:tc>
        <w:tc>
          <w:tcPr>
            <w:tcW w:type="dxa" w:w="25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Azure ML Standard workspace, or AKS-hosted MLflow + Blob artifact store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Azure DevOps / GitHub Actions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CI/CD: build → test → push to ACR → deploy to AKS</w:t>
            </w:r>
          </w:p>
        </w:tc>
        <w:tc>
          <w:tcPr>
            <w:tcW w:type="dxa" w:w="2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 tier sufficient for a course/pilot project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8. High-Level Task Breakdown (Work Plan)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300"/>
        <w:gridCol w:w="155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tasks</w:t>
            </w:r>
          </w:p>
        </w:tc>
        <w:tc>
          <w:tcPr>
            <w:tcW w:type="dxa" w:w="15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Suggested duration</w:t>
            </w:r>
          </w:p>
        </w:tc>
      </w:tr>
      <w:tr>
        <w:tc>
          <w:tcPr>
            <w:tcW w:type="dxa" w:w="25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 Setup &amp; data foundations</w:t>
            </w:r>
          </w:p>
        </w:tc>
        <w:tc>
          <w:tcPr>
            <w:tcW w:type="dxa" w:w="53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Provision Azure resources; build synthetic policy + claims generator; ingest real IRDAI circulars</w:t>
            </w:r>
          </w:p>
        </w:tc>
        <w:tc>
          <w:tcPr>
            <w:tcW w:type="dxa" w:w="15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 1–2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 RAG knowledge base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Chunk/embed policies + circulars; build hybrid (dense+keyword) retrieval; citation resolution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 3–4</w:t>
            </w:r>
          </w:p>
        </w:tc>
      </w:tr>
      <w:tr>
        <w:tc>
          <w:tcPr>
            <w:tcW w:type="dxa" w:w="25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 Fraud/risk ML model</w:t>
            </w:r>
          </w:p>
        </w:tc>
        <w:tc>
          <w:tcPr>
            <w:tcW w:type="dxa" w:w="53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Feature engineering; train LogReg/RF/GBM/XGBoost; MLflow tracking; register best model</w:t>
            </w:r>
          </w:p>
        </w:tc>
        <w:tc>
          <w:tcPr>
            <w:tcW w:type="dxa" w:w="15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 3–5 (parallel)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4. Adjudication generation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Prompt design for explainable recommendation + clause citation; guardrails against hallucinated clauses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 5–6</w:t>
            </w:r>
          </w:p>
        </w:tc>
      </w:tr>
      <w:tr>
        <w:tc>
          <w:tcPr>
            <w:tcW w:type="dxa" w:w="25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5. Dashboard &amp; API</w:t>
            </w:r>
          </w:p>
        </w:tc>
        <w:tc>
          <w:tcPr>
            <w:tcW w:type="dxa" w:w="53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FastAPI endpoints; Streamlit adjuster dashboard; analytics views</w:t>
            </w:r>
          </w:p>
        </w:tc>
        <w:tc>
          <w:tcPr>
            <w:tcW w:type="dxa" w:w="15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 6–7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6. MLOps &amp; deployment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Dockerize; CI/CD pipeline; AKS deployment; drift monitoring + auto-retrain trigger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 7–8</w:t>
            </w:r>
          </w:p>
        </w:tc>
      </w:tr>
      <w:tr>
        <w:tc>
          <w:tcPr>
            <w:tcW w:type="dxa" w:w="25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7. Validation &amp; handover</w:t>
            </w:r>
          </w:p>
        </w:tc>
        <w:tc>
          <w:tcPr>
            <w:tcW w:type="dxa" w:w="53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End-to-end testing on synthetic claims; documentation; demo</w:t>
            </w:r>
          </w:p>
        </w:tc>
        <w:tc>
          <w:tcPr>
            <w:tcW w:type="dxa" w:w="15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 9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9. Reference Links</w:t>
      </w:r>
    </w:p>
    <w:p>
      <w:pPr>
        <w:spacing w:after="160" w:line="276"/>
      </w:pPr>
      <w:r>
        <w:rPr>
          <w:sz w:val="21"/>
          <w:szCs w:val="21"/>
        </w:rPr>
        <w:t xml:space="preserve">IRDAI circulars: </w:t>
      </w:r>
      <w:hyperlink w:history="1" r:id="rIdie1lcldleon1jrsxtxvsq">
        <w:r>
          <w:rPr>
            <w:rStyle w:val="Hyperlink"/>
            <w:sz w:val="21"/>
            <w:szCs w:val="21"/>
          </w:rPr>
          <w:t xml:space="preserve">https://policyholder.gov.in/web/guest/circulars</w:t>
        </w:r>
      </w:hyperlink>
    </w:p>
    <w:p>
      <w:pPr>
        <w:spacing w:after="160" w:line="276"/>
      </w:pPr>
      <w:r>
        <w:rPr>
          <w:sz w:val="21"/>
          <w:szCs w:val="21"/>
        </w:rPr>
        <w:t xml:space="preserve">IRDAI annual reports: </w:t>
      </w:r>
      <w:hyperlink w:history="1" r:id="rIdkjm66rxmezvayfgnc_651">
        <w:r>
          <w:rPr>
            <w:rStyle w:val="Hyperlink"/>
            <w:sz w:val="21"/>
            <w:szCs w:val="21"/>
          </w:rPr>
          <w:t xml:space="preserve">https://policyholder.gov.in/irdai-annual-reports</w:t>
        </w:r>
      </w:hyperlink>
    </w:p>
    <w:p>
      <w:pPr>
        <w:spacing w:after="160" w:line="276"/>
      </w:pPr>
      <w:r>
        <w:rPr>
          <w:sz w:val="21"/>
          <w:szCs w:val="21"/>
        </w:rPr>
        <w:t xml:space="preserve">IRDAI statistics aggregation: </w:t>
      </w:r>
      <w:hyperlink w:history="1" r:id="rIdsakctwet1vhphwnb3uf17">
        <w:r>
          <w:rPr>
            <w:rStyle w:val="Hyperlink"/>
            <w:sz w:val="21"/>
            <w:szCs w:val="21"/>
          </w:rPr>
          <w:t xml:space="preserve">https://dataful.in</w:t>
        </w:r>
      </w:hyperlink>
    </w:p>
    <w:p>
      <w:pPr>
        <w:spacing w:after="160" w:line="276"/>
      </w:pPr>
      <w:r>
        <w:rPr>
          <w:sz w:val="21"/>
          <w:szCs w:val="21"/>
        </w:rPr>
        <w:t xml:space="preserve">data.gov.in open datasets: </w:t>
      </w:r>
      <w:hyperlink w:history="1" r:id="rIdswz4pb5fmt_jirvfpiav_">
        <w:r>
          <w:rPr>
            <w:rStyle w:val="Hyperlink"/>
            <w:sz w:val="21"/>
            <w:szCs w:val="21"/>
          </w:rPr>
          <w:t xml:space="preserve">https://data.gov.in</w:t>
        </w:r>
      </w:hyperlink>
    </w:p>
    <w:p>
      <w:pPr>
        <w:spacing w:after="160" w:line="276"/>
      </w:pPr>
      <w:r>
        <w:rPr>
          <w:sz w:val="21"/>
          <w:szCs w:val="21"/>
        </w:rPr>
        <w:t xml:space="preserve">Kaggle auto insurance claims dataset (reference schema): </w:t>
      </w:r>
      <w:hyperlink w:history="1" r:id="rIdx3uglqkpoz5zhvra4aij7">
        <w:r>
          <w:rPr>
            <w:rStyle w:val="Hyperlink"/>
            <w:sz w:val="21"/>
            <w:szCs w:val="21"/>
          </w:rPr>
          <w:t xml:space="preserve">https://www.kaggle.com/datasets/roshansharma/insurance-claim</w:t>
        </w:r>
      </w:hyperlink>
    </w:p>
    <w:p>
      <w:pPr>
        <w:spacing w:after="160" w:line="276"/>
      </w:pPr>
      <w:r>
        <w:rPr>
          <w:sz w:val="21"/>
          <w:szCs w:val="21"/>
        </w:rPr>
        <w:t xml:space="preserve">IEEE-CIS Fraud Detection dataset: </w:t>
      </w:r>
      <w:hyperlink w:history="1" r:id="rIdwntx1bx38zr5_brxe-fbf">
        <w:r>
          <w:rPr>
            <w:rStyle w:val="Hyperlink"/>
            <w:sz w:val="21"/>
            <w:szCs w:val="21"/>
          </w:rPr>
          <w:t xml:space="preserve">https://www.kaggle.com/c/ieee-fraud-detection</w:t>
        </w:r>
      </w:hyperlink>
    </w:p>
    <w:p>
      <w:pPr>
        <w:spacing w:after="160" w:line="276"/>
      </w:pPr>
      <w:r>
        <w:rPr>
          <w:sz w:val="21"/>
          <w:szCs w:val="21"/>
        </w:rPr>
        <w:t xml:space="preserve">CMS DE-SynPUF (synthetic Medicare claims): </w:t>
      </w:r>
      <w:hyperlink w:history="1" r:id="rIdbflzdfslwb9b4kvwpmtci">
        <w:r>
          <w:rPr>
            <w:rStyle w:val="Hyperlink"/>
            <w:sz w:val="21"/>
            <w:szCs w:val="21"/>
          </w:rPr>
          <w:t xml:space="preserve">https://www.cms.gov/data-research/statistics-trends-reports/medicare-claims-synthetic-public-use-files</w:t>
        </w:r>
      </w:hyperlink>
    </w:p>
    <w:p>
      <w:pPr>
        <w:spacing w:after="160" w:line="276"/>
      </w:pPr>
      <w:r>
        <w:rPr>
          <w:sz w:val="21"/>
          <w:szCs w:val="21"/>
        </w:rPr>
        <w:t xml:space="preserve">CMS LEIE exclusions list: </w:t>
      </w:r>
      <w:hyperlink w:history="1" r:id="rId1pbdzhms0fbmpt0ytflbb">
        <w:r>
          <w:rPr>
            <w:rStyle w:val="Hyperlink"/>
            <w:sz w:val="21"/>
            <w:szCs w:val="21"/>
          </w:rPr>
          <w:t xml:space="preserve">https://oig.hhs.gov/exclusions/exclusions_list.asp</w:t>
        </w:r>
      </w:hyperlink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i/>
        <w:iCs/>
        <w:color w:val="595959"/>
        <w:sz w:val="16"/>
        <w:szCs w:val="16"/>
      </w:rPr>
      <w:t xml:space="preserve">Claim Sense — Detailed Task Breakdown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ie1lcldleon1jrsxtxvsq" Type="http://schemas.openxmlformats.org/officeDocument/2006/relationships/hyperlink" Target="https://policyholder.gov.in/web/guest/circulars" TargetMode="External"/><Relationship Id="rIdkjm66rxmezvayfgnc_651" Type="http://schemas.openxmlformats.org/officeDocument/2006/relationships/hyperlink" Target="https://policyholder.gov.in/irdai-annual-reports" TargetMode="External"/><Relationship Id="rIdsakctwet1vhphwnb3uf17" Type="http://schemas.openxmlformats.org/officeDocument/2006/relationships/hyperlink" Target="https://dataful.in" TargetMode="External"/><Relationship Id="rIdswz4pb5fmt_jirvfpiav_" Type="http://schemas.openxmlformats.org/officeDocument/2006/relationships/hyperlink" Target="https://data.gov.in" TargetMode="External"/><Relationship Id="rIdx3uglqkpoz5zhvra4aij7" Type="http://schemas.openxmlformats.org/officeDocument/2006/relationships/hyperlink" Target="https://www.kaggle.com/datasets/roshansharma/insurance-claim" TargetMode="External"/><Relationship Id="rIdwntx1bx38zr5_brxe-fbf" Type="http://schemas.openxmlformats.org/officeDocument/2006/relationships/hyperlink" Target="https://www.kaggle.com/c/ieee-fraud-detection" TargetMode="External"/><Relationship Id="rIdbflzdfslwb9b4kvwpmtci" Type="http://schemas.openxmlformats.org/officeDocument/2006/relationships/hyperlink" Target="https://www.cms.gov/data-research/statistics-trends-reports/medicare-claims-synthetic-public-use-files" TargetMode="External"/><Relationship Id="rId1pbdzhms0fbmpt0ytflbb" Type="http://schemas.openxmlformats.org/officeDocument/2006/relationships/hyperlink" Target="https://oig.hhs.gov/exclusions/exclusions_list.asp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2026-09-03T07:04:34.081Z</dcterms:created>
  <dcterms:modified xsi:type="dcterms:W3CDTF">2026-09-03T07:04:34.081Z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