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We present a Manhattan prototype that couples a context-gated graph attention and Transformer forecaster for 15-, 30- and 60-minute link-speed prediction with a retrieval-augmented, constraint-checked agentic workflow that drafts simulation-only signal-timing advisories. The forecaster runs on a directed road-link graph of New York City real-time speeds,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over three seeds it is 0.03 to 0.08 mph below a temporal-only Transformer at every horizon and below a GRU at 30 and 60 minutes, while the GRU is better at 15 minutes.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Figures in this subsection are from the seed-42 runs; the three-seed comparison of the deep models is in </w:t>
      </w:r>
      <w:r>
        <w:t xml:space="preserve">Table III</w:t>
      </w:r>
      <w:r>
        <w:t xml:space="preserv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w:t>
      </w:r>
    </w:p>
    <w:p>
      <w:pPr>
        <w:pStyle w:val="BodyText"/>
      </w:pPr>
      <w:r>
        <w:rPr>
          <w:i/>
          <w:iCs/>
        </w:rPr>
        <w:t xml:space="preserve">Seeds:</w:t>
      </w:r>
      <w:r>
        <w:t xml:space="preserve"> The three deep models were therefore retrained with seeds 42, 1 and 2 on the same GPU, data, budget and code (</w:t>
      </w:r>
      <w:r>
        <w:t xml:space="preserve">Table III</w:t>
      </w:r>
      <w:r>
        <w:t xml:space="preserve">; nine runs, each evaluated on one shared valid-target mask). Two checks came first. Re-running seed 42 reproduced the GRU and the temporal Transformer exactly (same stopping epoch and validation MAE to four decimals) but not the proposed model (25 epochs and validation MAE 5.358 against 14 and 5.388): the only difference between the proposed model and the temporal Transformer is the GATv2 layer, whose scatter operations on the GPU are not bit-reproducible, so on this hardware a fixed seed does not fix the proposed model. The same seed trained on a CPU in the development container stopped at a different epoch again (21 epochs, validation MAE 5.356; its predictions are not stored, so it is not part of the comparison). Over three seeds the proposed model has a seed-mean MAE of 4.69, 5.34 and 6.15 mph (standard deviation 0.06, 0.03 and 0.02 across seeds), the GRU 4.67, 5.37 and 6.18 and the temporal Transformer 4.72, 5.38 and 6.23.</w:t>
      </w:r>
    </w:p>
    <w:p>
      <w:pPr>
        <w:pStyle w:val="tablehead"/>
        <w:keepNext/>
      </w:pPr>
      <w:r>
        <w:t xml:space="preserve">Deep Forecasters Over Three Seeds (Test MAE, mph)</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66"/>
        <w:gridCol w:w="1200"/>
        <w:gridCol w:w="1200"/>
        <w:gridCol w:w="1200"/>
      </w:tblGrid>
      <w:tr>
        <w:trPr>
          <w:cantSplit/>
          <w:tblHeader/>
          <w:jc w:val="center"/>
        </w:trPr>
        <w:tc>
          <w:tcPr>
            <w:tcW w:w="63.30pt" w:type="dxa"/>
            <w:vAlign w:val="center"/>
          </w:tcPr>
          <w:p>
            <w:pPr>
              <w:pStyle w:val="tablecolhead"/>
              <w:keepNext/>
              <w:jc w:val="center"/>
            </w:pPr>
            <w:r>
              <w:rPr>
                <w:b/>
                <w:bCs/>
                <w:sz w:val="13"/>
                <w:szCs w:val="13"/>
              </w:rPr>
              <w:t xml:space="preserve">Model</w:t>
            </w:r>
          </w:p>
        </w:tc>
        <w:tc>
          <w:tcPr>
            <w:tcW w:w="60.00pt" w:type="dxa"/>
            <w:vAlign w:val="center"/>
          </w:tcPr>
          <w:p>
            <w:pPr>
              <w:pStyle w:val="tablecolhead"/>
              <w:keepNext/>
              <w:jc w:val="center"/>
            </w:pPr>
            <w:r>
              <w:rPr>
                <w:b/>
                <w:bCs/>
                <w:sz w:val="13"/>
                <w:szCs w:val="13"/>
              </w:rPr>
              <w:t xml:space="preserve">15 min</w:t>
            </w:r>
          </w:p>
        </w:tc>
        <w:tc>
          <w:tcPr>
            <w:tcW w:w="60.00pt" w:type="dxa"/>
            <w:vAlign w:val="center"/>
          </w:tcPr>
          <w:p>
            <w:pPr>
              <w:pStyle w:val="tablecolhead"/>
              <w:keepNext/>
              <w:jc w:val="center"/>
            </w:pPr>
            <w:r>
              <w:rPr>
                <w:b/>
                <w:bCs/>
                <w:sz w:val="13"/>
                <w:szCs w:val="13"/>
              </w:rPr>
              <w:t xml:space="preserve">30 min</w:t>
            </w:r>
          </w:p>
        </w:tc>
        <w:tc>
          <w:tcPr>
            <w:tcW w:w="60.00pt" w:type="dxa"/>
            <w:vAlign w:val="center"/>
          </w:tcPr>
          <w:p>
            <w:pPr>
              <w:pStyle w:val="tablecolhead"/>
              <w:keepNext/>
              <w:jc w:val="center"/>
            </w:pPr>
            <w:r>
              <w:rPr>
                <w:b/>
                <w:bCs/>
                <w:sz w:val="13"/>
                <w:szCs w:val="13"/>
              </w:rPr>
              <w:t xml:space="preserve">60 min</w:t>
            </w:r>
          </w:p>
        </w:tc>
      </w:tr>
      <w:tr>
        <w:trPr>
          <w:cantSplit/>
          <w:jc w:val="center"/>
        </w:trPr>
        <w:tc>
          <w:tcPr>
            <w:tcW w:w="63.30pt" w:type="dxa"/>
            <w:vAlign w:val="center"/>
          </w:tcPr>
          <w:p>
            <w:pPr>
              <w:pStyle w:val="tablecopy"/>
              <w:keepNext/>
              <w:jc w:val="start"/>
            </w:pPr>
            <w:r>
              <w:rPr>
                <w:sz w:val="13"/>
                <w:szCs w:val="13"/>
              </w:rPr>
              <w:t xml:space="preserve">Proposed (3 seeds)</w:t>
            </w:r>
          </w:p>
        </w:tc>
        <w:tc>
          <w:tcPr>
            <w:tcW w:w="60.00pt" w:type="dxa"/>
            <w:vAlign w:val="center"/>
          </w:tcPr>
          <w:p>
            <w:pPr>
              <w:pStyle w:val="tablecopy"/>
              <w:keepNext/>
              <w:jc w:val="center"/>
            </w:pPr>
            <w:r>
              <w:rPr>
                <w:sz w:val="13"/>
                <w:szCs w:val="13"/>
              </w:rPr>
              <w:t xml:space="preserve">4.688 ± 0.063</w:t>
            </w:r>
            <w:r>
              <w:rPr>
                <w:sz w:val="13"/>
                <w:szCs w:val="13"/>
              </w:rPr>
              <w:br/>
            </w:r>
            <w:r>
              <w:rPr>
                <w:sz w:val="13"/>
                <w:szCs w:val="13"/>
              </w:rPr>
              <w:t xml:space="preserve">[4.650, 4.760]</w:t>
            </w:r>
          </w:p>
        </w:tc>
        <w:tc>
          <w:tcPr>
            <w:tcW w:w="60.00pt" w:type="dxa"/>
            <w:vAlign w:val="center"/>
          </w:tcPr>
          <w:p>
            <w:pPr>
              <w:pStyle w:val="tablecopy"/>
              <w:keepNext/>
              <w:jc w:val="center"/>
            </w:pPr>
            <w:r>
              <w:rPr>
                <w:sz w:val="13"/>
                <w:szCs w:val="13"/>
              </w:rPr>
              <w:t xml:space="preserve">5.339 ± 0.032</w:t>
            </w:r>
            <w:r>
              <w:rPr>
                <w:sz w:val="13"/>
                <w:szCs w:val="13"/>
              </w:rPr>
              <w:br/>
            </w:r>
            <w:r>
              <w:rPr>
                <w:sz w:val="13"/>
                <w:szCs w:val="13"/>
              </w:rPr>
              <w:t xml:space="preserve">[5.302, 5.364]</w:t>
            </w:r>
          </w:p>
        </w:tc>
        <w:tc>
          <w:tcPr>
            <w:tcW w:w="60.00pt" w:type="dxa"/>
            <w:vAlign w:val="center"/>
          </w:tcPr>
          <w:p>
            <w:pPr>
              <w:pStyle w:val="tablecopy"/>
              <w:keepNext/>
              <w:jc w:val="center"/>
            </w:pPr>
            <w:r>
              <w:rPr>
                <w:sz w:val="13"/>
                <w:szCs w:val="13"/>
              </w:rPr>
              <w:t xml:space="preserve">6.153 ± 0.015</w:t>
            </w:r>
            <w:r>
              <w:rPr>
                <w:sz w:val="13"/>
                <w:szCs w:val="13"/>
              </w:rPr>
              <w:br/>
            </w:r>
            <w:r>
              <w:rPr>
                <w:sz w:val="13"/>
                <w:szCs w:val="13"/>
              </w:rPr>
              <w:t xml:space="preserve">[6.139, 6.170]</w:t>
            </w:r>
          </w:p>
        </w:tc>
      </w:tr>
      <w:tr>
        <w:trPr>
          <w:cantSplit/>
          <w:jc w:val="center"/>
        </w:trPr>
        <w:tc>
          <w:tcPr>
            <w:tcW w:w="63.30pt" w:type="dxa"/>
            <w:vAlign w:val="center"/>
          </w:tcPr>
          <w:p>
            <w:pPr>
              <w:pStyle w:val="tablecopy"/>
              <w:keepNext/>
              <w:jc w:val="start"/>
            </w:pPr>
            <w:r>
              <w:rPr>
                <w:sz w:val="13"/>
                <w:szCs w:val="13"/>
              </w:rPr>
              <w:t xml:space="preserve">GRU (3 seeds)</w:t>
            </w:r>
          </w:p>
        </w:tc>
        <w:tc>
          <w:tcPr>
            <w:tcW w:w="60.00pt" w:type="dxa"/>
            <w:vAlign w:val="center"/>
          </w:tcPr>
          <w:p>
            <w:pPr>
              <w:pStyle w:val="tablecopy"/>
              <w:keepNext/>
              <w:jc w:val="center"/>
            </w:pPr>
            <w:r>
              <w:rPr>
                <w:sz w:val="13"/>
                <w:szCs w:val="13"/>
              </w:rPr>
              <w:t xml:space="preserve">4.666 ± 0.057</w:t>
            </w:r>
            <w:r>
              <w:rPr>
                <w:sz w:val="13"/>
                <w:szCs w:val="13"/>
              </w:rPr>
              <w:br/>
            </w:r>
            <w:r>
              <w:rPr>
                <w:sz w:val="13"/>
                <w:szCs w:val="13"/>
              </w:rPr>
              <w:t xml:space="preserve">[4.604, 4.715]</w:t>
            </w:r>
          </w:p>
        </w:tc>
        <w:tc>
          <w:tcPr>
            <w:tcW w:w="60.00pt" w:type="dxa"/>
            <w:vAlign w:val="center"/>
          </w:tcPr>
          <w:p>
            <w:pPr>
              <w:pStyle w:val="tablecopy"/>
              <w:keepNext/>
              <w:jc w:val="center"/>
            </w:pPr>
            <w:r>
              <w:rPr>
                <w:sz w:val="13"/>
                <w:szCs w:val="13"/>
              </w:rPr>
              <w:t xml:space="preserve">5.370 ± 0.020</w:t>
            </w:r>
            <w:r>
              <w:rPr>
                <w:sz w:val="13"/>
                <w:szCs w:val="13"/>
              </w:rPr>
              <w:br/>
            </w:r>
            <w:r>
              <w:rPr>
                <w:sz w:val="13"/>
                <w:szCs w:val="13"/>
              </w:rPr>
              <w:t xml:space="preserve">[5.349, 5.389]</w:t>
            </w:r>
          </w:p>
        </w:tc>
        <w:tc>
          <w:tcPr>
            <w:tcW w:w="60.00pt" w:type="dxa"/>
            <w:vAlign w:val="center"/>
          </w:tcPr>
          <w:p>
            <w:pPr>
              <w:pStyle w:val="tablecopy"/>
              <w:keepNext/>
              <w:jc w:val="center"/>
            </w:pPr>
            <w:r>
              <w:rPr>
                <w:sz w:val="13"/>
                <w:szCs w:val="13"/>
              </w:rPr>
              <w:t xml:space="preserve">6.184 ± 0.010</w:t>
            </w:r>
            <w:r>
              <w:rPr>
                <w:sz w:val="13"/>
                <w:szCs w:val="13"/>
              </w:rPr>
              <w:br/>
            </w:r>
            <w:r>
              <w:rPr>
                <w:sz w:val="13"/>
                <w:szCs w:val="13"/>
              </w:rPr>
              <w:t xml:space="preserve">[6.174, 6.194]</w:t>
            </w:r>
          </w:p>
        </w:tc>
      </w:tr>
      <w:tr>
        <w:trPr>
          <w:cantSplit/>
          <w:jc w:val="center"/>
        </w:trPr>
        <w:tc>
          <w:tcPr>
            <w:tcW w:w="63.30pt" w:type="dxa"/>
            <w:vAlign w:val="center"/>
          </w:tcPr>
          <w:p>
            <w:pPr>
              <w:pStyle w:val="tablecopy"/>
              <w:keepNext/>
              <w:jc w:val="start"/>
            </w:pPr>
            <w:r>
              <w:rPr>
                <w:sz w:val="13"/>
                <w:szCs w:val="13"/>
              </w:rPr>
              <w:t xml:space="preserve">minus proposed (Δ)</w:t>
            </w:r>
          </w:p>
        </w:tc>
        <w:tc>
          <w:tcPr>
            <w:tcW w:w="60.00pt" w:type="dxa"/>
            <w:vAlign w:val="center"/>
          </w:tcPr>
          <w:p>
            <w:pPr>
              <w:pStyle w:val="tablecopy"/>
              <w:keepNext/>
              <w:jc w:val="center"/>
            </w:pPr>
            <w:r>
              <w:rPr>
                <w:sz w:val="13"/>
                <w:szCs w:val="13"/>
              </w:rPr>
              <w:t xml:space="preserve">Δ −0.021</w:t>
            </w:r>
            <w:r>
              <w:rPr>
                <w:sz w:val="13"/>
                <w:szCs w:val="13"/>
              </w:rPr>
              <w:br/>
            </w:r>
            <w:r>
              <w:rPr>
                <w:sz w:val="13"/>
                <w:szCs w:val="13"/>
              </w:rPr>
              <w:t xml:space="preserve">[−0.040, −0.004]</w:t>
            </w:r>
          </w:p>
        </w:tc>
        <w:tc>
          <w:tcPr>
            <w:tcW w:w="60.00pt" w:type="dxa"/>
            <w:vAlign w:val="center"/>
          </w:tcPr>
          <w:p>
            <w:pPr>
              <w:pStyle w:val="tablecopy"/>
              <w:keepNext/>
              <w:jc w:val="center"/>
            </w:pPr>
            <w:r>
              <w:rPr>
                <w:sz w:val="13"/>
                <w:szCs w:val="13"/>
              </w:rPr>
              <w:t xml:space="preserve">Δ +0.032</w:t>
            </w:r>
            <w:r>
              <w:rPr>
                <w:sz w:val="13"/>
                <w:szCs w:val="13"/>
              </w:rPr>
              <w:br/>
            </w:r>
            <w:r>
              <w:rPr>
                <w:sz w:val="13"/>
                <w:szCs w:val="13"/>
              </w:rPr>
              <w:t xml:space="preserve">[+0.010, +0.052]</w:t>
            </w:r>
          </w:p>
        </w:tc>
        <w:tc>
          <w:tcPr>
            <w:tcW w:w="60.00pt" w:type="dxa"/>
            <w:vAlign w:val="center"/>
          </w:tcPr>
          <w:p>
            <w:pPr>
              <w:pStyle w:val="tablecopy"/>
              <w:keepNext/>
              <w:jc w:val="center"/>
            </w:pPr>
            <w:r>
              <w:rPr>
                <w:sz w:val="13"/>
                <w:szCs w:val="13"/>
              </w:rPr>
              <w:t xml:space="preserve">Δ +0.031</w:t>
            </w:r>
            <w:r>
              <w:rPr>
                <w:sz w:val="13"/>
                <w:szCs w:val="13"/>
              </w:rPr>
              <w:br/>
            </w:r>
            <w:r>
              <w:rPr>
                <w:sz w:val="13"/>
                <w:szCs w:val="13"/>
              </w:rPr>
              <w:t xml:space="preserve">[+0.007, +0.056]</w:t>
            </w:r>
          </w:p>
        </w:tc>
      </w:tr>
      <w:tr>
        <w:trPr>
          <w:cantSplit/>
          <w:jc w:val="center"/>
        </w:trPr>
        <w:tc>
          <w:tcPr>
            <w:tcW w:w="63.30pt" w:type="dxa"/>
            <w:vAlign w:val="center"/>
          </w:tcPr>
          <w:p>
            <w:pPr>
              <w:pStyle w:val="tablecopy"/>
              <w:keepNext/>
              <w:jc w:val="start"/>
            </w:pPr>
            <w:r>
              <w:rPr>
                <w:sz w:val="13"/>
                <w:szCs w:val="13"/>
              </w:rPr>
              <w:t xml:space="preserve">Temporal Transf. (3 seeds)</w:t>
            </w:r>
          </w:p>
        </w:tc>
        <w:tc>
          <w:tcPr>
            <w:tcW w:w="60.00pt" w:type="dxa"/>
            <w:vAlign w:val="center"/>
          </w:tcPr>
          <w:p>
            <w:pPr>
              <w:pStyle w:val="tablecopy"/>
              <w:keepNext/>
              <w:jc w:val="center"/>
            </w:pPr>
            <w:r>
              <w:rPr>
                <w:sz w:val="13"/>
                <w:szCs w:val="13"/>
              </w:rPr>
              <w:t xml:space="preserve">4.723 ± 0.032</w:t>
            </w:r>
            <w:r>
              <w:rPr>
                <w:sz w:val="13"/>
                <w:szCs w:val="13"/>
              </w:rPr>
              <w:br/>
            </w:r>
            <w:r>
              <w:rPr>
                <w:sz w:val="13"/>
                <w:szCs w:val="13"/>
              </w:rPr>
              <w:t xml:space="preserve">[4.687, 4.749]</w:t>
            </w:r>
          </w:p>
        </w:tc>
        <w:tc>
          <w:tcPr>
            <w:tcW w:w="60.00pt" w:type="dxa"/>
            <w:vAlign w:val="center"/>
          </w:tcPr>
          <w:p>
            <w:pPr>
              <w:pStyle w:val="tablecopy"/>
              <w:keepNext/>
              <w:jc w:val="center"/>
            </w:pPr>
            <w:r>
              <w:rPr>
                <w:sz w:val="13"/>
                <w:szCs w:val="13"/>
              </w:rPr>
              <w:t xml:space="preserve">5.375 ± 0.033</w:t>
            </w:r>
            <w:r>
              <w:rPr>
                <w:sz w:val="13"/>
                <w:szCs w:val="13"/>
              </w:rPr>
              <w:br/>
            </w:r>
            <w:r>
              <w:rPr>
                <w:sz w:val="13"/>
                <w:szCs w:val="13"/>
              </w:rPr>
              <w:t xml:space="preserve">[5.338, 5.398]</w:t>
            </w:r>
          </w:p>
        </w:tc>
        <w:tc>
          <w:tcPr>
            <w:tcW w:w="60.00pt" w:type="dxa"/>
            <w:vAlign w:val="center"/>
          </w:tcPr>
          <w:p>
            <w:pPr>
              <w:pStyle w:val="tablecopy"/>
              <w:keepNext/>
              <w:jc w:val="center"/>
            </w:pPr>
            <w:r>
              <w:rPr>
                <w:sz w:val="13"/>
                <w:szCs w:val="13"/>
              </w:rPr>
              <w:t xml:space="preserve">6.233 ± 0.075</w:t>
            </w:r>
            <w:r>
              <w:rPr>
                <w:sz w:val="13"/>
                <w:szCs w:val="13"/>
              </w:rPr>
              <w:br/>
            </w:r>
            <w:r>
              <w:rPr>
                <w:sz w:val="13"/>
                <w:szCs w:val="13"/>
              </w:rPr>
              <w:t xml:space="preserve">[6.184, 6.320]</w:t>
            </w:r>
          </w:p>
        </w:tc>
      </w:tr>
      <w:tr>
        <w:trPr>
          <w:cantSplit/>
          <w:jc w:val="center"/>
        </w:trPr>
        <w:tc>
          <w:tcPr>
            <w:tcW w:w="63.30pt" w:type="dxa"/>
            <w:vAlign w:val="center"/>
          </w:tcPr>
          <w:p>
            <w:pPr>
              <w:pStyle w:val="tablecopy"/>
              <w:jc w:val="start"/>
            </w:pPr>
            <w:r>
              <w:rPr>
                <w:sz w:val="13"/>
                <w:szCs w:val="13"/>
              </w:rPr>
              <w:t xml:space="preserve">minus proposed (Δ)</w:t>
            </w:r>
          </w:p>
        </w:tc>
        <w:tc>
          <w:tcPr>
            <w:tcW w:w="60.00pt" w:type="dxa"/>
            <w:vAlign w:val="center"/>
          </w:tcPr>
          <w:p>
            <w:pPr>
              <w:pStyle w:val="tablecopy"/>
              <w:jc w:val="center"/>
            </w:pPr>
            <w:r>
              <w:rPr>
                <w:sz w:val="13"/>
                <w:szCs w:val="13"/>
              </w:rPr>
              <w:t xml:space="preserve">Δ +0.035</w:t>
            </w:r>
            <w:r>
              <w:rPr>
                <w:sz w:val="13"/>
                <w:szCs w:val="13"/>
              </w:rPr>
              <w:br/>
            </w:r>
            <w:r>
              <w:rPr>
                <w:sz w:val="13"/>
                <w:szCs w:val="13"/>
              </w:rPr>
              <w:t xml:space="preserve">[+0.019, +0.051]</w:t>
            </w:r>
          </w:p>
        </w:tc>
        <w:tc>
          <w:tcPr>
            <w:tcW w:w="60.00pt" w:type="dxa"/>
            <w:vAlign w:val="center"/>
          </w:tcPr>
          <w:p>
            <w:pPr>
              <w:pStyle w:val="tablecopy"/>
              <w:jc w:val="center"/>
            </w:pPr>
            <w:r>
              <w:rPr>
                <w:sz w:val="13"/>
                <w:szCs w:val="13"/>
              </w:rPr>
              <w:t xml:space="preserve">Δ +0.037</w:t>
            </w:r>
            <w:r>
              <w:rPr>
                <w:sz w:val="13"/>
                <w:szCs w:val="13"/>
              </w:rPr>
              <w:br/>
            </w:r>
            <w:r>
              <w:rPr>
                <w:sz w:val="13"/>
                <w:szCs w:val="13"/>
              </w:rPr>
              <w:t xml:space="preserve">[+0.018, +0.054]</w:t>
            </w:r>
          </w:p>
        </w:tc>
        <w:tc>
          <w:tcPr>
            <w:tcW w:w="60.00pt" w:type="dxa"/>
            <w:vAlign w:val="center"/>
          </w:tcPr>
          <w:p>
            <w:pPr>
              <w:pStyle w:val="tablecopy"/>
              <w:jc w:val="center"/>
            </w:pPr>
            <w:r>
              <w:rPr>
                <w:sz w:val="13"/>
                <w:szCs w:val="13"/>
              </w:rPr>
              <w:t xml:space="preserve">Δ +0.080</w:t>
            </w:r>
            <w:r>
              <w:rPr>
                <w:sz w:val="13"/>
                <w:szCs w:val="13"/>
              </w:rPr>
              <w:br/>
            </w:r>
            <w:r>
              <w:rPr>
                <w:sz w:val="13"/>
                <w:szCs w:val="13"/>
              </w:rPr>
              <w:t xml:space="preserve">[+0.054, +0.104]</w:t>
            </w:r>
          </w:p>
        </w:tc>
      </w:tr>
    </w:tbl>
    <w:p>
      <w:pPr>
        <w:pStyle w:val="tablecopy"/>
        <w:spacing w:before="3pt" w:after="8pt"/>
      </w:pPr>
      <w:r>
        <w:rPr>
          <w:i/>
          <w:iCs/>
          <w:sz w:val="14"/>
          <w:szCs w:val="14"/>
        </w:rPr>
        <w:t xml:space="preserve">Note:</w:t>
      </w:r>
      <w:r>
        <w:rPr>
          <w:sz w:val="14"/>
          <w:szCs w:val="14"/>
        </w:rPr>
        <w:t xml:space="preserve"> Mean ± s.d. [min, max] over seeds 1, 2 and 42 (same GPU, data, budget and code). Δ rows: paired day-block bootstrap of the seed-averaged MAE difference to the proposed model, 95% interval; positive means the proposed model is lower. Test period 2026-09-06 09:00:00 .. 2026-10-20 04:00:00 UTC; </w:t>
      </w:r>
      <w:r>
        <w:rPr>
          <w:i/>
          <w:iCs/>
          <w:sz w:val="14"/>
          <w:szCs w:val="14"/>
        </w:rPr>
        <w:t xml:space="preserve">n</w:t>
      </w:r>
      <w:r>
        <w:rPr>
          <w:sz w:val="14"/>
          <w:szCs w:val="14"/>
        </w:rPr>
        <w:t xml:space="preserve"> = 144,205 valid 60-min targets.</w:t>
      </w:r>
    </w:p>
    <w:p>
      <w:pPr>
        <w:pStyle w:val="BodyText"/>
      </w:pPr>
      <w:r>
        <w:t xml:space="preserve">A paired day-block bootstrap (44 test days) of the seed-averaged MAE difference puts the proposed model below the temporal Transformer at every horizon (by 0.035, 0.037 and 0.080 mph, intervals excluding zero) and below the GRU at 30 and 60 minutes (0.032 and 0.031 mph, intervals [0.010, 0.052] and [0.007, 0.056]), while the GRU is lower at 15 minutes (by 0.021 mph, [0.004, 0.040]). These intervals describe day-to-day variation of the test errors for the seed-averaged models; with three seeds they do not estimate between-seed variance, the per-seed ranges overlap, and one temporal-Transformer seed stopped at epoch 2, which raises that model’s 60-minute mean. The supported reading is therefore narrow: the proposed model is at least as accurate as both deep baselines and has a small, consistent advantage of 0.03–0.08 mph at 30 and 60 minutes, while the GRU is the better 15-minute forecaster; it is not a demonstration that graph attention is decisive on this sparse 16-link network.</w:t>
      </w:r>
    </w:p>
    <w:p>
      <w:pPr>
        <w:pStyle w:val="BodyText"/>
      </w:pPr>
      <w:r>
        <w:t xml:space="preserve">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IV</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per pass, and the stage was run twice (2026-10-20 and, after the simulation-gate correction, 2026-10-21): 24 calls, one attempt each, 892 to 3,619 prompt tokens, 157 to 321 completion tokens and 15 to 126 s per call (the first, cold call slowest; 18 to 52 s in the second pass), all returning schema-valid JSON and all recommending monitoring only (</w:t>
      </w:r>
      <w:r>
        <w:rPr>
          <w:rFonts w:ascii="Courier New" w:hAnsi="Courier New" w:cs="Courier New"/>
          <w:sz w:val="18"/>
          <w:szCs w:val="18"/>
        </w:rPr>
        <w:t xml:space="preserve">reports/​experiments/​llm_​calls.csv</w:t>
      </w:r>
      <w:r>
        <w:t xml:space="preserve">). Both passes reached the same 19 decisions.</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of each pass (for example </w:t>
      </w:r>
      <w:r>
        <w:rPr>
          <w:rFonts w:ascii="Courier New" w:hAnsi="Courier New" w:cs="Courier New"/>
          <w:sz w:val="18"/>
          <w:szCs w:val="18"/>
        </w:rPr>
        <w:t xml:space="preserve">EVIDENCE_​123456</w:t>
      </w:r>
      <w:r>
        <w:t xml:space="preserve">), and the citation check rejected every one; with retrieval, no invalid citation occurred in nine calls per pass.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BodyText"/>
      </w:pPr>
      <w:r>
        <w:rPr>
          <w:i/>
          <w:iCs/>
        </w:rPr>
        <w:t xml:space="preserve">Signal-split calibration (protocol v5).</w:t>
      </w:r>
      <w:r>
        <w:t xml:space="preserve"> We therefore fixed, before running anything, a calibration protocol for the one testbed input that is a declared assumption rather than an observation: the signal programs. Starting from the Webster plan for the 2025 counts without side-street demand, the corridor green of every corridor signal is scaled by a factor from a fixed grid (1.0 to 2.5), other greens are shortened down to 7 s, cycles are kept at or below 120 s and corridor greens at or below 90 s, and phase states are unchanged; each factor is run under the fixed-time baseline on the three development seeds, and among the factors that pass the unchanged admissibility rule on every seed the one whose seed-mean space-mean speed on the mapped link is closest to the observed 10.95 mph is selected if it lies within 1.5 mph. The workstation ran this protocol on 23 October 2026 (</w:t>
      </w:r>
      <w:r>
        <w:t xml:space="preserve">Table X</w:t>
      </w:r>
      <w:r>
        <w:t xml:space="preserve">; </w:t>
      </w:r>
      <w:r>
        <w:rPr>
          <w:rFonts w:ascii="Courier New" w:hAnsi="Courier New" w:cs="Courier New"/>
          <w:sz w:val="18"/>
          <w:szCs w:val="18"/>
        </w:rPr>
        <w:t xml:space="preserve">split_​calibration_​v5_​counts2025_​calibrated_​splits.json</w:t>
      </w:r>
      <w:r>
        <w:t xml:space="preserve">). Widening the corridor green raises the simulated speed monotonically, from 5.82 mph at factor 1.0 (which reproduces the earlier 5.79–5.85 mph audit) to 8.10 mph at 2.5, and clears the unfinished trips: factors 2.0 and 2.5 are admissible (1/0/28 and 0/0/0 unfinished of 5,368, no teleports), the smaller ones are not. The closest admissible factor is still 2.85 mph below the target, beyond the tolerance, so no program is selected and the controller comparison, the agent re-run on a calibrated testbed and the dependent exports were not run. Speed was still rising at the largest factor in the grid, and one signal had reached the green and cycle caps from factor 1.4 on, so the preregistered range ends below the target; extending it would be a new protocol, decided before running, not a relaxation of this one. One provenance deviation is recorded: the workstation’s OpenStreetMap extract had been fetched with a different bounding box, so the configured area was re-fetched from the OSM API on 23 October; the rebuilt corridor is structurally identical to the audited one (82 edges, the same edge lists, entries, exits and 22 signals) but its content hash differs, and all v5 runs use the re-fetched network.</w:t>
      </w:r>
    </w:p>
    <w:p>
      <w:pPr>
        <w:pStyle w:val="tablehead"/>
        <w:keepNext/>
      </w:pPr>
      <w:r>
        <w:t xml:space="preserve">Signal-Split Calibration, Protocol v5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720"/>
        <w:gridCol w:w="720"/>
        <w:gridCol w:w="1200"/>
        <w:gridCol w:w="760"/>
        <w:gridCol w:w="786"/>
      </w:tblGrid>
      <w:tr>
        <w:trPr>
          <w:cantSplit/>
          <w:tblHeader/>
          <w:jc w:val="center"/>
        </w:trPr>
        <w:tc>
          <w:tcPr>
            <w:tcW w:w="34.00pt" w:type="dxa"/>
            <w:vAlign w:val="center"/>
          </w:tcPr>
          <w:p>
            <w:pPr>
              <w:pStyle w:val="tablecolhead"/>
              <w:keepNext/>
              <w:jc w:val="center"/>
            </w:pPr>
            <w:r>
              <w:rPr>
                <w:b/>
                <w:bCs/>
                <w:sz w:val="13"/>
                <w:szCs w:val="13"/>
              </w:rPr>
              <w:t xml:space="preserve">Green factor</w:t>
            </w:r>
          </w:p>
        </w:tc>
        <w:tc>
          <w:tcPr>
            <w:tcW w:w="36.00pt" w:type="dxa"/>
            <w:vAlign w:val="center"/>
          </w:tcPr>
          <w:p>
            <w:pPr>
              <w:pStyle w:val="tablecolhead"/>
              <w:keepNext/>
              <w:jc w:val="center"/>
            </w:pPr>
            <w:r>
              <w:rPr>
                <w:b/>
                <w:bCs/>
                <w:sz w:val="13"/>
                <w:szCs w:val="13"/>
              </w:rPr>
              <w:t xml:space="preserve">Speed (mph)</w:t>
            </w:r>
          </w:p>
        </w:tc>
        <w:tc>
          <w:tcPr>
            <w:tcW w:w="36.00pt" w:type="dxa"/>
            <w:vAlign w:val="center"/>
          </w:tcPr>
          <w:p>
            <w:pPr>
              <w:pStyle w:val="tablecolhead"/>
              <w:keepNext/>
              <w:jc w:val="center"/>
            </w:pPr>
            <w:r>
              <w:rPr>
                <w:b/>
                <w:bCs/>
                <w:sz w:val="13"/>
                <w:szCs w:val="13"/>
              </w:rPr>
              <w:t xml:space="preserve">Gap (mph)</w:t>
            </w:r>
          </w:p>
        </w:tc>
        <w:tc>
          <w:tcPr>
            <w:tcW w:w="60.00pt" w:type="dxa"/>
            <w:vAlign w:val="center"/>
          </w:tcPr>
          <w:p>
            <w:pPr>
              <w:pStyle w:val="tablecolhead"/>
              <w:keepNext/>
              <w:jc w:val="center"/>
            </w:pPr>
            <w:r>
              <w:rPr>
                <w:b/>
                <w:bCs/>
                <w:sz w:val="13"/>
                <w:szCs w:val="13"/>
              </w:rPr>
              <w:t xml:space="preserve">Unfinished per seed</w:t>
            </w:r>
          </w:p>
        </w:tc>
        <w:tc>
          <w:tcPr>
            <w:tcW w:w="38.00pt" w:type="dxa"/>
            <w:vAlign w:val="center"/>
          </w:tcPr>
          <w:p>
            <w:pPr>
              <w:pStyle w:val="tablecolhead"/>
              <w:keepNext/>
              <w:jc w:val="center"/>
            </w:pPr>
            <w:r>
              <w:rPr>
                <w:b/>
                <w:bCs/>
                <w:sz w:val="13"/>
                <w:szCs w:val="13"/>
              </w:rPr>
              <w:t xml:space="preserve">Max cycle (s)</w:t>
            </w:r>
          </w:p>
        </w:tc>
        <w:tc>
          <w:tcPr>
            <w:tcW w:w="39.30pt" w:type="dxa"/>
            <w:vAlign w:val="center"/>
          </w:tcPr>
          <w:p>
            <w:pPr>
              <w:pStyle w:val="tablecolhead"/>
              <w:keepNext/>
              <w:jc w:val="center"/>
            </w:pPr>
            <w:r>
              <w:rPr>
                <w:b/>
                <w:bCs/>
                <w:sz w:val="13"/>
                <w:szCs w:val="13"/>
              </w:rPr>
              <w:t xml:space="preserve">Admissible</w:t>
            </w:r>
          </w:p>
        </w:tc>
      </w:tr>
      <w:tr>
        <w:trPr>
          <w:cantSplit/>
          <w:jc w:val="center"/>
        </w:trPr>
        <w:tc>
          <w:tcPr>
            <w:tcW w:w="34.00pt" w:type="dxa"/>
            <w:vAlign w:val="center"/>
          </w:tcPr>
          <w:p>
            <w:pPr>
              <w:pStyle w:val="tablecopy"/>
              <w:keepNext/>
              <w:jc w:val="center"/>
            </w:pPr>
            <w:r>
              <w:rPr>
                <w:sz w:val="13"/>
                <w:szCs w:val="13"/>
              </w:rPr>
              <w:t xml:space="preserve">1.0</w:t>
            </w:r>
          </w:p>
        </w:tc>
        <w:tc>
          <w:tcPr>
            <w:tcW w:w="36.00pt" w:type="dxa"/>
            <w:vAlign w:val="center"/>
          </w:tcPr>
          <w:p>
            <w:pPr>
              <w:pStyle w:val="tablecopy"/>
              <w:keepNext/>
              <w:jc w:val="end"/>
            </w:pPr>
            <w:r>
              <w:rPr>
                <w:sz w:val="13"/>
                <w:szCs w:val="13"/>
              </w:rPr>
              <w:t xml:space="preserve">5.82</w:t>
            </w:r>
          </w:p>
        </w:tc>
        <w:tc>
          <w:tcPr>
            <w:tcW w:w="36.00pt" w:type="dxa"/>
            <w:vAlign w:val="center"/>
          </w:tcPr>
          <w:p>
            <w:pPr>
              <w:pStyle w:val="tablecopy"/>
              <w:keepNext/>
              <w:jc w:val="end"/>
            </w:pPr>
            <w:r>
              <w:rPr>
                <w:sz w:val="13"/>
                <w:szCs w:val="13"/>
              </w:rPr>
              <w:t xml:space="preserve">−5.13</w:t>
            </w:r>
          </w:p>
        </w:tc>
        <w:tc>
          <w:tcPr>
            <w:tcW w:w="60.00pt" w:type="dxa"/>
            <w:vAlign w:val="center"/>
          </w:tcPr>
          <w:p>
            <w:pPr>
              <w:pStyle w:val="tablecopy"/>
              <w:keepNext/>
              <w:jc w:val="center"/>
            </w:pPr>
            <w:r>
              <w:rPr>
                <w:sz w:val="13"/>
                <w:szCs w:val="13"/>
              </w:rPr>
              <w:t xml:space="preserve">568 / 531 / 523</w:t>
            </w:r>
          </w:p>
        </w:tc>
        <w:tc>
          <w:tcPr>
            <w:tcW w:w="38.00pt" w:type="dxa"/>
            <w:vAlign w:val="center"/>
          </w:tcPr>
          <w:p>
            <w:pPr>
              <w:pStyle w:val="tablecopy"/>
              <w:keepNext/>
              <w:jc w:val="end"/>
            </w:pPr>
            <w:r>
              <w:rPr>
                <w:sz w:val="13"/>
                <w:szCs w:val="13"/>
              </w:rPr>
              <w:t xml:space="preserve">102</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1.2</w:t>
            </w:r>
          </w:p>
        </w:tc>
        <w:tc>
          <w:tcPr>
            <w:tcW w:w="36.00pt" w:type="dxa"/>
            <w:vAlign w:val="center"/>
          </w:tcPr>
          <w:p>
            <w:pPr>
              <w:pStyle w:val="tablecopy"/>
              <w:keepNext/>
              <w:jc w:val="end"/>
            </w:pPr>
            <w:r>
              <w:rPr>
                <w:sz w:val="13"/>
                <w:szCs w:val="13"/>
              </w:rPr>
              <w:t xml:space="preserve">6.16</w:t>
            </w:r>
          </w:p>
        </w:tc>
        <w:tc>
          <w:tcPr>
            <w:tcW w:w="36.00pt" w:type="dxa"/>
            <w:vAlign w:val="center"/>
          </w:tcPr>
          <w:p>
            <w:pPr>
              <w:pStyle w:val="tablecopy"/>
              <w:keepNext/>
              <w:jc w:val="end"/>
            </w:pPr>
            <w:r>
              <w:rPr>
                <w:sz w:val="13"/>
                <w:szCs w:val="13"/>
              </w:rPr>
              <w:t xml:space="preserve">−4.79</w:t>
            </w:r>
          </w:p>
        </w:tc>
        <w:tc>
          <w:tcPr>
            <w:tcW w:w="60.00pt" w:type="dxa"/>
            <w:vAlign w:val="center"/>
          </w:tcPr>
          <w:p>
            <w:pPr>
              <w:pStyle w:val="tablecopy"/>
              <w:keepNext/>
              <w:jc w:val="center"/>
            </w:pPr>
            <w:r>
              <w:rPr>
                <w:sz w:val="13"/>
                <w:szCs w:val="13"/>
              </w:rPr>
              <w:t xml:space="preserve">383 / 382 / 406</w:t>
            </w:r>
          </w:p>
        </w:tc>
        <w:tc>
          <w:tcPr>
            <w:tcW w:w="38.00pt" w:type="dxa"/>
            <w:vAlign w:val="center"/>
          </w:tcPr>
          <w:p>
            <w:pPr>
              <w:pStyle w:val="tablecopy"/>
              <w:keepNext/>
              <w:jc w:val="end"/>
            </w:pPr>
            <w:r>
              <w:rPr>
                <w:sz w:val="13"/>
                <w:szCs w:val="13"/>
              </w:rPr>
              <w:t xml:space="preserve">117</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1.4</w:t>
            </w:r>
          </w:p>
        </w:tc>
        <w:tc>
          <w:tcPr>
            <w:tcW w:w="36.00pt" w:type="dxa"/>
            <w:vAlign w:val="center"/>
          </w:tcPr>
          <w:p>
            <w:pPr>
              <w:pStyle w:val="tablecopy"/>
              <w:keepNext/>
              <w:jc w:val="end"/>
            </w:pPr>
            <w:r>
              <w:rPr>
                <w:sz w:val="13"/>
                <w:szCs w:val="13"/>
              </w:rPr>
              <w:t xml:space="preserve">6.52</w:t>
            </w:r>
          </w:p>
        </w:tc>
        <w:tc>
          <w:tcPr>
            <w:tcW w:w="36.00pt" w:type="dxa"/>
            <w:vAlign w:val="center"/>
          </w:tcPr>
          <w:p>
            <w:pPr>
              <w:pStyle w:val="tablecopy"/>
              <w:keepNext/>
              <w:jc w:val="end"/>
            </w:pPr>
            <w:r>
              <w:rPr>
                <w:sz w:val="13"/>
                <w:szCs w:val="13"/>
              </w:rPr>
              <w:t xml:space="preserve">−4.43</w:t>
            </w:r>
          </w:p>
        </w:tc>
        <w:tc>
          <w:tcPr>
            <w:tcW w:w="60.00pt" w:type="dxa"/>
            <w:vAlign w:val="center"/>
          </w:tcPr>
          <w:p>
            <w:pPr>
              <w:pStyle w:val="tablecopy"/>
              <w:keepNext/>
              <w:jc w:val="center"/>
            </w:pPr>
            <w:r>
              <w:rPr>
                <w:sz w:val="13"/>
                <w:szCs w:val="13"/>
              </w:rPr>
              <w:t xml:space="preserve">276 / 274 / 302</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1.6</w:t>
            </w:r>
          </w:p>
        </w:tc>
        <w:tc>
          <w:tcPr>
            <w:tcW w:w="36.00pt" w:type="dxa"/>
            <w:vAlign w:val="center"/>
          </w:tcPr>
          <w:p>
            <w:pPr>
              <w:pStyle w:val="tablecopy"/>
              <w:keepNext/>
              <w:jc w:val="end"/>
            </w:pPr>
            <w:r>
              <w:rPr>
                <w:sz w:val="13"/>
                <w:szCs w:val="13"/>
              </w:rPr>
              <w:t xml:space="preserve">6.85</w:t>
            </w:r>
          </w:p>
        </w:tc>
        <w:tc>
          <w:tcPr>
            <w:tcW w:w="36.00pt" w:type="dxa"/>
            <w:vAlign w:val="center"/>
          </w:tcPr>
          <w:p>
            <w:pPr>
              <w:pStyle w:val="tablecopy"/>
              <w:keepNext/>
              <w:jc w:val="end"/>
            </w:pPr>
            <w:r>
              <w:rPr>
                <w:sz w:val="13"/>
                <w:szCs w:val="13"/>
              </w:rPr>
              <w:t xml:space="preserve">−4.10</w:t>
            </w:r>
          </w:p>
        </w:tc>
        <w:tc>
          <w:tcPr>
            <w:tcW w:w="60.00pt" w:type="dxa"/>
            <w:vAlign w:val="center"/>
          </w:tcPr>
          <w:p>
            <w:pPr>
              <w:pStyle w:val="tablecopy"/>
              <w:keepNext/>
              <w:jc w:val="center"/>
            </w:pPr>
            <w:r>
              <w:rPr>
                <w:sz w:val="13"/>
                <w:szCs w:val="13"/>
              </w:rPr>
              <w:t xml:space="preserve">194 / 206 / 165</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1.8</w:t>
            </w:r>
          </w:p>
        </w:tc>
        <w:tc>
          <w:tcPr>
            <w:tcW w:w="36.00pt" w:type="dxa"/>
            <w:vAlign w:val="center"/>
          </w:tcPr>
          <w:p>
            <w:pPr>
              <w:pStyle w:val="tablecopy"/>
              <w:keepNext/>
              <w:jc w:val="end"/>
            </w:pPr>
            <w:r>
              <w:rPr>
                <w:sz w:val="13"/>
                <w:szCs w:val="13"/>
              </w:rPr>
              <w:t xml:space="preserve">7.13</w:t>
            </w:r>
          </w:p>
        </w:tc>
        <w:tc>
          <w:tcPr>
            <w:tcW w:w="36.00pt" w:type="dxa"/>
            <w:vAlign w:val="center"/>
          </w:tcPr>
          <w:p>
            <w:pPr>
              <w:pStyle w:val="tablecopy"/>
              <w:keepNext/>
              <w:jc w:val="end"/>
            </w:pPr>
            <w:r>
              <w:rPr>
                <w:sz w:val="13"/>
                <w:szCs w:val="13"/>
              </w:rPr>
              <w:t xml:space="preserve">−3.82</w:t>
            </w:r>
          </w:p>
        </w:tc>
        <w:tc>
          <w:tcPr>
            <w:tcW w:w="60.00pt" w:type="dxa"/>
            <w:vAlign w:val="center"/>
          </w:tcPr>
          <w:p>
            <w:pPr>
              <w:pStyle w:val="tablecopy"/>
              <w:keepNext/>
              <w:jc w:val="center"/>
            </w:pPr>
            <w:r>
              <w:rPr>
                <w:sz w:val="13"/>
                <w:szCs w:val="13"/>
              </w:rPr>
              <w:t xml:space="preserve">98 / 110 / 124</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no</w:t>
            </w:r>
          </w:p>
        </w:tc>
      </w:tr>
      <w:tr>
        <w:trPr>
          <w:cantSplit/>
          <w:jc w:val="center"/>
        </w:trPr>
        <w:tc>
          <w:tcPr>
            <w:tcW w:w="34.00pt" w:type="dxa"/>
            <w:vAlign w:val="center"/>
          </w:tcPr>
          <w:p>
            <w:pPr>
              <w:pStyle w:val="tablecopy"/>
              <w:keepNext/>
              <w:jc w:val="center"/>
            </w:pPr>
            <w:r>
              <w:rPr>
                <w:sz w:val="13"/>
                <w:szCs w:val="13"/>
              </w:rPr>
              <w:t xml:space="preserve">2.0</w:t>
            </w:r>
          </w:p>
        </w:tc>
        <w:tc>
          <w:tcPr>
            <w:tcW w:w="36.00pt" w:type="dxa"/>
            <w:vAlign w:val="center"/>
          </w:tcPr>
          <w:p>
            <w:pPr>
              <w:pStyle w:val="tablecopy"/>
              <w:keepNext/>
              <w:jc w:val="end"/>
            </w:pPr>
            <w:r>
              <w:rPr>
                <w:sz w:val="13"/>
                <w:szCs w:val="13"/>
              </w:rPr>
              <w:t xml:space="preserve">7.49</w:t>
            </w:r>
          </w:p>
        </w:tc>
        <w:tc>
          <w:tcPr>
            <w:tcW w:w="36.00pt" w:type="dxa"/>
            <w:vAlign w:val="center"/>
          </w:tcPr>
          <w:p>
            <w:pPr>
              <w:pStyle w:val="tablecopy"/>
              <w:keepNext/>
              <w:jc w:val="end"/>
            </w:pPr>
            <w:r>
              <w:rPr>
                <w:sz w:val="13"/>
                <w:szCs w:val="13"/>
              </w:rPr>
              <w:t xml:space="preserve">−3.46</w:t>
            </w:r>
          </w:p>
        </w:tc>
        <w:tc>
          <w:tcPr>
            <w:tcW w:w="60.00pt" w:type="dxa"/>
            <w:vAlign w:val="center"/>
          </w:tcPr>
          <w:p>
            <w:pPr>
              <w:pStyle w:val="tablecopy"/>
              <w:keepNext/>
              <w:jc w:val="center"/>
            </w:pPr>
            <w:r>
              <w:rPr>
                <w:sz w:val="13"/>
                <w:szCs w:val="13"/>
              </w:rPr>
              <w:t xml:space="preserve">1 / 0 / 28</w:t>
            </w:r>
          </w:p>
        </w:tc>
        <w:tc>
          <w:tcPr>
            <w:tcW w:w="38.00pt" w:type="dxa"/>
            <w:vAlign w:val="center"/>
          </w:tcPr>
          <w:p>
            <w:pPr>
              <w:pStyle w:val="tablecopy"/>
              <w:keepNext/>
              <w:jc w:val="end"/>
            </w:pPr>
            <w:r>
              <w:rPr>
                <w:sz w:val="13"/>
                <w:szCs w:val="13"/>
              </w:rPr>
              <w:t xml:space="preserve">119</w:t>
            </w:r>
          </w:p>
        </w:tc>
        <w:tc>
          <w:tcPr>
            <w:tcW w:w="39.30pt" w:type="dxa"/>
            <w:vAlign w:val="center"/>
          </w:tcPr>
          <w:p>
            <w:pPr>
              <w:pStyle w:val="tablecopy"/>
              <w:keepNext/>
              <w:jc w:val="center"/>
            </w:pPr>
            <w:r>
              <w:rPr>
                <w:sz w:val="13"/>
                <w:szCs w:val="13"/>
              </w:rPr>
              <w:t xml:space="preserve">yes</w:t>
            </w:r>
          </w:p>
        </w:tc>
      </w:tr>
      <w:tr>
        <w:trPr>
          <w:cantSplit/>
          <w:jc w:val="center"/>
        </w:trPr>
        <w:tc>
          <w:tcPr>
            <w:tcW w:w="34.00pt" w:type="dxa"/>
            <w:vAlign w:val="center"/>
          </w:tcPr>
          <w:p>
            <w:pPr>
              <w:pStyle w:val="tablecopy"/>
              <w:jc w:val="center"/>
            </w:pPr>
            <w:r>
              <w:rPr>
                <w:sz w:val="13"/>
                <w:szCs w:val="13"/>
              </w:rPr>
              <w:t xml:space="preserve">2.5</w:t>
            </w:r>
          </w:p>
        </w:tc>
        <w:tc>
          <w:tcPr>
            <w:tcW w:w="36.00pt" w:type="dxa"/>
            <w:vAlign w:val="center"/>
          </w:tcPr>
          <w:p>
            <w:pPr>
              <w:pStyle w:val="tablecopy"/>
              <w:jc w:val="end"/>
            </w:pPr>
            <w:r>
              <w:rPr>
                <w:sz w:val="13"/>
                <w:szCs w:val="13"/>
              </w:rPr>
              <w:t xml:space="preserve">8.10</w:t>
            </w:r>
          </w:p>
        </w:tc>
        <w:tc>
          <w:tcPr>
            <w:tcW w:w="36.00pt" w:type="dxa"/>
            <w:vAlign w:val="center"/>
          </w:tcPr>
          <w:p>
            <w:pPr>
              <w:pStyle w:val="tablecopy"/>
              <w:jc w:val="end"/>
            </w:pPr>
            <w:r>
              <w:rPr>
                <w:sz w:val="13"/>
                <w:szCs w:val="13"/>
              </w:rPr>
              <w:t xml:space="preserve">−2.85</w:t>
            </w:r>
          </w:p>
        </w:tc>
        <w:tc>
          <w:tcPr>
            <w:tcW w:w="60.00pt" w:type="dxa"/>
            <w:vAlign w:val="center"/>
          </w:tcPr>
          <w:p>
            <w:pPr>
              <w:pStyle w:val="tablecopy"/>
              <w:jc w:val="center"/>
            </w:pPr>
            <w:r>
              <w:rPr>
                <w:sz w:val="13"/>
                <w:szCs w:val="13"/>
              </w:rPr>
              <w:t xml:space="preserve">0 / 0 / 0</w:t>
            </w:r>
          </w:p>
        </w:tc>
        <w:tc>
          <w:tcPr>
            <w:tcW w:w="38.00pt" w:type="dxa"/>
            <w:vAlign w:val="center"/>
          </w:tcPr>
          <w:p>
            <w:pPr>
              <w:pStyle w:val="tablecopy"/>
              <w:jc w:val="end"/>
            </w:pPr>
            <w:r>
              <w:rPr>
                <w:sz w:val="13"/>
                <w:szCs w:val="13"/>
              </w:rPr>
              <w:t xml:space="preserve">119</w:t>
            </w:r>
          </w:p>
        </w:tc>
        <w:tc>
          <w:tcPr>
            <w:tcW w:w="39.30pt" w:type="dxa"/>
            <w:vAlign w:val="center"/>
          </w:tcPr>
          <w:p>
            <w:pPr>
              <w:pStyle w:val="tablecopy"/>
              <w:jc w:val="center"/>
            </w:pPr>
            <w:r>
              <w:rPr>
                <w:sz w:val="13"/>
                <w:szCs w:val="13"/>
              </w:rPr>
              <w:t xml:space="preserve">yes</w:t>
            </w:r>
          </w:p>
        </w:tc>
      </w:tr>
    </w:tbl>
    <w:p>
      <w:pPr>
        <w:pStyle w:val="tablecopy"/>
        <w:spacing w:before="3pt" w:after="8pt"/>
      </w:pPr>
      <w:r>
        <w:rPr>
          <w:i/>
          <w:iCs/>
          <w:sz w:val="14"/>
          <w:szCs w:val="14"/>
        </w:rPr>
        <w:t xml:space="preserve">Note:</w:t>
      </w:r>
      <w:r>
        <w:rPr>
          <w:sz w:val="14"/>
          <w:szCs w:val="14"/>
        </w:rPr>
        <w:t xml:space="preserve"> Corridor green share of the Webster plan scaled by a factor from a grid fixed before the run (cycle at most 120 s, phase states unchanged), fixed-time baseline, seeds 101, 102 and 103, no side-street demand, 2025 counts, 5,368 vehicles loaded per run. Speed is the seed-mean space-mean speed on the SUMO edges mapped to DOT link 4456494; gap is to the observed weekday PM-peak 10.95 mph, tolerance ±1.5 mph. A factor is admissible with no teleport and at most 1% unfinished trips in every seed. No factor is selected: the closest admissible one (2.5) is 2.85 mph short of the target.</w:t>
      </w:r>
    </w:p>
    <w:p>
      <w:pPr>
        <w:pStyle w:val="BodyText"/>
      </w:pPr>
      <w:r>
        <w:rPr>
          <w:i/>
          <w:iCs/>
        </w:rPr>
        <w:t xml:space="preserve">Protocol v6 (prepared, NOT RUN).</w:t>
      </w:r>
      <w:r>
        <w:t xml:space="preserve"> The authors chose a second preregistered calibration over closing the comparison or waiting for NYC DOT timing plans. Protocol v6, fixed in the configuration on 25 October 2026 before any run, keeps the v5 construction and adds what an arterial timed for progression has and the Webster plan lacks: a common cycle at every corridor signal (90 or 120 s, or the per-signal Webster cycles, which range from 21 to 102 s and so admit no progression), green factors 1.0 to 3.0, and corridor-green offsets for a 25 mph platoon along the southbound chain, the mapped link’s direction; 25 cells, three development seeds, fixed-time baseline, the same admissibility rule and the same 10.95 ± 1.5 mph target, ties going to the least intervention (</w:t>
      </w:r>
      <w:r>
        <w:t xml:space="preserve">Table XI</w:t>
      </w:r>
      <w:r>
        <w:t xml:space="preserve">). At the time of writing it has not been run; any selected program will be reported as a calibrated scenario testbed, not as NYC DOT timing.</w:t>
      </w:r>
    </w:p>
    <w:p>
      <w:pPr>
        <w:pStyle w:val="tablehead"/>
        <w:keepNext/>
      </w:pPr>
      <w:r>
        <w:t xml:space="preserve">Signal-Timing Calibration, Protocol v6 (SIMULATION)</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jc w:val="center"/>
            </w:pPr>
            <w:r>
              <w:rPr>
                <w:sz w:val="16"/>
                <w:szCs w:val="16"/>
              </w:rPr>
              <w:t xml:space="preserve">NOT RUN</w:t>
            </w:r>
          </w:p>
        </w:tc>
      </w:tr>
    </w:tbl>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and its margin over the tree baselines is consistent in sign (0.05–0.25 mph) though at 15 min no larger than the GRU margin. Over three seeds its margin over the temporal-only Transformer (0.04–0.08 mph) and over the GRU at 30 and 60 minutes (0.03 mph) is consistent across test days, while the GRU is better at 15 minutes; these are small effects from three seeds, not a decisive architectural advantage.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and one chronological split. The three deep models were compared over only three seeds (</w:t>
      </w:r>
      <w:r>
        <w:t xml:space="preserve">Table III</w:t>
      </w:r>
      <w:r>
        <w:t xml:space="preserve">); the day-block bootstrap describes test-day variation of the seed-averaged errors and does not estimate between-seed variance, and the per-seed ranges overlap. On the GPU the proposed model is not bit-reproducible at a fixed seed (GATv2 scatter operations), whereas the GRU and temporal Transformer are; a reported proposed-model run can therefore be re-trained but not re-created exactly.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The preregistered split calibration (protocol v5) raised the simulated speed to at most 8.1 mph within its green-factor grid, 2.85 mph short of the target, so no program was selected and the controller comparison is not run; the rule was not relaxed.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and over three seeds it is 0.03–0.08 mph below the temporal Transformer at every horizon and the GRU at 30 and 60 minutes, with the GRU better at 15 minutes, a small advantage rather than a decisive one;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training with more seeds and without the compute budget, congestion-conditional calibration, a denser sensor network on which the spatial layer can matter, running the second preregistered testbed calibration (protocol v6: common cycle, wider green grid and 25 mph progression offsets, prepared but not run), since widening splits alone reached 8.1 of the observed 10.95 mph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