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Urban traffic management needs forecasts that are accurate at several horizons, honest about their uncertainty and explainable. We present a Manhattan prototype that couples a context-gated graph attention and Transformer forecaster for 15-, 30- and 60-minute link-speed prediction with a retrieval-augmented, constraint-checked agentic workflow that drafts simulation-only signal-timing advisories. The forecaster runs on a directed road-link graph of New York City real-time speeds, fuses weather, 311 and calendar context through an availability-aware gate, is calibrated with split conformal prediction and is explained with grouped Shapley values computed on the trained model.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while operational weather features worsen accuracy. Conformal intervals reach 0.90 to 0.91 coverage overall but only 0.76 to 0.80 under congestion; a deterministic reliability gate defers 26 percent of forecasts and raises coverage on the rest to 0.93 to 0.95. Retrieval removed fabricated citations. The SUMO controller comparison was not run because the simulation testbed failed its own baseline test, so no simulated gain is claimed.</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twice (2026-10-20 and, after the simulation-gate correction, 2026-10-21): 24 calls, one attempt each, 892 to 3,619 prompt tokens, 157 to 321 completion tokens and 15 to 126 s per call (the first, cold call slowest; 18 to 52 s in the second pass), all returning schema-valid JSON and all recommending monitoring only (</w:t>
      </w:r>
      <w:r>
        <w:rPr>
          <w:rFonts w:ascii="Courier New" w:hAnsi="Courier New" w:cs="Courier New"/>
          <w:sz w:val="18"/>
          <w:szCs w:val="18"/>
        </w:rPr>
        <w:t xml:space="preserve">reports/​experiments/​llm_​calls.csv</w:t>
      </w:r>
      <w:r>
        <w:t xml:space="preserve">). Both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w:t>
      </w:r>
      <w:r>
        <w:t xml:space="preserve">Table VIII</w:t>
      </w:r>
      <w:r>
        <w:t xml:space="preserve">).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tablehead"/>
        <w:keepNext/>
      </w:pPr>
      <w:r>
        <w:t xml:space="preserve">SUPERSEDED Controller Comparison of 2026-10-20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960"/>
        <w:gridCol w:w="960"/>
        <w:gridCol w:w="740"/>
        <w:gridCol w:w="740"/>
        <w:gridCol w:w="720"/>
        <w:gridCol w:w="746"/>
      </w:tblGrid>
      <w:tr>
        <w:trPr>
          <w:cantSplit/>
          <w:tblHeader/>
          <w:jc w:val="center"/>
        </w:trPr>
        <w:tc>
          <w:tcPr>
            <w:tcW w:w="48.00pt" w:type="dxa"/>
            <w:vAlign w:val="center"/>
          </w:tcPr>
          <w:p>
            <w:pPr>
              <w:pStyle w:val="tablecolhead"/>
              <w:keepNext/>
              <w:jc w:val="center"/>
            </w:pPr>
            <w:r>
              <w:rPr>
                <w:b/>
                <w:bCs/>
                <w:sz w:val="13"/>
                <w:szCs w:val="13"/>
              </w:rPr>
              <w:t xml:space="preserve">Scenario</w:t>
            </w:r>
          </w:p>
        </w:tc>
        <w:tc>
          <w:tcPr>
            <w:tcW w:w="48.00pt" w:type="dxa"/>
            <w:vAlign w:val="center"/>
          </w:tcPr>
          <w:p>
            <w:pPr>
              <w:pStyle w:val="tablecolhead"/>
              <w:keepNext/>
              <w:jc w:val="center"/>
            </w:pPr>
            <w:r>
              <w:rPr>
                <w:b/>
                <w:bCs/>
                <w:sz w:val="13"/>
                <w:szCs w:val="13"/>
              </w:rPr>
              <w:t xml:space="preserve">Controller</w:t>
            </w:r>
          </w:p>
        </w:tc>
        <w:tc>
          <w:tcPr>
            <w:tcW w:w="37.00pt" w:type="dxa"/>
            <w:vAlign w:val="center"/>
          </w:tcPr>
          <w:p>
            <w:pPr>
              <w:pStyle w:val="tablecolhead"/>
              <w:keepNext/>
              <w:jc w:val="center"/>
            </w:pPr>
            <w:r>
              <w:rPr>
                <w:b/>
                <w:bCs/>
                <w:sz w:val="13"/>
                <w:szCs w:val="13"/>
              </w:rPr>
              <w:t xml:space="preserve">Completed</w:t>
            </w:r>
          </w:p>
        </w:tc>
        <w:tc>
          <w:tcPr>
            <w:tcW w:w="37.00pt" w:type="dxa"/>
            <w:vAlign w:val="center"/>
          </w:tcPr>
          <w:p>
            <w:pPr>
              <w:pStyle w:val="tablecolhead"/>
              <w:keepNext/>
              <w:jc w:val="center"/>
            </w:pPr>
            <w:r>
              <w:rPr>
                <w:b/>
                <w:bCs/>
                <w:sz w:val="13"/>
                <w:szCs w:val="13"/>
              </w:rPr>
              <w:t xml:space="preserve">Unfinished</w:t>
            </w:r>
          </w:p>
        </w:tc>
        <w:tc>
          <w:tcPr>
            <w:tcW w:w="36.00pt" w:type="dxa"/>
            <w:vAlign w:val="center"/>
          </w:tcPr>
          <w:p>
            <w:pPr>
              <w:pStyle w:val="tablecolhead"/>
              <w:keepNext/>
              <w:jc w:val="center"/>
            </w:pPr>
            <w:r>
              <w:rPr>
                <w:b/>
                <w:bCs/>
                <w:sz w:val="13"/>
                <w:szCs w:val="13"/>
              </w:rPr>
              <w:t xml:space="preserve">Teleports</w:t>
            </w:r>
          </w:p>
        </w:tc>
        <w:tc>
          <w:tcPr>
            <w:tcW w:w="37.30pt" w:type="dxa"/>
            <w:vAlign w:val="center"/>
          </w:tcPr>
          <w:p>
            <w:pPr>
              <w:pStyle w:val="tablecolhead"/>
              <w:keepNext/>
              <w:jc w:val="center"/>
            </w:pPr>
            <w:r>
              <w:rPr>
                <w:b/>
                <w:bCs/>
                <w:sz w:val="13"/>
                <w:szCs w:val="13"/>
              </w:rPr>
              <w:t xml:space="preserve">Time loss (s)</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2,877</w:t>
            </w:r>
          </w:p>
        </w:tc>
        <w:tc>
          <w:tcPr>
            <w:tcW w:w="37.00pt" w:type="dxa"/>
            <w:vAlign w:val="center"/>
          </w:tcPr>
          <w:p>
            <w:pPr>
              <w:pStyle w:val="tablecopy"/>
              <w:keepNext/>
              <w:jc w:val="end"/>
            </w:pPr>
            <w:r>
              <w:rPr>
                <w:sz w:val="13"/>
                <w:szCs w:val="13"/>
              </w:rPr>
              <w:t xml:space="preserve">4,957</w:t>
            </w:r>
          </w:p>
        </w:tc>
        <w:tc>
          <w:tcPr>
            <w:tcW w:w="36.00pt" w:type="dxa"/>
            <w:vAlign w:val="center"/>
          </w:tcPr>
          <w:p>
            <w:pPr>
              <w:pStyle w:val="tablecopy"/>
              <w:keepNext/>
              <w:jc w:val="end"/>
            </w:pPr>
            <w:r>
              <w:rPr>
                <w:sz w:val="13"/>
                <w:szCs w:val="13"/>
              </w:rPr>
              <w:t xml:space="preserve">1,667</w:t>
            </w:r>
          </w:p>
        </w:tc>
        <w:tc>
          <w:tcPr>
            <w:tcW w:w="37.30pt" w:type="dxa"/>
            <w:vAlign w:val="center"/>
          </w:tcPr>
          <w:p>
            <w:pPr>
              <w:pStyle w:val="tablecopy"/>
              <w:keepNext/>
              <w:jc w:val="end"/>
            </w:pPr>
            <w:r>
              <w:rPr>
                <w:sz w:val="13"/>
                <w:szCs w:val="13"/>
              </w:rPr>
              <w:t xml:space="preserve">1118.4</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2,087</w:t>
            </w:r>
          </w:p>
        </w:tc>
        <w:tc>
          <w:tcPr>
            <w:tcW w:w="37.00pt" w:type="dxa"/>
            <w:vAlign w:val="center"/>
          </w:tcPr>
          <w:p>
            <w:pPr>
              <w:pStyle w:val="tablecopy"/>
              <w:keepNext/>
              <w:jc w:val="end"/>
            </w:pPr>
            <w:r>
              <w:rPr>
                <w:sz w:val="13"/>
                <w:szCs w:val="13"/>
              </w:rPr>
              <w:t xml:space="preserve">5,856</w:t>
            </w:r>
          </w:p>
        </w:tc>
        <w:tc>
          <w:tcPr>
            <w:tcW w:w="36.00pt" w:type="dxa"/>
            <w:vAlign w:val="center"/>
          </w:tcPr>
          <w:p>
            <w:pPr>
              <w:pStyle w:val="tablecopy"/>
              <w:keepNext/>
              <w:jc w:val="end"/>
            </w:pPr>
            <w:r>
              <w:rPr>
                <w:sz w:val="13"/>
                <w:szCs w:val="13"/>
              </w:rPr>
              <w:t xml:space="preserve">1,799</w:t>
            </w:r>
          </w:p>
        </w:tc>
        <w:tc>
          <w:tcPr>
            <w:tcW w:w="37.30pt" w:type="dxa"/>
            <w:vAlign w:val="center"/>
          </w:tcPr>
          <w:p>
            <w:pPr>
              <w:pStyle w:val="tablecopy"/>
              <w:keepNext/>
              <w:jc w:val="end"/>
            </w:pPr>
            <w:r>
              <w:rPr>
                <w:sz w:val="13"/>
                <w:szCs w:val="13"/>
              </w:rPr>
              <w:t xml:space="preserve">780.5</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2,014</w:t>
            </w:r>
          </w:p>
        </w:tc>
        <w:tc>
          <w:tcPr>
            <w:tcW w:w="37.00pt" w:type="dxa"/>
            <w:vAlign w:val="center"/>
          </w:tcPr>
          <w:p>
            <w:pPr>
              <w:pStyle w:val="tablecopy"/>
              <w:keepNext/>
              <w:jc w:val="end"/>
            </w:pPr>
            <w:r>
              <w:rPr>
                <w:sz w:val="13"/>
                <w:szCs w:val="13"/>
              </w:rPr>
              <w:t xml:space="preserve">5,955</w:t>
            </w:r>
          </w:p>
        </w:tc>
        <w:tc>
          <w:tcPr>
            <w:tcW w:w="36.00pt" w:type="dxa"/>
            <w:vAlign w:val="center"/>
          </w:tcPr>
          <w:p>
            <w:pPr>
              <w:pStyle w:val="tablecopy"/>
              <w:keepNext/>
              <w:jc w:val="end"/>
            </w:pPr>
            <w:r>
              <w:rPr>
                <w:sz w:val="13"/>
                <w:szCs w:val="13"/>
              </w:rPr>
              <w:t xml:space="preserve">1,834</w:t>
            </w:r>
          </w:p>
        </w:tc>
        <w:tc>
          <w:tcPr>
            <w:tcW w:w="37.30pt" w:type="dxa"/>
            <w:vAlign w:val="center"/>
          </w:tcPr>
          <w:p>
            <w:pPr>
              <w:pStyle w:val="tablecopy"/>
              <w:keepNext/>
              <w:jc w:val="end"/>
            </w:pPr>
            <w:r>
              <w:rPr>
                <w:sz w:val="13"/>
                <w:szCs w:val="13"/>
              </w:rPr>
              <w:t xml:space="preserve">739.0</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2,240</w:t>
            </w:r>
          </w:p>
        </w:tc>
        <w:tc>
          <w:tcPr>
            <w:tcW w:w="37.00pt" w:type="dxa"/>
            <w:vAlign w:val="center"/>
          </w:tcPr>
          <w:p>
            <w:pPr>
              <w:pStyle w:val="tablecopy"/>
              <w:keepNext/>
              <w:jc w:val="end"/>
            </w:pPr>
            <w:r>
              <w:rPr>
                <w:sz w:val="13"/>
                <w:szCs w:val="13"/>
              </w:rPr>
              <w:t xml:space="preserve">5,604</w:t>
            </w:r>
          </w:p>
        </w:tc>
        <w:tc>
          <w:tcPr>
            <w:tcW w:w="36.00pt" w:type="dxa"/>
            <w:vAlign w:val="center"/>
          </w:tcPr>
          <w:p>
            <w:pPr>
              <w:pStyle w:val="tablecopy"/>
              <w:keepNext/>
              <w:jc w:val="end"/>
            </w:pPr>
            <w:r>
              <w:rPr>
                <w:sz w:val="13"/>
                <w:szCs w:val="13"/>
              </w:rPr>
              <w:t xml:space="preserve">1,971</w:t>
            </w:r>
          </w:p>
        </w:tc>
        <w:tc>
          <w:tcPr>
            <w:tcW w:w="37.30pt" w:type="dxa"/>
            <w:vAlign w:val="center"/>
          </w:tcPr>
          <w:p>
            <w:pPr>
              <w:pStyle w:val="tablecopy"/>
              <w:keepNext/>
              <w:jc w:val="end"/>
            </w:pPr>
            <w:r>
              <w:rPr>
                <w:sz w:val="13"/>
                <w:szCs w:val="13"/>
              </w:rPr>
              <w:t xml:space="preserve">1070.1</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1,384</w:t>
            </w:r>
          </w:p>
        </w:tc>
        <w:tc>
          <w:tcPr>
            <w:tcW w:w="37.00pt" w:type="dxa"/>
            <w:vAlign w:val="center"/>
          </w:tcPr>
          <w:p>
            <w:pPr>
              <w:pStyle w:val="tablecopy"/>
              <w:keepNext/>
              <w:jc w:val="end"/>
            </w:pPr>
            <w:r>
              <w:rPr>
                <w:sz w:val="13"/>
                <w:szCs w:val="13"/>
              </w:rPr>
              <w:t xml:space="preserve">6,566</w:t>
            </w:r>
          </w:p>
        </w:tc>
        <w:tc>
          <w:tcPr>
            <w:tcW w:w="36.00pt" w:type="dxa"/>
            <w:vAlign w:val="center"/>
          </w:tcPr>
          <w:p>
            <w:pPr>
              <w:pStyle w:val="tablecopy"/>
              <w:keepNext/>
              <w:jc w:val="end"/>
            </w:pPr>
            <w:r>
              <w:rPr>
                <w:sz w:val="13"/>
                <w:szCs w:val="13"/>
              </w:rPr>
              <w:t xml:space="preserve">2,268</w:t>
            </w:r>
          </w:p>
        </w:tc>
        <w:tc>
          <w:tcPr>
            <w:tcW w:w="37.30pt" w:type="dxa"/>
            <w:vAlign w:val="center"/>
          </w:tcPr>
          <w:p>
            <w:pPr>
              <w:pStyle w:val="tablecopy"/>
              <w:keepNext/>
              <w:jc w:val="end"/>
            </w:pPr>
            <w:r>
              <w:rPr>
                <w:sz w:val="13"/>
                <w:szCs w:val="13"/>
              </w:rPr>
              <w:t xml:space="preserve">898.4</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1,236</w:t>
            </w:r>
          </w:p>
        </w:tc>
        <w:tc>
          <w:tcPr>
            <w:tcW w:w="37.00pt" w:type="dxa"/>
            <w:vAlign w:val="center"/>
          </w:tcPr>
          <w:p>
            <w:pPr>
              <w:pStyle w:val="tablecopy"/>
              <w:keepNext/>
              <w:jc w:val="end"/>
            </w:pPr>
            <w:r>
              <w:rPr>
                <w:sz w:val="13"/>
                <w:szCs w:val="13"/>
              </w:rPr>
              <w:t xml:space="preserve">6,725</w:t>
            </w:r>
          </w:p>
        </w:tc>
        <w:tc>
          <w:tcPr>
            <w:tcW w:w="36.00pt" w:type="dxa"/>
            <w:vAlign w:val="center"/>
          </w:tcPr>
          <w:p>
            <w:pPr>
              <w:pStyle w:val="tablecopy"/>
              <w:keepNext/>
              <w:jc w:val="end"/>
            </w:pPr>
            <w:r>
              <w:rPr>
                <w:sz w:val="13"/>
                <w:szCs w:val="13"/>
              </w:rPr>
              <w:t xml:space="preserve">2,174</w:t>
            </w:r>
          </w:p>
        </w:tc>
        <w:tc>
          <w:tcPr>
            <w:tcW w:w="37.30pt" w:type="dxa"/>
            <w:vAlign w:val="center"/>
          </w:tcPr>
          <w:p>
            <w:pPr>
              <w:pStyle w:val="tablecopy"/>
              <w:keepNext/>
              <w:jc w:val="end"/>
            </w:pPr>
            <w:r>
              <w:rPr>
                <w:sz w:val="13"/>
                <w:szCs w:val="13"/>
              </w:rPr>
              <w:t xml:space="preserve">806.0</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2,563</w:t>
            </w:r>
          </w:p>
        </w:tc>
        <w:tc>
          <w:tcPr>
            <w:tcW w:w="37.00pt" w:type="dxa"/>
            <w:vAlign w:val="center"/>
          </w:tcPr>
          <w:p>
            <w:pPr>
              <w:pStyle w:val="tablecopy"/>
              <w:keepNext/>
              <w:jc w:val="end"/>
            </w:pPr>
            <w:r>
              <w:rPr>
                <w:sz w:val="13"/>
                <w:szCs w:val="13"/>
              </w:rPr>
              <w:t xml:space="preserve">3,682</w:t>
            </w:r>
          </w:p>
        </w:tc>
        <w:tc>
          <w:tcPr>
            <w:tcW w:w="36.00pt" w:type="dxa"/>
            <w:vAlign w:val="center"/>
          </w:tcPr>
          <w:p>
            <w:pPr>
              <w:pStyle w:val="tablecopy"/>
              <w:keepNext/>
              <w:jc w:val="end"/>
            </w:pPr>
            <w:r>
              <w:rPr>
                <w:sz w:val="13"/>
                <w:szCs w:val="13"/>
              </w:rPr>
              <w:t xml:space="preserve">1,399</w:t>
            </w:r>
          </w:p>
        </w:tc>
        <w:tc>
          <w:tcPr>
            <w:tcW w:w="37.30pt" w:type="dxa"/>
            <w:vAlign w:val="center"/>
          </w:tcPr>
          <w:p>
            <w:pPr>
              <w:pStyle w:val="tablecopy"/>
              <w:keepNext/>
              <w:jc w:val="end"/>
            </w:pPr>
            <w:r>
              <w:rPr>
                <w:sz w:val="13"/>
                <w:szCs w:val="13"/>
              </w:rPr>
              <w:t xml:space="preserve">987.5</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2,358</w:t>
            </w:r>
          </w:p>
        </w:tc>
        <w:tc>
          <w:tcPr>
            <w:tcW w:w="37.00pt" w:type="dxa"/>
            <w:vAlign w:val="center"/>
          </w:tcPr>
          <w:p>
            <w:pPr>
              <w:pStyle w:val="tablecopy"/>
              <w:keepNext/>
              <w:jc w:val="end"/>
            </w:pPr>
            <w:r>
              <w:rPr>
                <w:sz w:val="13"/>
                <w:szCs w:val="13"/>
              </w:rPr>
              <w:t xml:space="preserve">3,924</w:t>
            </w:r>
          </w:p>
        </w:tc>
        <w:tc>
          <w:tcPr>
            <w:tcW w:w="36.00pt" w:type="dxa"/>
            <w:vAlign w:val="center"/>
          </w:tcPr>
          <w:p>
            <w:pPr>
              <w:pStyle w:val="tablecopy"/>
              <w:keepNext/>
              <w:jc w:val="end"/>
            </w:pPr>
            <w:r>
              <w:rPr>
                <w:sz w:val="13"/>
                <w:szCs w:val="13"/>
              </w:rPr>
              <w:t xml:space="preserve">1,330</w:t>
            </w:r>
          </w:p>
        </w:tc>
        <w:tc>
          <w:tcPr>
            <w:tcW w:w="37.30pt" w:type="dxa"/>
            <w:vAlign w:val="center"/>
          </w:tcPr>
          <w:p>
            <w:pPr>
              <w:pStyle w:val="tablecopy"/>
              <w:keepNext/>
              <w:jc w:val="end"/>
            </w:pPr>
            <w:r>
              <w:rPr>
                <w:sz w:val="13"/>
                <w:szCs w:val="13"/>
              </w:rPr>
              <w:t xml:space="preserve">971.6</w:t>
            </w:r>
          </w:p>
        </w:tc>
      </w:tr>
      <w:tr>
        <w:trPr>
          <w:cantSplit/>
          <w:jc w:val="center"/>
        </w:trPr>
        <w:tc>
          <w:tcPr>
            <w:tcW w:w="48.00pt" w:type="dxa"/>
            <w:vAlign w:val="center"/>
          </w:tcPr>
          <w:p>
            <w:pPr>
              <w:pStyle w:val="tablecopy"/>
              <w:jc w:val="start"/>
            </w:pPr>
            <w:r>
              <w:rPr>
                <w:sz w:val="13"/>
                <w:szCs w:val="13"/>
              </w:rPr>
              <w:t xml:space="preserve">Routine peak</w:t>
            </w:r>
          </w:p>
        </w:tc>
        <w:tc>
          <w:tcPr>
            <w:tcW w:w="48.00pt" w:type="dxa"/>
            <w:vAlign w:val="center"/>
          </w:tcPr>
          <w:p>
            <w:pPr>
              <w:pStyle w:val="tablecopy"/>
              <w:jc w:val="start"/>
            </w:pPr>
            <w:r>
              <w:rPr>
                <w:sz w:val="13"/>
                <w:szCs w:val="13"/>
              </w:rPr>
              <w:t xml:space="preserve">Forecast rule</w:t>
            </w:r>
          </w:p>
        </w:tc>
        <w:tc>
          <w:tcPr>
            <w:tcW w:w="37.00pt" w:type="dxa"/>
            <w:vAlign w:val="center"/>
          </w:tcPr>
          <w:p>
            <w:pPr>
              <w:pStyle w:val="tablecopy"/>
              <w:jc w:val="end"/>
            </w:pPr>
            <w:r>
              <w:rPr>
                <w:sz w:val="13"/>
                <w:szCs w:val="13"/>
              </w:rPr>
              <w:t xml:space="preserve">2,358</w:t>
            </w:r>
          </w:p>
        </w:tc>
        <w:tc>
          <w:tcPr>
            <w:tcW w:w="37.00pt" w:type="dxa"/>
            <w:vAlign w:val="center"/>
          </w:tcPr>
          <w:p>
            <w:pPr>
              <w:pStyle w:val="tablecopy"/>
              <w:jc w:val="end"/>
            </w:pPr>
            <w:r>
              <w:rPr>
                <w:sz w:val="13"/>
                <w:szCs w:val="13"/>
              </w:rPr>
              <w:t xml:space="preserve">3,924</w:t>
            </w:r>
          </w:p>
        </w:tc>
        <w:tc>
          <w:tcPr>
            <w:tcW w:w="36.00pt" w:type="dxa"/>
            <w:vAlign w:val="center"/>
          </w:tcPr>
          <w:p>
            <w:pPr>
              <w:pStyle w:val="tablecopy"/>
              <w:jc w:val="end"/>
            </w:pPr>
            <w:r>
              <w:rPr>
                <w:sz w:val="13"/>
                <w:szCs w:val="13"/>
              </w:rPr>
              <w:t xml:space="preserve">1,330</w:t>
            </w:r>
          </w:p>
        </w:tc>
        <w:tc>
          <w:tcPr>
            <w:tcW w:w="37.30pt" w:type="dxa"/>
            <w:vAlign w:val="center"/>
          </w:tcPr>
          <w:p>
            <w:pPr>
              <w:pStyle w:val="tablecopy"/>
              <w:jc w:val="end"/>
            </w:pPr>
            <w:r>
              <w:rPr>
                <w:sz w:val="13"/>
                <w:szCs w:val="13"/>
              </w:rPr>
              <w:t xml:space="preserve">971.6</w:t>
            </w:r>
          </w:p>
        </w:tc>
      </w:tr>
    </w:tbl>
    <w:p>
      <w:pPr>
        <w:pStyle w:val="tablecopy"/>
        <w:spacing w:before="3pt" w:after="8pt"/>
      </w:pPr>
      <w:r>
        <w:rPr>
          <w:i/>
          <w:iCs/>
          <w:sz w:val="14"/>
          <w:szCs w:val="14"/>
        </w:rPr>
        <w:t xml:space="preserve">Note:</w:t>
      </w:r>
      <w:r>
        <w:rPr>
          <w:sz w:val="14"/>
          <w:szCs w:val="14"/>
        </w:rPr>
        <w:t xml:space="preserve"> Kept as recorded, not a corridor controller comparison: bare from/to flows let SUMO re-route at insertion and about half of the mainline left West Street (</w:t>
      </w:r>
      <w:r>
        <w:rPr>
          <w:sz w:val="14"/>
          <w:szCs w:val="14"/>
        </w:rPr>
        <w:t xml:space="preserve">Table IX</w:t>
      </w:r>
      <w:r>
        <w:rPr>
          <w:sz w:val="14"/>
          <w:szCs w:val="14"/>
        </w:rPr>
        <w:t xml:space="preserve">). Mean over five matched seeds; 6,675 (routine) or 8,350 vehicles loaded per run. Time loss is per </w:t>
      </w:r>
      <w:r>
        <w:rPr>
          <w:i/>
          <w:iCs/>
          <w:sz w:val="14"/>
          <w:szCs w:val="14"/>
        </w:rPr>
        <w:t xml:space="preserve">completed</w:t>
      </w:r>
      <w:r>
        <w:rPr>
          <w:sz w:val="14"/>
          <w:szCs w:val="14"/>
        </w:rPr>
        <w:t xml:space="preserve"> trip, so a lower value with fewer completed trips is survivorship, not improvement. Scenario-based testbed with OSM geometry and declared demand, not a calibrated digital twin;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w:t>
      </w:r>
      <w:r>
        <w:t xml:space="preserve">Table VIII</w:t>
      </w:r>
      <w:r>
        <w:t xml:space="preserve">.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IX</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IX</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IX</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so the controller comparison is not run. No simulated gain is claimed.</w:t>
      </w:r>
    </w:p>
    <w:p>
      <w:pPr>
        <w:pStyle w:val="BodyText"/>
      </w:pPr>
      <w:r>
        <w:rPr>
          <w:i/>
          <w:iCs/>
        </w:rPr>
        <w:t xml:space="preserve">Engineering:</w:t>
      </w:r>
      <w:r>
        <w:t xml:space="preserve"> Data download, training, LLM inference and the first simulation runs were executed on the authors’ workstation (torch 2.11.0+cu128, a recorded deviation from the lock file).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and no controller comparison is established, because an audit of the simulation testbed found that the first comparison let SUMO divert half of the corridor traffic and that, once corrected, the modelled corridor cannot serve the observed West Street volume within its baseline test, with generated or Webster re-timed signal programs.</w:t>
      </w:r>
    </w:p>
    <w:p>
      <w:pPr>
        <w:pStyle w:val="BodyText"/>
      </w:pPr>
      <w:r>
        <w:t xml:space="preserve">Future work, in the order the evidence suggests, is training with more seeds and without the compute budget, congestion-conditional calibration, a denser sensor network on which the spatial layer can matter, calibrating the simulation testbed’s signal splits and progression to the observed 10.95 mph PM-peak speed (or obtaining NYC DOT timing plans), pedestrian modelling,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