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Traffic management needs accurate, calibrated and explainable multi-horizon forecasts. We present a Manhattan prototype that couples a context-gated graph attention and Transformer forecaster for 15-, 30- and 60-minute link-speed prediction with a retrieval-augmented, constraint-checked agentic workflow that drafts simulation-only signal-timing advisories. It runs on a road-link graph of New York City real-time speeds, fuses weather, 311 and calendar context through an availability-aware gate, is calibrated with split conformal prediction and explained with grouped Shapley values.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operational weather features hurt. Conformal intervals reach 0.90 to 0.91 coverage overall but only 0.76 to 0.80 under congestion; a deterministic reliability gate defers 26 percent of forecasts and raises coverage on the rest to 0.93 to 0.95. Retrieval removed fabricated citations. After a second preregistered calibration brought the SUMO testbed to 10.1 of the observed 10.95 mph, a forecast-informed signal rule lowered simulated time loss by about 5 percent under configured stress while completing more trips, a simulated result and not a real-world gain.</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three times (2026-10-20; 2026-10-21 after the simulation-gate correction; 2026-10-28 on the calibrated testbed, described below): 36 calls, one attempt each, 892 to 3,619 prompt tokens, 157 to 321 completion tokens and 15 to 126 s per call (the first, cold call slowest; 18 to 54 s in the later passes), all returning schema-valid JSON and all recommending monitoring only (</w:t>
      </w:r>
      <w:r>
        <w:rPr>
          <w:rFonts w:ascii="Courier New" w:hAnsi="Courier New" w:cs="Courier New"/>
          <w:sz w:val="18"/>
          <w:szCs w:val="18"/>
        </w:rPr>
        <w:t xml:space="preserve">reports/​experiments/​llm_​calls.csv</w:t>
      </w:r>
      <w:r>
        <w:t xml:space="preserve">). All three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that comparison.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VIII</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VIII</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VIII</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IX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(run 2026-10-26): a plan within tolerance.</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w:t>
      </w:r>
      <w:r>
        <w:t xml:space="preserve">). The workstation ran the 75 runs on 26 October 2026 (</w:t>
      </w:r>
      <w:r>
        <w:rPr>
          <w:rFonts w:ascii="Courier New" w:hAnsi="Courier New" w:cs="Courier New"/>
          <w:sz w:val="18"/>
          <w:szCs w:val="18"/>
        </w:rPr>
        <w:t xml:space="preserve">split_​calibration_​v6_​counts2025_​cycle_​splits_​offsets.json</w:t>
      </w:r>
      <w:r>
        <w:t xml:space="preserve">). Splits alone never reach the target: the Webster-cycle cells reproduce v5 and top out at 8.22 mph, and a 90 s common cycle without offsets gives 8.88 mph at every factor from 1.5 upward (the green bounds bind, so the factors coincide). Offsets close the gap: the 90 s cells with a 25 mph progression reach 10.08 mph, 0.87 mph below the observed speed and within tolerance, with no unfinished trip and no teleport in any seed; the 120 s cells with offsets overshoot (13.1 to 21.7 mph). The tie-break selects the least intervention, factor 1.5, and the selected program is recorded as a calibrated scenario testbed: a cycle, green share and offsets tuned to one observed speed on one link, not NYC DOT timing. Under that plan the preregistered side-street rule admits only the zero level, as before (</w:t>
      </w:r>
      <w:r>
        <w:rPr>
          <w:rFonts w:ascii="Courier New" w:hAnsi="Courier New" w:cs="Courier New"/>
          <w:sz w:val="18"/>
          <w:szCs w:val="18"/>
        </w:rPr>
        <w:t xml:space="preserve">demand_​selection.json</w:t>
      </w:r>
      <w:r>
        <w:t xml:space="preserve">).</w:t>
      </w:r>
    </w:p>
    <w:p>
      <w:pPr>
        <w:pStyle w:val="tablehead"/>
        <w:keepNext/>
      </w:pPr>
      <w:r>
        <w:t xml:space="preserve">Signal-Timing Calibration, Protocol v6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560"/>
        <w:gridCol w:w="560"/>
        <w:gridCol w:w="620"/>
        <w:gridCol w:w="600"/>
        <w:gridCol w:w="600"/>
        <w:gridCol w:w="1100"/>
        <w:gridCol w:w="826"/>
      </w:tblGrid>
      <w:tr>
        <w:trPr>
          <w:cantSplit/>
          <w:tblHeader/>
          <w:jc w:val="center"/>
        </w:trPr>
        <w:tc>
          <w:tcPr>
            <w:tcW w:w="28.00pt" w:type="dxa"/>
            <w:vAlign w:val="center"/>
          </w:tcPr>
          <w:p>
            <w:pPr>
              <w:pStyle w:val="tablecolhead"/>
              <w:keepNext/>
              <w:jc w:val="center"/>
            </w:pPr>
            <w:r>
              <w:rPr>
                <w:b/>
                <w:bCs/>
                <w:sz w:val="13"/>
                <w:szCs w:val="13"/>
              </w:rPr>
              <w:t xml:space="preserve">Cycle (s)</w:t>
            </w:r>
          </w:p>
        </w:tc>
        <w:tc>
          <w:tcPr>
            <w:tcW w:w="28.00pt" w:type="dxa"/>
            <w:vAlign w:val="center"/>
          </w:tcPr>
          <w:p>
            <w:pPr>
              <w:pStyle w:val="tablecolhead"/>
              <w:keepNext/>
              <w:jc w:val="center"/>
            </w:pPr>
            <w:r>
              <w:rPr>
                <w:b/>
                <w:bCs/>
                <w:sz w:val="13"/>
                <w:szCs w:val="13"/>
              </w:rPr>
              <w:t xml:space="preserve">Green factor</w:t>
            </w:r>
          </w:p>
        </w:tc>
        <w:tc>
          <w:tcPr>
            <w:tcW w:w="31.00pt" w:type="dxa"/>
            <w:vAlign w:val="center"/>
          </w:tcPr>
          <w:p>
            <w:pPr>
              <w:pStyle w:val="tablecolhead"/>
              <w:keepNext/>
              <w:jc w:val="center"/>
            </w:pPr>
            <w:r>
              <w:rPr>
                <w:b/>
                <w:bCs/>
                <w:sz w:val="13"/>
                <w:szCs w:val="13"/>
              </w:rPr>
              <w:t xml:space="preserve">Offsets</w:t>
            </w:r>
          </w:p>
        </w:tc>
        <w:tc>
          <w:tcPr>
            <w:tcW w:w="30.00pt" w:type="dxa"/>
            <w:vAlign w:val="center"/>
          </w:tcPr>
          <w:p>
            <w:pPr>
              <w:pStyle w:val="tablecolhead"/>
              <w:keepNext/>
              <w:jc w:val="center"/>
            </w:pPr>
            <w:r>
              <w:rPr>
                <w:b/>
                <w:bCs/>
                <w:sz w:val="13"/>
                <w:szCs w:val="13"/>
              </w:rPr>
              <w:t xml:space="preserve">Speed (mph)</w:t>
            </w:r>
          </w:p>
        </w:tc>
        <w:tc>
          <w:tcPr>
            <w:tcW w:w="30.00pt" w:type="dxa"/>
            <w:vAlign w:val="center"/>
          </w:tcPr>
          <w:p>
            <w:pPr>
              <w:pStyle w:val="tablecolhead"/>
              <w:keepNext/>
              <w:jc w:val="center"/>
            </w:pPr>
            <w:r>
              <w:rPr>
                <w:b/>
                <w:bCs/>
                <w:sz w:val="13"/>
                <w:szCs w:val="13"/>
              </w:rPr>
              <w:t xml:space="preserve">Gap (mph)</w:t>
            </w:r>
          </w:p>
        </w:tc>
        <w:tc>
          <w:tcPr>
            <w:tcW w:w="55.00pt" w:type="dxa"/>
            <w:vAlign w:val="center"/>
          </w:tcPr>
          <w:p>
            <w:pPr>
              <w:pStyle w:val="tablecolhead"/>
              <w:keepNext/>
              <w:jc w:val="center"/>
            </w:pPr>
            <w:r>
              <w:rPr>
                <w:b/>
                <w:bCs/>
                <w:sz w:val="13"/>
                <w:szCs w:val="13"/>
              </w:rPr>
              <w:t xml:space="preserve">Unfinished per seed</w:t>
            </w:r>
          </w:p>
        </w:tc>
        <w:tc>
          <w:tcPr>
            <w:tcW w:w="41.30pt" w:type="dxa"/>
            <w:vAlign w:val="center"/>
          </w:tcPr>
          <w:p>
            <w:pPr>
              <w:pStyle w:val="tablecolhead"/>
              <w:keepNext/>
              <w:jc w:val="center"/>
            </w:pPr>
            <w:r>
              <w:rPr>
                <w:b/>
                <w:bCs/>
                <w:sz w:val="13"/>
                <w:szCs w:val="13"/>
              </w:rPr>
              <w:t xml:space="preserve">Admissible</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5.82</w:t>
            </w:r>
          </w:p>
        </w:tc>
        <w:tc>
          <w:tcPr>
            <w:tcW w:w="30.00pt" w:type="dxa"/>
            <w:vAlign w:val="center"/>
          </w:tcPr>
          <w:p>
            <w:pPr>
              <w:pStyle w:val="tablecopy"/>
              <w:jc w:val="end"/>
            </w:pPr>
            <w:r>
              <w:rPr>
                <w:sz w:val="13"/>
                <w:szCs w:val="13"/>
              </w:rPr>
              <w:t xml:space="preserve">−5.13</w:t>
            </w:r>
          </w:p>
        </w:tc>
        <w:tc>
          <w:tcPr>
            <w:tcW w:w="55.00pt" w:type="dxa"/>
            <w:vAlign w:val="center"/>
          </w:tcPr>
          <w:p>
            <w:pPr>
              <w:pStyle w:val="tablecopy"/>
              <w:jc w:val="center"/>
            </w:pPr>
            <w:r>
              <w:rPr>
                <w:sz w:val="13"/>
                <w:szCs w:val="13"/>
              </w:rPr>
              <w:t xml:space="preserve">568 / 531 / 523</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6.78</w:t>
            </w:r>
          </w:p>
        </w:tc>
        <w:tc>
          <w:tcPr>
            <w:tcW w:w="30.00pt" w:type="dxa"/>
            <w:vAlign w:val="center"/>
          </w:tcPr>
          <w:p>
            <w:pPr>
              <w:pStyle w:val="tablecopy"/>
              <w:jc w:val="end"/>
            </w:pPr>
            <w:r>
              <w:rPr>
                <w:sz w:val="13"/>
                <w:szCs w:val="13"/>
              </w:rPr>
              <w:t xml:space="preserve">−4.17</w:t>
            </w:r>
          </w:p>
        </w:tc>
        <w:tc>
          <w:tcPr>
            <w:tcW w:w="55.00pt" w:type="dxa"/>
            <w:vAlign w:val="center"/>
          </w:tcPr>
          <w:p>
            <w:pPr>
              <w:pStyle w:val="tablecopy"/>
              <w:jc w:val="center"/>
            </w:pPr>
            <w:r>
              <w:rPr>
                <w:sz w:val="13"/>
                <w:szCs w:val="13"/>
              </w:rPr>
              <w:t xml:space="preserve">237 / 194 / 214</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7.49</w:t>
            </w:r>
          </w:p>
        </w:tc>
        <w:tc>
          <w:tcPr>
            <w:tcW w:w="30.00pt" w:type="dxa"/>
            <w:vAlign w:val="center"/>
          </w:tcPr>
          <w:p>
            <w:pPr>
              <w:pStyle w:val="tablecopy"/>
              <w:jc w:val="end"/>
            </w:pPr>
            <w:r>
              <w:rPr>
                <w:sz w:val="13"/>
                <w:szCs w:val="13"/>
              </w:rPr>
              <w:t xml:space="preserve">−3.46</w:t>
            </w:r>
          </w:p>
        </w:tc>
        <w:tc>
          <w:tcPr>
            <w:tcW w:w="55.00pt" w:type="dxa"/>
            <w:vAlign w:val="center"/>
          </w:tcPr>
          <w:p>
            <w:pPr>
              <w:pStyle w:val="tablecopy"/>
              <w:jc w:val="center"/>
            </w:pPr>
            <w:r>
              <w:rPr>
                <w:sz w:val="13"/>
                <w:szCs w:val="13"/>
              </w:rPr>
              <w:t xml:space="preserve">1 / 0 / 28</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8.10</w:t>
            </w:r>
          </w:p>
        </w:tc>
        <w:tc>
          <w:tcPr>
            <w:tcW w:w="30.00pt" w:type="dxa"/>
            <w:vAlign w:val="center"/>
          </w:tcPr>
          <w:p>
            <w:pPr>
              <w:pStyle w:val="tablecopy"/>
              <w:jc w:val="end"/>
            </w:pPr>
            <w:r>
              <w:rPr>
                <w:sz w:val="13"/>
                <w:szCs w:val="13"/>
              </w:rPr>
              <w:t xml:space="preserve">−2.85</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Webster</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6.79</w:t>
            </w:r>
          </w:p>
        </w:tc>
        <w:tc>
          <w:tcPr>
            <w:tcW w:w="30.00pt" w:type="dxa"/>
            <w:vAlign w:val="center"/>
          </w:tcPr>
          <w:p>
            <w:pPr>
              <w:pStyle w:val="tablecopy"/>
              <w:jc w:val="end"/>
            </w:pPr>
            <w:r>
              <w:rPr>
                <w:sz w:val="13"/>
                <w:szCs w:val="13"/>
              </w:rPr>
              <w:t xml:space="preserve">−4.16</w:t>
            </w:r>
          </w:p>
        </w:tc>
        <w:tc>
          <w:tcPr>
            <w:tcW w:w="55.00pt" w:type="dxa"/>
            <w:vAlign w:val="center"/>
          </w:tcPr>
          <w:p>
            <w:pPr>
              <w:pStyle w:val="tablecopy"/>
              <w:jc w:val="center"/>
            </w:pPr>
            <w:r>
              <w:rPr>
                <w:sz w:val="13"/>
                <w:szCs w:val="13"/>
              </w:rPr>
              <w:t xml:space="preserve">263 / 270 / 258</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7.88</w:t>
            </w:r>
          </w:p>
        </w:tc>
        <w:tc>
          <w:tcPr>
            <w:tcW w:w="30.00pt" w:type="dxa"/>
            <w:vAlign w:val="center"/>
          </w:tcPr>
          <w:p>
            <w:pPr>
              <w:pStyle w:val="tablecopy"/>
              <w:jc w:val="end"/>
            </w:pPr>
            <w:r>
              <w:rPr>
                <w:sz w:val="13"/>
                <w:szCs w:val="13"/>
              </w:rPr>
              <w:t xml:space="preserve">−3.07</w:t>
            </w:r>
          </w:p>
        </w:tc>
        <w:tc>
          <w:tcPr>
            <w:tcW w:w="55.00pt" w:type="dxa"/>
            <w:vAlign w:val="center"/>
          </w:tcPr>
          <w:p>
            <w:pPr>
              <w:pStyle w:val="tablecopy"/>
              <w:jc w:val="center"/>
            </w:pPr>
            <w:r>
              <w:rPr>
                <w:sz w:val="13"/>
                <w:szCs w:val="13"/>
              </w:rPr>
              <w:t xml:space="preserve">87 / 70 / 87</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8.88</w:t>
            </w:r>
          </w:p>
        </w:tc>
        <w:tc>
          <w:tcPr>
            <w:tcW w:w="30.00pt" w:type="dxa"/>
            <w:vAlign w:val="center"/>
          </w:tcPr>
          <w:p>
            <w:pPr>
              <w:pStyle w:val="tablecopy"/>
              <w:jc w:val="end"/>
            </w:pPr>
            <w:r>
              <w:rPr>
                <w:sz w:val="13"/>
                <w:szCs w:val="13"/>
              </w:rPr>
              <w:t xml:space="preserve">−2.07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90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10.08</w:t>
            </w:r>
          </w:p>
        </w:tc>
        <w:tc>
          <w:tcPr>
            <w:tcW w:w="30.00pt" w:type="dxa"/>
            <w:vAlign w:val="center"/>
          </w:tcPr>
          <w:p>
            <w:pPr>
              <w:pStyle w:val="tablecopy"/>
              <w:jc w:val="end"/>
            </w:pPr>
            <w:r>
              <w:rPr>
                <w:sz w:val="13"/>
                <w:szCs w:val="13"/>
              </w:rPr>
              <w:t xml:space="preserve">−0.87</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7.16</w:t>
            </w:r>
          </w:p>
        </w:tc>
        <w:tc>
          <w:tcPr>
            <w:tcW w:w="30.00pt" w:type="dxa"/>
            <w:vAlign w:val="center"/>
          </w:tcPr>
          <w:p>
            <w:pPr>
              <w:pStyle w:val="tablecopy"/>
              <w:jc w:val="end"/>
            </w:pPr>
            <w:r>
              <w:rPr>
                <w:sz w:val="13"/>
                <w:szCs w:val="13"/>
              </w:rPr>
              <w:t xml:space="preserve">−3.79</w:t>
            </w:r>
          </w:p>
        </w:tc>
        <w:tc>
          <w:tcPr>
            <w:tcW w:w="55.00pt" w:type="dxa"/>
            <w:vAlign w:val="center"/>
          </w:tcPr>
          <w:p>
            <w:pPr>
              <w:pStyle w:val="tablecopy"/>
              <w:jc w:val="center"/>
            </w:pPr>
            <w:r>
              <w:rPr>
                <w:sz w:val="13"/>
                <w:szCs w:val="13"/>
              </w:rPr>
              <w:t xml:space="preserve">186 / 170 / 191</w:t>
            </w:r>
          </w:p>
        </w:tc>
        <w:tc>
          <w:tcPr>
            <w:tcW w:w="41.30pt" w:type="dxa"/>
            <w:vAlign w:val="center"/>
          </w:tcPr>
          <w:p>
            <w:pPr>
              <w:pStyle w:val="tablecopy"/>
              <w:jc w:val="center"/>
            </w:pPr>
            <w:r>
              <w:rPr>
                <w:sz w:val="13"/>
                <w:szCs w:val="13"/>
              </w:rPr>
              <w:t xml:space="preserve">no</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8.22</w:t>
            </w:r>
          </w:p>
        </w:tc>
        <w:tc>
          <w:tcPr>
            <w:tcW w:w="30.00pt" w:type="dxa"/>
            <w:vAlign w:val="center"/>
          </w:tcPr>
          <w:p>
            <w:pPr>
              <w:pStyle w:val="tablecopy"/>
              <w:jc w:val="end"/>
            </w:pPr>
            <w:r>
              <w:rPr>
                <w:sz w:val="13"/>
                <w:szCs w:val="13"/>
              </w:rPr>
              <w:t xml:space="preserve">−2.73</w:t>
            </w:r>
          </w:p>
        </w:tc>
        <w:tc>
          <w:tcPr>
            <w:tcW w:w="55.00pt" w:type="dxa"/>
            <w:vAlign w:val="center"/>
          </w:tcPr>
          <w:p>
            <w:pPr>
              <w:pStyle w:val="tablecopy"/>
              <w:jc w:val="center"/>
            </w:pPr>
            <w:r>
              <w:rPr>
                <w:sz w:val="13"/>
                <w:szCs w:val="13"/>
              </w:rPr>
              <w:t xml:space="preserve">0 / 0 / 9</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1.5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2.5</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none</w:t>
            </w:r>
          </w:p>
        </w:tc>
        <w:tc>
          <w:tcPr>
            <w:tcW w:w="30.00pt" w:type="dxa"/>
            <w:vAlign w:val="center"/>
          </w:tcPr>
          <w:p>
            <w:pPr>
              <w:pStyle w:val="tablecopy"/>
              <w:jc w:val="end"/>
            </w:pPr>
            <w:r>
              <w:rPr>
                <w:sz w:val="13"/>
                <w:szCs w:val="13"/>
              </w:rPr>
              <w:t xml:space="preserve">13.11</w:t>
            </w:r>
          </w:p>
        </w:tc>
        <w:tc>
          <w:tcPr>
            <w:tcW w:w="30.00pt" w:type="dxa"/>
            <w:vAlign w:val="center"/>
          </w:tcPr>
          <w:p>
            <w:pPr>
              <w:pStyle w:val="tablecopy"/>
              <w:jc w:val="end"/>
            </w:pPr>
            <w:r>
              <w:rPr>
                <w:sz w:val="13"/>
                <w:szCs w:val="13"/>
              </w:rPr>
              <w:t xml:space="preserve">+2.16</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r>
        <w:trPr>
          <w:cantSplit/>
          <w:jc w:val="center"/>
        </w:trPr>
        <w:tc>
          <w:tcPr>
            <w:tcW w:w="28.00pt" w:type="dxa"/>
            <w:vAlign w:val="center"/>
          </w:tcPr>
          <w:p>
            <w:pPr>
              <w:pStyle w:val="tablecopy"/>
              <w:jc w:val="start"/>
            </w:pPr>
            <w:r>
              <w:rPr>
                <w:sz w:val="13"/>
                <w:szCs w:val="13"/>
              </w:rPr>
              <w:t xml:space="preserve">120</w:t>
            </w:r>
          </w:p>
        </w:tc>
        <w:tc>
          <w:tcPr>
            <w:tcW w:w="28.00pt" w:type="dxa"/>
            <w:vAlign w:val="center"/>
          </w:tcPr>
          <w:p>
            <w:pPr>
              <w:pStyle w:val="tablecopy"/>
              <w:jc w:val="center"/>
            </w:pPr>
            <w:r>
              <w:rPr>
                <w:sz w:val="13"/>
                <w:szCs w:val="13"/>
              </w:rPr>
              <w:t xml:space="preserve">3.0</w:t>
            </w:r>
          </w:p>
        </w:tc>
        <w:tc>
          <w:tcPr>
            <w:tcW w:w="31.00pt" w:type="dxa"/>
            <w:vAlign w:val="center"/>
          </w:tcPr>
          <w:p>
            <w:pPr>
              <w:pStyle w:val="tablecopy"/>
              <w:jc w:val="center"/>
            </w:pPr>
            <w:r>
              <w:rPr>
                <w:sz w:val="13"/>
                <w:szCs w:val="13"/>
              </w:rPr>
              <w:t xml:space="preserve">25 mph</w:t>
            </w:r>
          </w:p>
        </w:tc>
        <w:tc>
          <w:tcPr>
            <w:tcW w:w="30.00pt" w:type="dxa"/>
            <w:vAlign w:val="center"/>
          </w:tcPr>
          <w:p>
            <w:pPr>
              <w:pStyle w:val="tablecopy"/>
              <w:jc w:val="end"/>
            </w:pPr>
            <w:r>
              <w:rPr>
                <w:sz w:val="13"/>
                <w:szCs w:val="13"/>
              </w:rPr>
              <w:t xml:space="preserve">21.67</w:t>
            </w:r>
          </w:p>
        </w:tc>
        <w:tc>
          <w:tcPr>
            <w:tcW w:w="30.00pt" w:type="dxa"/>
            <w:vAlign w:val="center"/>
          </w:tcPr>
          <w:p>
            <w:pPr>
              <w:pStyle w:val="tablecopy"/>
              <w:jc w:val="end"/>
            </w:pPr>
            <w:r>
              <w:rPr>
                <w:sz w:val="13"/>
                <w:szCs w:val="13"/>
              </w:rPr>
              <w:t xml:space="preserve">+10.72</w:t>
            </w:r>
          </w:p>
        </w:tc>
        <w:tc>
          <w:tcPr>
            <w:tcW w:w="55.00pt" w:type="dxa"/>
            <w:vAlign w:val="center"/>
          </w:tcPr>
          <w:p>
            <w:pPr>
              <w:pStyle w:val="tablecopy"/>
              <w:jc w:val="center"/>
            </w:pPr>
            <w:r>
              <w:rPr>
                <w:sz w:val="13"/>
                <w:szCs w:val="13"/>
              </w:rPr>
              <w:t xml:space="preserve">0 / 0 / 0</w:t>
            </w:r>
          </w:p>
        </w:tc>
        <w:tc>
          <w:tcPr>
            <w:tcW w:w="41.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Every corridor signal on the per-signal Webster cycles or on a common cycle; corridor green scaled by a factor within the cycle (phase states unchanged, greens at least 7 s, corridor green at most 90 s) and, with a common cycle, offsets for a 25 mph platoon along the southbound chain; grid fixed before the run. Fixed-time baseline, seeds 101, 102 and 103, no side-street demand, 2025 counts. Speed is the seed-mean space-mean speed on the SUMO edges mapped to DOT link 4456494; target 10.95 mph ±1.5. A cell is admissible with no teleport and at most 1% unfinished trips in every seed. Selected: factor 1.5, 90 s common cycle, 25 mph offsets.</w:t>
      </w:r>
    </w:p>
    <w:p>
      <w:pPr>
        <w:pStyle w:val="BodyText"/>
      </w:pPr>
      <w:r>
        <w:rPr>
          <w:i/>
          <w:iCs/>
        </w:rPr>
        <w:t xml:space="preserve">Controller comparison on the calibrated testbed (2026-10-28).</w:t>
      </w:r>
      <w:r>
        <w:t xml:space="preserve"> With a plan selected, the comparison that the rule had blocked could run: three scenarios (routine PM peak at the 2025 counts; a configured event surge of ×1.25; the surge plus a configured 20-minute capacity reduction) under three controllers on five matched seeds, 45 runs, every one completed with zero teleports (</w:t>
      </w:r>
      <w:r>
        <w:t xml:space="preserve">Table XI</w:t>
      </w:r>
      <w:r>
        <w:t xml:space="preserve">). The matched pair is fixed time against the deterministic forecast-informed rule, which run on the same calibrated plan, network, demand and seeds; the rule only acts when congestion is forecast, so in the routine peak the two are identical (271.6 s mean time loss, all 4,975 trips completed in every seed). Under the surge the rule lowers the mean time loss per completed trip from 450.2 to 426.0 s (−5.4%) while completing more trips (5,910 against 5,720 of 6,712 loaded) and leaving fewer unfinished (350 against 540), with a lower mean corridor queue (180 against 197 vehicles); under the incident the figures are 465.9 to 443.9 s (−4.7%), 5,919 against 5,725 completed, 341 against 536 unfinished, 183 against 203 queued. The direction is the same in every seed (time-loss gain 12.9 to 29.9 s under the surge and 14.3 to 33.7 s under the incident, 148 to 250 more trips completed), so this time the lower delay is not survivorship. The actuated controller runs on netconvert’s actuated programs, not on the calibrated plan, so its rows are an uncalibrated reference and are not ranked against the pair. The result is a simulated improvement in a calibrated scenario testbed with no side-street demand, no pedestrians and 340 to 540 trips still unfinished under stress; it is not a real-world gain.</w:t>
      </w:r>
    </w:p>
    <w:p>
      <w:pPr>
        <w:pStyle w:val="tablehead"/>
        <w:keepNext/>
      </w:pPr>
      <w:r>
        <w:t xml:space="preserve">Controller Comparison on the Calibrated Testbed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780"/>
        <w:gridCol w:w="800"/>
        <w:gridCol w:w="560"/>
        <w:gridCol w:w="740"/>
        <w:gridCol w:w="760"/>
        <w:gridCol w:w="640"/>
        <w:gridCol w:w="586"/>
      </w:tblGrid>
      <w:tr>
        <w:trPr>
          <w:cantSplit/>
          <w:tblHeader/>
          <w:jc w:val="center"/>
        </w:trPr>
        <w:tc>
          <w:tcPr>
            <w:tcW w:w="39.00pt" w:type="dxa"/>
            <w:vAlign w:val="center"/>
          </w:tcPr>
          <w:p>
            <w:pPr>
              <w:pStyle w:val="tablecolhead"/>
              <w:keepNext/>
              <w:jc w:val="center"/>
            </w:pPr>
            <w:r>
              <w:rPr>
                <w:b/>
                <w:bCs/>
                <w:sz w:val="13"/>
                <w:szCs w:val="13"/>
              </w:rPr>
              <w:t xml:space="preserve">Scenario</w:t>
            </w:r>
          </w:p>
        </w:tc>
        <w:tc>
          <w:tcPr>
            <w:tcW w:w="40.00pt" w:type="dxa"/>
            <w:vAlign w:val="center"/>
          </w:tcPr>
          <w:p>
            <w:pPr>
              <w:pStyle w:val="tablecolhead"/>
              <w:keepNext/>
              <w:jc w:val="center"/>
            </w:pPr>
            <w:r>
              <w:rPr>
                <w:b/>
                <w:bCs/>
                <w:sz w:val="13"/>
                <w:szCs w:val="13"/>
              </w:rPr>
              <w:t xml:space="preserve">Controller</w:t>
            </w:r>
          </w:p>
        </w:tc>
        <w:tc>
          <w:tcPr>
            <w:tcW w:w="28.00pt" w:type="dxa"/>
            <w:vAlign w:val="center"/>
          </w:tcPr>
          <w:p>
            <w:pPr>
              <w:pStyle w:val="tablecolhead"/>
              <w:keepNext/>
              <w:jc w:val="center"/>
            </w:pPr>
            <w:r>
              <w:rPr>
                <w:b/>
                <w:bCs/>
                <w:sz w:val="13"/>
                <w:szCs w:val="13"/>
              </w:rPr>
              <w:t xml:space="preserve">Loaded</w:t>
            </w:r>
          </w:p>
        </w:tc>
        <w:tc>
          <w:tcPr>
            <w:tcW w:w="37.00pt" w:type="dxa"/>
            <w:vAlign w:val="center"/>
          </w:tcPr>
          <w:p>
            <w:pPr>
              <w:pStyle w:val="tablecolhead"/>
              <w:keepNext/>
              <w:jc w:val="center"/>
            </w:pPr>
            <w:r>
              <w:rPr>
                <w:b/>
                <w:bCs/>
                <w:sz w:val="13"/>
                <w:szCs w:val="13"/>
              </w:rPr>
              <w:t xml:space="preserve">Completed</w:t>
            </w:r>
          </w:p>
        </w:tc>
        <w:tc>
          <w:tcPr>
            <w:tcW w:w="38.00pt" w:type="dxa"/>
            <w:vAlign w:val="center"/>
          </w:tcPr>
          <w:p>
            <w:pPr>
              <w:pStyle w:val="tablecolhead"/>
              <w:keepNext/>
              <w:jc w:val="center"/>
            </w:pPr>
            <w:r>
              <w:rPr>
                <w:b/>
                <w:bCs/>
                <w:sz w:val="13"/>
                <w:szCs w:val="13"/>
              </w:rPr>
              <w:t xml:space="preserve">Unfinished</w:t>
            </w:r>
          </w:p>
        </w:tc>
        <w:tc>
          <w:tcPr>
            <w:tcW w:w="32.00pt" w:type="dxa"/>
            <w:vAlign w:val="center"/>
          </w:tcPr>
          <w:p>
            <w:pPr>
              <w:pStyle w:val="tablecolhead"/>
              <w:keepNext/>
              <w:jc w:val="center"/>
            </w:pPr>
            <w:r>
              <w:rPr>
                <w:b/>
                <w:bCs/>
                <w:sz w:val="13"/>
                <w:szCs w:val="13"/>
              </w:rPr>
              <w:t xml:space="preserve">Teleports</w:t>
            </w:r>
          </w:p>
        </w:tc>
        <w:tc>
          <w:tcPr>
            <w:tcW w:w="29.30pt" w:type="dxa"/>
            <w:vAlign w:val="center"/>
          </w:tcPr>
          <w:p>
            <w:pPr>
              <w:pStyle w:val="tablecolhead"/>
              <w:keepNext/>
              <w:jc w:val="center"/>
            </w:pPr>
            <w:r>
              <w:rPr>
                <w:b/>
                <w:bCs/>
                <w:sz w:val="13"/>
                <w:szCs w:val="13"/>
              </w:rPr>
              <w:t xml:space="preserve">Time loss (s)</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5,219</w:t>
            </w:r>
          </w:p>
        </w:tc>
        <w:tc>
          <w:tcPr>
            <w:tcW w:w="38.00pt" w:type="dxa"/>
            <w:vAlign w:val="center"/>
          </w:tcPr>
          <w:p>
            <w:pPr>
              <w:pStyle w:val="tablecopy"/>
              <w:keepNext/>
              <w:jc w:val="end"/>
            </w:pPr>
            <w:r>
              <w:rPr>
                <w:sz w:val="13"/>
                <w:szCs w:val="13"/>
              </w:rPr>
              <w:t xml:space="preserve">1,050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538.2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5,720</w:t>
            </w:r>
          </w:p>
        </w:tc>
        <w:tc>
          <w:tcPr>
            <w:tcW w:w="38.00pt" w:type="dxa"/>
            <w:vAlign w:val="center"/>
          </w:tcPr>
          <w:p>
            <w:pPr>
              <w:pStyle w:val="tablecopy"/>
              <w:keepNext/>
              <w:jc w:val="end"/>
            </w:pPr>
            <w:r>
              <w:rPr>
                <w:sz w:val="13"/>
                <w:szCs w:val="13"/>
              </w:rPr>
              <w:t xml:space="preserve">540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450.2</w:t>
            </w:r>
          </w:p>
        </w:tc>
      </w:tr>
      <w:tr>
        <w:trPr>
          <w:cantSplit/>
          <w:jc w:val="center"/>
        </w:trPr>
        <w:tc>
          <w:tcPr>
            <w:tcW w:w="39.00pt" w:type="dxa"/>
            <w:vAlign w:val="center"/>
          </w:tcPr>
          <w:p>
            <w:pPr>
              <w:pStyle w:val="tablecopy"/>
              <w:keepNext/>
              <w:jc w:val="start"/>
            </w:pPr>
            <w:r>
              <w:rPr>
                <w:sz w:val="13"/>
                <w:szCs w:val="13"/>
              </w:rPr>
              <w:t xml:space="preserve">Event surge</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5,910</w:t>
            </w:r>
          </w:p>
        </w:tc>
        <w:tc>
          <w:tcPr>
            <w:tcW w:w="38.00pt" w:type="dxa"/>
            <w:vAlign w:val="center"/>
          </w:tcPr>
          <w:p>
            <w:pPr>
              <w:pStyle w:val="tablecopy"/>
              <w:keepNext/>
              <w:jc w:val="end"/>
            </w:pPr>
            <w:r>
              <w:rPr>
                <w:sz w:val="13"/>
                <w:szCs w:val="13"/>
              </w:rPr>
              <w:t xml:space="preserve">350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426.0</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5,209</w:t>
            </w:r>
          </w:p>
        </w:tc>
        <w:tc>
          <w:tcPr>
            <w:tcW w:w="38.00pt" w:type="dxa"/>
            <w:vAlign w:val="center"/>
          </w:tcPr>
          <w:p>
            <w:pPr>
              <w:pStyle w:val="tablecopy"/>
              <w:keepNext/>
              <w:jc w:val="end"/>
            </w:pPr>
            <w:r>
              <w:rPr>
                <w:sz w:val="13"/>
                <w:szCs w:val="13"/>
              </w:rPr>
              <w:t xml:space="preserve">1,060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554.4</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5,725</w:t>
            </w:r>
          </w:p>
        </w:tc>
        <w:tc>
          <w:tcPr>
            <w:tcW w:w="38.00pt" w:type="dxa"/>
            <w:vAlign w:val="center"/>
          </w:tcPr>
          <w:p>
            <w:pPr>
              <w:pStyle w:val="tablecopy"/>
              <w:keepNext/>
              <w:jc w:val="end"/>
            </w:pPr>
            <w:r>
              <w:rPr>
                <w:sz w:val="13"/>
                <w:szCs w:val="13"/>
              </w:rPr>
              <w:t xml:space="preserve">536</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465.9</w:t>
            </w:r>
          </w:p>
        </w:tc>
      </w:tr>
      <w:tr>
        <w:trPr>
          <w:cantSplit/>
          <w:jc w:val="center"/>
        </w:trPr>
        <w:tc>
          <w:tcPr>
            <w:tcW w:w="39.00pt" w:type="dxa"/>
            <w:vAlign w:val="center"/>
          </w:tcPr>
          <w:p>
            <w:pPr>
              <w:pStyle w:val="tablecopy"/>
              <w:keepNext/>
              <w:jc w:val="start"/>
            </w:pPr>
            <w:r>
              <w:rPr>
                <w:sz w:val="13"/>
                <w:szCs w:val="13"/>
              </w:rPr>
              <w:t xml:space="preserve">Incident</w:t>
            </w:r>
          </w:p>
        </w:tc>
        <w:tc>
          <w:tcPr>
            <w:tcW w:w="40.00pt" w:type="dxa"/>
            <w:vAlign w:val="center"/>
          </w:tcPr>
          <w:p>
            <w:pPr>
              <w:pStyle w:val="tablecopy"/>
              <w:keepNext/>
              <w:jc w:val="start"/>
            </w:pPr>
            <w:r>
              <w:rPr>
                <w:sz w:val="13"/>
                <w:szCs w:val="13"/>
              </w:rPr>
              <w:t xml:space="preserve">Forecast rule</w:t>
            </w:r>
          </w:p>
        </w:tc>
        <w:tc>
          <w:tcPr>
            <w:tcW w:w="28.00pt" w:type="dxa"/>
            <w:vAlign w:val="center"/>
          </w:tcPr>
          <w:p>
            <w:pPr>
              <w:pStyle w:val="tablecopy"/>
              <w:keepNext/>
              <w:jc w:val="end"/>
            </w:pPr>
            <w:r>
              <w:rPr>
                <w:sz w:val="13"/>
                <w:szCs w:val="13"/>
              </w:rPr>
              <w:t xml:space="preserve">6,712</w:t>
            </w:r>
          </w:p>
        </w:tc>
        <w:tc>
          <w:tcPr>
            <w:tcW w:w="37.00pt" w:type="dxa"/>
            <w:vAlign w:val="center"/>
          </w:tcPr>
          <w:p>
            <w:pPr>
              <w:pStyle w:val="tablecopy"/>
              <w:keepNext/>
              <w:jc w:val="end"/>
            </w:pPr>
            <w:r>
              <w:rPr>
                <w:sz w:val="13"/>
                <w:szCs w:val="13"/>
              </w:rPr>
              <w:t xml:space="preserve">5,919</w:t>
            </w:r>
          </w:p>
        </w:tc>
        <w:tc>
          <w:tcPr>
            <w:tcW w:w="38.00pt" w:type="dxa"/>
            <w:vAlign w:val="center"/>
          </w:tcPr>
          <w:p>
            <w:pPr>
              <w:pStyle w:val="tablecopy"/>
              <w:keepNext/>
              <w:jc w:val="end"/>
            </w:pPr>
            <w:r>
              <w:rPr>
                <w:sz w:val="13"/>
                <w:szCs w:val="13"/>
              </w:rPr>
              <w:t xml:space="preserve">341</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443.9</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Actuated</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384.8</w:t>
            </w:r>
          </w:p>
        </w:tc>
      </w:tr>
      <w:tr>
        <w:trPr>
          <w:cantSplit/>
          <w:jc w:val="center"/>
        </w:trPr>
        <w:tc>
          <w:tcPr>
            <w:tcW w:w="39.00pt" w:type="dxa"/>
            <w:vAlign w:val="center"/>
          </w:tcPr>
          <w:p>
            <w:pPr>
              <w:pStyle w:val="tablecopy"/>
              <w:keepNext/>
              <w:jc w:val="start"/>
            </w:pPr>
            <w:r>
              <w:rPr>
                <w:sz w:val="13"/>
                <w:szCs w:val="13"/>
              </w:rPr>
              <w:t xml:space="preserve">Routine peak</w:t>
            </w:r>
          </w:p>
        </w:tc>
        <w:tc>
          <w:tcPr>
            <w:tcW w:w="40.00pt" w:type="dxa"/>
            <w:vAlign w:val="center"/>
          </w:tcPr>
          <w:p>
            <w:pPr>
              <w:pStyle w:val="tablecopy"/>
              <w:keepNext/>
              <w:jc w:val="start"/>
            </w:pPr>
            <w:r>
              <w:rPr>
                <w:sz w:val="13"/>
                <w:szCs w:val="13"/>
              </w:rPr>
              <w:t xml:space="preserve">Fixed-time</w:t>
            </w:r>
          </w:p>
        </w:tc>
        <w:tc>
          <w:tcPr>
            <w:tcW w:w="28.00pt" w:type="dxa"/>
            <w:vAlign w:val="center"/>
          </w:tcPr>
          <w:p>
            <w:pPr>
              <w:pStyle w:val="tablecopy"/>
              <w:keepNext/>
              <w:jc w:val="end"/>
            </w:pPr>
            <w:r>
              <w:rPr>
                <w:sz w:val="13"/>
                <w:szCs w:val="13"/>
              </w:rPr>
              <w:t xml:space="preserve">5,368</w:t>
            </w:r>
          </w:p>
        </w:tc>
        <w:tc>
          <w:tcPr>
            <w:tcW w:w="37.00pt" w:type="dxa"/>
            <w:vAlign w:val="center"/>
          </w:tcPr>
          <w:p>
            <w:pPr>
              <w:pStyle w:val="tablecopy"/>
              <w:keepNext/>
              <w:jc w:val="end"/>
            </w:pPr>
            <w:r>
              <w:rPr>
                <w:sz w:val="13"/>
                <w:szCs w:val="13"/>
              </w:rPr>
              <w:t xml:space="preserve">4,975</w:t>
            </w:r>
          </w:p>
        </w:tc>
        <w:tc>
          <w:tcPr>
            <w:tcW w:w="38.00pt" w:type="dxa"/>
            <w:vAlign w:val="center"/>
          </w:tcPr>
          <w:p>
            <w:pPr>
              <w:pStyle w:val="tablecopy"/>
              <w:keepNext/>
              <w:jc w:val="end"/>
            </w:pPr>
            <w:r>
              <w:rPr>
                <w:sz w:val="13"/>
                <w:szCs w:val="13"/>
              </w:rPr>
              <w:t xml:space="preserve">0</w:t>
            </w:r>
          </w:p>
        </w:tc>
        <w:tc>
          <w:tcPr>
            <w:tcW w:w="32.00pt" w:type="dxa"/>
            <w:vAlign w:val="center"/>
          </w:tcPr>
          <w:p>
            <w:pPr>
              <w:pStyle w:val="tablecopy"/>
              <w:keepNext/>
              <w:jc w:val="end"/>
            </w:pPr>
            <w:r>
              <w:rPr>
                <w:sz w:val="13"/>
                <w:szCs w:val="13"/>
              </w:rPr>
              <w:t xml:space="preserve">0</w:t>
            </w:r>
          </w:p>
        </w:tc>
        <w:tc>
          <w:tcPr>
            <w:tcW w:w="29.30pt" w:type="dxa"/>
            <w:vAlign w:val="center"/>
          </w:tcPr>
          <w:p>
            <w:pPr>
              <w:pStyle w:val="tablecopy"/>
              <w:keepNext/>
              <w:jc w:val="end"/>
            </w:pPr>
            <w:r>
              <w:rPr>
                <w:sz w:val="13"/>
                <w:szCs w:val="13"/>
              </w:rPr>
              <w:t xml:space="preserve">271.6</w:t>
            </w:r>
          </w:p>
        </w:tc>
      </w:tr>
      <w:tr>
        <w:trPr>
          <w:cantSplit/>
          <w:jc w:val="center"/>
        </w:trPr>
        <w:tc>
          <w:tcPr>
            <w:tcW w:w="39.00pt" w:type="dxa"/>
            <w:vAlign w:val="center"/>
          </w:tcPr>
          <w:p>
            <w:pPr>
              <w:pStyle w:val="tablecopy"/>
              <w:jc w:val="start"/>
            </w:pPr>
            <w:r>
              <w:rPr>
                <w:sz w:val="13"/>
                <w:szCs w:val="13"/>
              </w:rPr>
              <w:t xml:space="preserve">Routine peak</w:t>
            </w:r>
          </w:p>
        </w:tc>
        <w:tc>
          <w:tcPr>
            <w:tcW w:w="40.00pt" w:type="dxa"/>
            <w:vAlign w:val="center"/>
          </w:tcPr>
          <w:p>
            <w:pPr>
              <w:pStyle w:val="tablecopy"/>
              <w:jc w:val="start"/>
            </w:pPr>
            <w:r>
              <w:rPr>
                <w:sz w:val="13"/>
                <w:szCs w:val="13"/>
              </w:rPr>
              <w:t xml:space="preserve">Forecast rule</w:t>
            </w:r>
          </w:p>
        </w:tc>
        <w:tc>
          <w:tcPr>
            <w:tcW w:w="28.00pt" w:type="dxa"/>
            <w:vAlign w:val="center"/>
          </w:tcPr>
          <w:p>
            <w:pPr>
              <w:pStyle w:val="tablecopy"/>
              <w:jc w:val="end"/>
            </w:pPr>
            <w:r>
              <w:rPr>
                <w:sz w:val="13"/>
                <w:szCs w:val="13"/>
              </w:rPr>
              <w:t xml:space="preserve">5,368</w:t>
            </w:r>
          </w:p>
        </w:tc>
        <w:tc>
          <w:tcPr>
            <w:tcW w:w="37.00pt" w:type="dxa"/>
            <w:vAlign w:val="center"/>
          </w:tcPr>
          <w:p>
            <w:pPr>
              <w:pStyle w:val="tablecopy"/>
              <w:jc w:val="end"/>
            </w:pPr>
            <w:r>
              <w:rPr>
                <w:sz w:val="13"/>
                <w:szCs w:val="13"/>
              </w:rPr>
              <w:t xml:space="preserve">4,975</w:t>
            </w:r>
          </w:p>
        </w:tc>
        <w:tc>
          <w:tcPr>
            <w:tcW w:w="38.00pt" w:type="dxa"/>
            <w:vAlign w:val="center"/>
          </w:tcPr>
          <w:p>
            <w:pPr>
              <w:pStyle w:val="tablecopy"/>
              <w:jc w:val="end"/>
            </w:pPr>
            <w:r>
              <w:rPr>
                <w:sz w:val="13"/>
                <w:szCs w:val="13"/>
              </w:rPr>
              <w:t xml:space="preserve">0</w:t>
            </w:r>
          </w:p>
        </w:tc>
        <w:tc>
          <w:tcPr>
            <w:tcW w:w="32.00pt" w:type="dxa"/>
            <w:vAlign w:val="center"/>
          </w:tcPr>
          <w:p>
            <w:pPr>
              <w:pStyle w:val="tablecopy"/>
              <w:jc w:val="end"/>
            </w:pPr>
            <w:r>
              <w:rPr>
                <w:sz w:val="13"/>
                <w:szCs w:val="13"/>
              </w:rPr>
              <w:t xml:space="preserve">0</w:t>
            </w:r>
          </w:p>
        </w:tc>
        <w:tc>
          <w:tcPr>
            <w:tcW w:w="29.30pt" w:type="dxa"/>
            <w:vAlign w:val="center"/>
          </w:tcPr>
          <w:p>
            <w:pPr>
              <w:pStyle w:val="tablecopy"/>
              <w:jc w:val="end"/>
            </w:pPr>
            <w:r>
              <w:rPr>
                <w:sz w:val="13"/>
                <w:szCs w:val="13"/>
              </w:rPr>
              <w:t xml:space="preserve">271.6</w:t>
            </w:r>
          </w:p>
        </w:tc>
      </w:tr>
    </w:tbl>
    <w:p>
      <w:pPr>
        <w:pStyle w:val="tablecopy"/>
        <w:spacing w:before="3pt" w:after="8pt"/>
      </w:pPr>
      <w:r>
        <w:rPr>
          <w:i/>
          <w:iCs/>
          <w:sz w:val="14"/>
          <w:szCs w:val="14"/>
        </w:rPr>
        <w:t xml:space="preserve">Note:</w:t>
      </w:r>
      <w:r>
        <w:rPr>
          <w:sz w:val="14"/>
          <w:szCs w:val="14"/>
        </w:rPr>
        <w:t xml:space="preserve"> Mean over five matched seeds, per run. Calibrated scenario testbed (</w:t>
      </w:r>
      <w:r>
        <w:rPr>
          <w:sz w:val="14"/>
          <w:szCs w:val="14"/>
        </w:rPr>
        <w:t xml:space="preserve">Table X</w:t>
      </w:r>
      <w:r>
        <w:rPr>
          <w:sz w:val="14"/>
          <w:szCs w:val="14"/>
        </w:rPr>
        <w:t xml:space="preserve">: 90 s common cycle, corridor green factor 1.5, 25 mph southbound offsets, tuned to one observed speed on one link; not NYC DOT timing), OSM geometry, 2025 two-direction counts, no side-street demand. Fixed time and the forecast rule share this plan, network and seeds and are the matched pair; the actuated controller runs on netconvert’s own actuated programs and is an uncalibrated reference, not ranked. Time loss is per </w:t>
      </w:r>
      <w:r>
        <w:rPr>
          <w:i/>
          <w:iCs/>
          <w:sz w:val="14"/>
          <w:szCs w:val="14"/>
        </w:rPr>
        <w:t xml:space="preserve">completed</w:t>
      </w:r>
      <w:r>
        <w:rPr>
          <w:sz w:val="14"/>
          <w:szCs w:val="14"/>
        </w:rPr>
        <w:t xml:space="preserve"> trip (all of it on the corridor), so a lower value with fewer completed trips would be survivorship, not improvement. The superseded comparison of 2026-10-20 is described in the text;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Agent re-run on the calibrated testbed.</w:t>
      </w:r>
      <w:r>
        <w:t xml:space="preserve"> The advisory stage was run a third time on 28 October 2026 so that the simulation gate, now admissible, could be reached (</w:t>
      </w:r>
      <w:r>
        <w:rPr>
          <w:rFonts w:ascii="Courier New" w:hAnsi="Courier New" w:cs="Courier New"/>
          <w:sz w:val="18"/>
          <w:szCs w:val="18"/>
        </w:rPr>
        <w:t xml:space="preserve">llm_​calls.csv</w:t>
      </w:r>
      <w:r>
        <w:t xml:space="preserve">, 12 calls, 18 to 54 s, all schema-valid). It reproduced the 19 decisions of the two earlier passes: the model again recommended monitoring only on the mapped corridor under every policy, so no real advisory reached the gate and the SIMULATION_​PASSED path is still exercised only by the software tests; without retrieval it again cited a non-existent evidence id in all three cases, each rejected.</w:t>
      </w:r>
    </w:p>
    <w:p>
      <w:pPr>
        <w:pStyle w:val="Heading2"/>
      </w:pPr>
      <w:r>
        <w:t xml:space="preserve">Live observational run</w:t>
      </w:r>
    </w:p>
    <w:p>
      <w:pPr>
        <w:pStyle w:val="BodyText"/>
      </w:pPr>
      <w:r>
        <w:t xml:space="preserve">Every forecast number above is REPLAY: the frozen model scored on the held-out partition of the archived feed. A live mode (</w:t>
      </w:r>
      <w:r>
        <w:rPr>
          <w:rFonts w:ascii="Courier New" w:hAnsi="Courier New" w:cs="Courier New"/>
          <w:sz w:val="18"/>
          <w:szCs w:val="18"/>
        </w:rPr>
        <w:t xml:space="preserve">smartcity.cli live</w:t>
      </w:r>
      <w:r>
        <w:t xml:space="preserve">) was added on 28 October 2026: it pulls the newest records of the modelled links from the public feed together with the current Open-Meteo forecast and the last two days of road-related 311 requests, stores them verbatim with their retrieval time, rebuilds the 24-step window with the training-fitted transforms, runs the frozen model once per five-minute bin, writes the forecast before its earliest target time, and scores it only after the target bin is observed; links with fewer than 12 observed bins in the window are withheld and repeated or revised feed records are counted. </w:t>
      </w:r>
      <w:r>
        <w:t xml:space="preserve">Table XII</w:t>
      </w:r>
      <w:r>
        <w:t xml:space="preserve"> reports the outcome of the collection window. It was attempted on Wednesday 28 October 2026 between 15:49 and 18:05 New York time: the pipeline ran (15 speed, 15 weather and 14 311 pulls, nine forecast batches written), but the public speed feed was never less than about 1 h 40 min behind, its newest Manhattan record moving from 11:31 to 14:11, 13:36 and 15:36 local time across the pulls, with one batch published, withdrawn and republished, so every batch withheld all 16 links (at most 5 of the 24 lookback bins observed against the 12 required) and the one-hour collection was not started. The run is therefore NOT RUN, the withholding rule was not relaxed, and the feed’s publication latency is itself an operational finding: on such a day the deployed system would have issued no forecast. A second attempt on Thursday 29 October (12:29 to 17:38 New York time, 25 pulls, 24 batches) found the same: the newest record moved from 10:11 to 15:36 local time and the lag never fell below about 1 h 50 min, so again no link reached the required history and the hour never started. Across the two afternoons the feed ran 1.7 to 4.3 h behind real time; under the preregistered rule a live forecast is therefore not reachable with the feed as it currently publishes, and any alternative (an origin at the newest available bin with its data age displayed, or a shorter lookback) would be a new preregistered protocol rather than a relaxation applied after the fact. Whatever a later run yields is a short window on one day, a check that the pipeline works on data that did not exist at training time, not a second test set.</w:t>
      </w:r>
    </w:p>
    <w:p>
      <w:pPr>
        <w:pStyle w:val="tablehead"/>
        <w:keepNext/>
      </w:pPr>
      <w:r>
        <w:t xml:space="preserve">Live Observational Run (LIVE)</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 What finally passed that test was not more green but coordination: a common cycle with 25 mph offsets along the mapped direction took the modelled link from 8.9 to 10.1 mph where every split-only cell had stalled, which is also what West Street is timed for in reality. On that plan the matched comparison does show the forecast-informed rule ahead of fixed time under stress, by about 5% of time loss with more trips completed in every seed, and we read it narrowly: a deterministic rule that extends corridor green when congestion is forecast helps a corridor that is oversaturated by a configured surge, in a testbed tuned to one observed speed, with no side-street traffic to lose. It says nothing about the language model, which never proposed the action, and nothing about a real street.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the second protocol (v6) reached 10.08 mph with a 90 s common cycle and 25 mph southbound offsets, so the comparison ran on that plan. That plan is a calibrated scenario testbed, not NYC timing: it is tuned to one observed speed on one link, progresses one direction only, and the only admissible side-street level is zero, so side-road effects are not evaluated. The actuated controller runs on netconvert’s actuated programs rather than the calibrated plan and is an uncalibrated reference. Under the stress scenarios 340 to 540 of 6,712 trips remain unfinished with either matched controller. The reported improvement of the forecast-informed rule is a simulated result under these conditions and is not a real-world gain.</w:t>
      </w:r>
    </w:p>
    <w:p>
      <w:pPr>
        <w:pStyle w:val="BodyText"/>
      </w:pPr>
      <w:r>
        <w:rPr>
          <w:i/>
          <w:iCs/>
        </w:rPr>
        <w:t xml:space="preserve">Engineering:</w:t>
      </w:r>
      <w:r>
        <w:t xml:space="preserve"> Data download, training, LLM inference and the simulation runs were executed on the authors’ workstation (torch 2.11.0+cu128, a recorded deviation from the lock file; from 28 October 2026 Windows Application Control blocked the unsigned </w:t>
      </w:r>
      <w:r>
        <w:rPr>
          <w:rFonts w:ascii="Courier New" w:hAnsi="Courier New" w:cs="Courier New"/>
          <w:sz w:val="18"/>
          <w:szCs w:val="18"/>
        </w:rPr>
        <w:t xml:space="preserve">torch_​scatter</w:t>
      </w:r>
      <w:r>
        <w:t xml:space="preserve"> and </w:t>
      </w:r>
      <w:r>
        <w:rPr>
          <w:rFonts w:ascii="Courier New" w:hAnsi="Courier New" w:cs="Courier New"/>
          <w:sz w:val="18"/>
          <w:szCs w:val="18"/>
        </w:rPr>
        <w:t xml:space="preserve">torch_​sparse</w:t>
      </w:r>
      <w:r>
        <w:t xml:space="preserve"> extensions, which the models do not use, so they were removed from that environment and PyTorch Geometric Temporal loads through the documented direct-module route).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the first controller comparison is superseded, because an audit found that SUMO had diverted half of the corridor traffic, and the corrected comparison could only run after two preregistered calibrations, the second of which (a common cycle with 25 mph progression offsets) brought the modelled link within 0.9 mph of its observed speed; on that calibrated scenario testbed the deterministic forecast-informed rule lowers time loss by about 5% under configured stress while completing more trips in every seed, a simulated result that is not a real-world gain.</w:t>
      </w:r>
    </w:p>
    <w:p>
      <w:pPr>
        <w:pStyle w:val="BodyText"/>
      </w:pPr>
      <w:r>
        <w:t xml:space="preserve">Future work, in the order the evidence suggests, is training with more seeds and without the compute budget, congestion-conditional calibration, a denser sensor network on which the spatial layer can matter, a testbed with side-street demand, NYC DOT timing plans and pedestrians, the live observational run,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