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E30000"/>
          <w:sz w:val="44"/>
        </w:rPr>
        <w:t>SHELL UPSTREAM PERFORMANCE &amp; EMISSIONS</w:t>
        <w:br/>
        <w:t>COMMAND CENTER</w:t>
      </w:r>
    </w:p>
    <w:p>
      <w:pPr>
        <w:jc w:val="center"/>
      </w:pPr>
      <w:r>
        <w:rPr>
          <w:rFonts w:ascii="Times New Roman" w:hAnsi="Times New Roman"/>
          <w:b/>
          <w:sz w:val="44"/>
        </w:rPr>
        <w:t>Professional Power BI Project Documentation</w:t>
      </w:r>
    </w:p>
    <w:p>
      <w:pPr>
        <w:jc w:val="center"/>
      </w:pPr>
      <w:r>
        <w:rPr>
          <w:rFonts w:ascii="Times New Roman" w:hAnsi="Times New Roman"/>
          <w:b w:val="0"/>
          <w:sz w:val="36"/>
        </w:rPr>
        <w:br/>
        <w:t>Completed by</w:t>
        <w:br/>
      </w:r>
      <w:r>
        <w:rPr>
          <w:rFonts w:ascii="Times New Roman" w:hAnsi="Times New Roman"/>
          <w:b/>
          <w:sz w:val="44"/>
        </w:rPr>
        <w:t>sridhar.P</w:t>
      </w:r>
    </w:p>
    <w:p>
      <w:pPr>
        <w:jc w:val="center"/>
      </w:pPr>
      <w:r>
        <w:rPr>
          <w:rFonts w:ascii="Times New Roman" w:hAnsi="Times New Roman"/>
          <w:b w:val="0"/>
          <w:sz w:val="36"/>
        </w:rPr>
        <w:br/>
        <w:t>Industry: Oil &amp; Gas — Upstream Operations</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Document Detail</w:t>
            </w:r>
          </w:p>
        </w:tc>
        <w:tc>
          <w:tcPr>
            <w:tcW w:type="dxa" w:w="4968"/>
            <w:shd w:fill="FFD500"/>
            <w:vAlign w:val="center"/>
          </w:tcPr>
          <w:p>
            <w:r/>
            <w:r>
              <w:rPr>
                <w:rFonts w:ascii="Times New Roman" w:hAnsi="Times New Roman"/>
                <w:b/>
                <w:sz w:val="36"/>
              </w:rPr>
              <w:t>Information</w:t>
            </w:r>
          </w:p>
        </w:tc>
      </w:tr>
      <w:tr>
        <w:tc>
          <w:tcPr>
            <w:tcW w:type="dxa" w:w="4968"/>
            <w:vAlign w:val="center"/>
          </w:tcPr>
          <w:p>
            <w:r/>
            <w:r>
              <w:rPr>
                <w:rFonts w:ascii="Times New Roman" w:hAnsi="Times New Roman"/>
                <w:b w:val="0"/>
                <w:sz w:val="36"/>
              </w:rPr>
              <w:t>Project Title</w:t>
            </w:r>
          </w:p>
        </w:tc>
        <w:tc>
          <w:tcPr>
            <w:tcW w:type="dxa" w:w="4968"/>
            <w:vAlign w:val="center"/>
          </w:tcPr>
          <w:p>
            <w:r/>
            <w:r>
              <w:rPr>
                <w:rFonts w:ascii="Times New Roman" w:hAnsi="Times New Roman"/>
                <w:b w:val="0"/>
                <w:sz w:val="36"/>
              </w:rPr>
              <w:t>Shell Upstream Performance &amp; Emissions Command Center</w:t>
            </w:r>
          </w:p>
        </w:tc>
      </w:tr>
      <w:tr>
        <w:tc>
          <w:tcPr>
            <w:tcW w:type="dxa" w:w="4968"/>
            <w:vAlign w:val="center"/>
          </w:tcPr>
          <w:p>
            <w:r/>
            <w:r>
              <w:rPr>
                <w:rFonts w:ascii="Times New Roman" w:hAnsi="Times New Roman"/>
                <w:b w:val="0"/>
                <w:sz w:val="36"/>
              </w:rPr>
              <w:t>Prepared By</w:t>
            </w:r>
          </w:p>
        </w:tc>
        <w:tc>
          <w:tcPr>
            <w:tcW w:type="dxa" w:w="4968"/>
            <w:vAlign w:val="center"/>
          </w:tcPr>
          <w:p>
            <w:r/>
            <w:r>
              <w:rPr>
                <w:rFonts w:ascii="Times New Roman" w:hAnsi="Times New Roman"/>
                <w:b w:val="0"/>
                <w:sz w:val="36"/>
              </w:rPr>
              <w:t>sridhar.P</w:t>
            </w:r>
          </w:p>
        </w:tc>
      </w:tr>
      <w:tr>
        <w:tc>
          <w:tcPr>
            <w:tcW w:type="dxa" w:w="4968"/>
            <w:vAlign w:val="center"/>
          </w:tcPr>
          <w:p>
            <w:r/>
            <w:r>
              <w:rPr>
                <w:rFonts w:ascii="Times New Roman" w:hAnsi="Times New Roman"/>
                <w:b w:val="0"/>
                <w:sz w:val="36"/>
              </w:rPr>
              <w:t>Primary Tool</w:t>
            </w:r>
          </w:p>
        </w:tc>
        <w:tc>
          <w:tcPr>
            <w:tcW w:type="dxa" w:w="4968"/>
            <w:vAlign w:val="center"/>
          </w:tcPr>
          <w:p>
            <w:r/>
            <w:r>
              <w:rPr>
                <w:rFonts w:ascii="Times New Roman" w:hAnsi="Times New Roman"/>
                <w:b w:val="0"/>
                <w:sz w:val="36"/>
              </w:rPr>
              <w:t>Microsoft Power BI</w:t>
            </w:r>
          </w:p>
        </w:tc>
      </w:tr>
      <w:tr>
        <w:tc>
          <w:tcPr>
            <w:tcW w:type="dxa" w:w="4968"/>
            <w:vAlign w:val="center"/>
          </w:tcPr>
          <w:p>
            <w:r/>
            <w:r>
              <w:rPr>
                <w:rFonts w:ascii="Times New Roman" w:hAnsi="Times New Roman"/>
                <w:b w:val="0"/>
                <w:sz w:val="36"/>
              </w:rPr>
              <w:t>Database / ETL</w:t>
            </w:r>
          </w:p>
        </w:tc>
        <w:tc>
          <w:tcPr>
            <w:tcW w:type="dxa" w:w="4968"/>
            <w:vAlign w:val="center"/>
          </w:tcPr>
          <w:p>
            <w:r/>
            <w:r>
              <w:rPr>
                <w:rFonts w:ascii="Times New Roman" w:hAnsi="Times New Roman"/>
                <w:b w:val="0"/>
                <w:sz w:val="36"/>
              </w:rPr>
              <w:t>MySQL + Power BI data preparation / ETL</w:t>
            </w:r>
          </w:p>
        </w:tc>
      </w:tr>
      <w:tr>
        <w:tc>
          <w:tcPr>
            <w:tcW w:type="dxa" w:w="4968"/>
            <w:vAlign w:val="center"/>
          </w:tcPr>
          <w:p>
            <w:r/>
            <w:r>
              <w:rPr>
                <w:rFonts w:ascii="Times New Roman" w:hAnsi="Times New Roman"/>
                <w:b w:val="0"/>
                <w:sz w:val="36"/>
              </w:rPr>
              <w:t>Dashboard Pages</w:t>
            </w:r>
          </w:p>
        </w:tc>
        <w:tc>
          <w:tcPr>
            <w:tcW w:type="dxa" w:w="4968"/>
            <w:vAlign w:val="center"/>
          </w:tcPr>
          <w:p>
            <w:r/>
            <w:r>
              <w:rPr>
                <w:rFonts w:ascii="Times New Roman" w:hAnsi="Times New Roman"/>
                <w:b w:val="0"/>
                <w:sz w:val="36"/>
              </w:rPr>
              <w:t>5</w:t>
            </w:r>
          </w:p>
        </w:tc>
      </w:tr>
      <w:tr>
        <w:tc>
          <w:tcPr>
            <w:tcW w:type="dxa" w:w="4968"/>
            <w:vAlign w:val="center"/>
          </w:tcPr>
          <w:p>
            <w:r/>
            <w:r>
              <w:rPr>
                <w:rFonts w:ascii="Times New Roman" w:hAnsi="Times New Roman"/>
                <w:b w:val="0"/>
                <w:sz w:val="36"/>
              </w:rPr>
              <w:t>Focus Areas</w:t>
            </w:r>
          </w:p>
        </w:tc>
        <w:tc>
          <w:tcPr>
            <w:tcW w:type="dxa" w:w="4968"/>
            <w:vAlign w:val="center"/>
          </w:tcPr>
          <w:p>
            <w:r/>
            <w:r>
              <w:rPr>
                <w:rFonts w:ascii="Times New Roman" w:hAnsi="Times New Roman"/>
                <w:b w:val="0"/>
                <w:sz w:val="36"/>
              </w:rPr>
              <w:t>Operations, Finance, Emissions &amp; Decarbonization, Scenario Analysis</w:t>
            </w:r>
          </w:p>
        </w:tc>
      </w:tr>
    </w:tbl>
    <w:p/>
    <w:p>
      <w:pPr>
        <w:spacing w:after="160"/>
      </w:pPr>
      <w:r>
        <w:rPr>
          <w:rFonts w:ascii="Times New Roman" w:hAnsi="Times New Roman"/>
          <w:b w:val="0"/>
          <w:sz w:val="36"/>
        </w:rPr>
        <w:t>Documentation is based on the completed dashboard material supplied for this project. Exact source-system names and physical refresh architecture are not specified in the supplied material.</w:t>
      </w:r>
    </w:p>
    <w:p>
      <w:r>
        <w:br w:type="page"/>
      </w:r>
    </w:p>
    <w:p>
      <w:pPr>
        <w:pStyle w:val="Heading1"/>
      </w:pPr>
      <w:r>
        <w:rPr>
          <w:rFonts w:ascii="Times New Roman" w:hAnsi="Times New Roman"/>
          <w:b/>
          <w:sz w:val="44"/>
        </w:rPr>
        <w:t>1. Project Title</w:t>
      </w:r>
    </w:p>
    <w:p>
      <w:pPr>
        <w:spacing w:after="160"/>
      </w:pPr>
      <w:r>
        <w:rPr>
          <w:rFonts w:ascii="Times New Roman" w:hAnsi="Times New Roman"/>
          <w:b w:val="0"/>
          <w:sz w:val="36"/>
        </w:rPr>
        <w:t>Shell Upstream Performance &amp; Emissions Command Center</w:t>
      </w:r>
    </w:p>
    <w:p>
      <w:pPr>
        <w:spacing w:after="160"/>
      </w:pPr>
      <w:r>
        <w:rPr>
          <w:rFonts w:ascii="Times New Roman" w:hAnsi="Times New Roman"/>
          <w:b w:val="0"/>
          <w:sz w:val="36"/>
        </w:rPr>
        <w:t>A professional Power BI analytics solution designed to bring upstream production, operations, financial performance, emissions, decarbonization, and scenario analysis into one interactive management command center.</w:t>
      </w:r>
    </w:p>
    <w:p>
      <w:pPr>
        <w:pStyle w:val="Heading1"/>
      </w:pPr>
      <w:r>
        <w:rPr>
          <w:rFonts w:ascii="Times New Roman" w:hAnsi="Times New Roman"/>
          <w:b/>
          <w:sz w:val="44"/>
        </w:rPr>
        <w:t>2. Project Overview</w:t>
      </w:r>
    </w:p>
    <w:p>
      <w:pPr>
        <w:spacing w:after="160"/>
      </w:pPr>
      <w:r>
        <w:rPr>
          <w:rFonts w:ascii="Times New Roman" w:hAnsi="Times New Roman"/>
          <w:b w:val="0"/>
          <w:sz w:val="36"/>
        </w:rPr>
        <w:t>The Shell Upstream Performance &amp; Emissions Command Center is an interactive Microsoft Power BI dashboard created to provide a consolidated management view of upstream production, operations, financial performance, emissions, decarbonization performance, and strategic scenarios.</w:t>
      </w:r>
    </w:p>
    <w:p>
      <w:pPr>
        <w:pStyle w:val="ListBullet"/>
        <w:spacing w:after="80"/>
      </w:pPr>
      <w:r>
        <w:rPr>
          <w:rFonts w:ascii="Times New Roman" w:hAnsi="Times New Roman"/>
          <w:b w:val="0"/>
          <w:sz w:val="36"/>
        </w:rPr>
        <w:t>Executive Overview — management-level summary of production, finance, and emissions.</w:t>
      </w:r>
    </w:p>
    <w:p>
      <w:pPr>
        <w:pStyle w:val="ListBullet"/>
        <w:spacing w:after="80"/>
      </w:pPr>
      <w:r>
        <w:rPr>
          <w:rFonts w:ascii="Times New Roman" w:hAnsi="Times New Roman"/>
          <w:b w:val="0"/>
          <w:sz w:val="36"/>
        </w:rPr>
        <w:t>Production &amp; Operations — production, assets, downtime, maintenance, and operational trends.</w:t>
      </w:r>
    </w:p>
    <w:p>
      <w:pPr>
        <w:pStyle w:val="ListBullet"/>
        <w:spacing w:after="80"/>
      </w:pPr>
      <w:r>
        <w:rPr>
          <w:rFonts w:ascii="Times New Roman" w:hAnsi="Times New Roman"/>
          <w:b w:val="0"/>
          <w:sz w:val="36"/>
        </w:rPr>
        <w:t>Financial Performance — revenue, cost, margin, regional and segment revenue, and Brent-price context.</w:t>
      </w:r>
    </w:p>
    <w:p>
      <w:pPr>
        <w:pStyle w:val="ListBullet"/>
        <w:spacing w:after="80"/>
      </w:pPr>
      <w:r>
        <w:rPr>
          <w:rFonts w:ascii="Times New Roman" w:hAnsi="Times New Roman"/>
          <w:b w:val="0"/>
          <w:sz w:val="36"/>
        </w:rPr>
        <w:t>Emissions &amp; Decarbonization — Scope 1, Scope 2, Scope 3, regional emissions, targets, and emissions composition.</w:t>
      </w:r>
    </w:p>
    <w:p>
      <w:pPr>
        <w:pStyle w:val="ListBullet"/>
        <w:spacing w:after="80"/>
      </w:pPr>
      <w:r>
        <w:rPr>
          <w:rFonts w:ascii="Times New Roman" w:hAnsi="Times New Roman"/>
          <w:b w:val="0"/>
          <w:sz w:val="36"/>
        </w:rPr>
        <w:t>Scenario Analysis — comparison of oil-price, growth, revenue, emissions, and renewable-share assumptions.</w:t>
      </w:r>
    </w:p>
    <w:p>
      <w:pPr>
        <w:spacing w:after="160"/>
      </w:pPr>
      <w:r>
        <w:rPr>
          <w:rFonts w:ascii="Times New Roman" w:hAnsi="Times New Roman"/>
          <w:b w:val="0"/>
          <w:sz w:val="36"/>
        </w:rPr>
        <w:t>The completed dashboard contains five report pages and is intended for management, operations, finance, sustainability, and planning users. fileciteturn0file0L10-L20</w:t>
      </w:r>
    </w:p>
    <w:p>
      <w:pPr>
        <w:pStyle w:val="Heading1"/>
      </w:pPr>
      <w:r>
        <w:rPr>
          <w:rFonts w:ascii="Times New Roman" w:hAnsi="Times New Roman"/>
          <w:b/>
          <w:sz w:val="44"/>
        </w:rPr>
        <w:t>3. Industry — Problem Statement</w:t>
      </w:r>
    </w:p>
    <w:p>
      <w:pPr>
        <w:spacing w:after="160"/>
      </w:pPr>
      <w:r>
        <w:rPr>
          <w:rFonts w:ascii="Times New Roman" w:hAnsi="Times New Roman"/>
          <w:b w:val="0"/>
          <w:sz w:val="36"/>
        </w:rPr>
        <w:t>Industry: Oil &amp; Gas — Upstream</w:t>
      </w:r>
    </w:p>
    <w:p>
      <w:pPr>
        <w:spacing w:after="160"/>
      </w:pPr>
      <w:r>
        <w:rPr>
          <w:rFonts w:ascii="Times New Roman" w:hAnsi="Times New Roman"/>
          <w:b w:val="0"/>
          <w:sz w:val="36"/>
        </w:rPr>
        <w:t>The upstream oil and gas business involves complex operational, financial, asset, commodity-price, and environmental information. Production performance, asset availability, downtime, maintenance, revenue, cost, margin, emissions, and future scenarios can be difficult to evaluate together when they are reviewed separately.</w:t>
      </w:r>
    </w:p>
    <w:p>
      <w:pPr>
        <w:spacing w:after="160"/>
      </w:pPr>
      <w:r>
        <w:rPr>
          <w:rFonts w:ascii="Times New Roman" w:hAnsi="Times New Roman"/>
          <w:b w:val="0"/>
          <w:sz w:val="36"/>
        </w:rPr>
        <w:t>The project addresses this problem by consolidating major performance measures into one interactive command center. The dashboard helps users understand production by time and region, asset contribution and downtime, maintenance cost, revenue and margin, Brent-price context, emissions scopes and regions, target performance, and scenario outcomes. fileciteturn0file0L65-L81</w:t>
      </w:r>
    </w:p>
    <w:p>
      <w:pPr>
        <w:pStyle w:val="Heading1"/>
      </w:pPr>
      <w:r>
        <w:rPr>
          <w:rFonts w:ascii="Times New Roman" w:hAnsi="Times New Roman"/>
          <w:b/>
          <w:sz w:val="44"/>
        </w:rPr>
        <w:t>4. Tools &amp;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Technology / Tool</w:t>
            </w:r>
          </w:p>
        </w:tc>
        <w:tc>
          <w:tcPr>
            <w:tcW w:type="dxa" w:w="4968"/>
            <w:shd w:fill="FFD500"/>
            <w:vAlign w:val="center"/>
          </w:tcPr>
          <w:p>
            <w:r/>
            <w:r>
              <w:rPr>
                <w:rFonts w:ascii="Times New Roman" w:hAnsi="Times New Roman"/>
                <w:b/>
                <w:sz w:val="36"/>
              </w:rPr>
              <w:t>Purpose</w:t>
            </w:r>
          </w:p>
        </w:tc>
      </w:tr>
      <w:tr>
        <w:tc>
          <w:tcPr>
            <w:tcW w:type="dxa" w:w="4968"/>
            <w:vAlign w:val="center"/>
          </w:tcPr>
          <w:p>
            <w:r/>
            <w:r>
              <w:rPr>
                <w:rFonts w:ascii="Times New Roman" w:hAnsi="Times New Roman"/>
                <w:b w:val="0"/>
                <w:sz w:val="36"/>
              </w:rPr>
              <w:t>MySQL</w:t>
            </w:r>
          </w:p>
        </w:tc>
        <w:tc>
          <w:tcPr>
            <w:tcW w:type="dxa" w:w="4968"/>
            <w:vAlign w:val="center"/>
          </w:tcPr>
          <w:p>
            <w:r/>
            <w:r>
              <w:rPr>
                <w:rFonts w:ascii="Times New Roman" w:hAnsi="Times New Roman"/>
                <w:b w:val="0"/>
                <w:sz w:val="36"/>
              </w:rPr>
              <w:t>Database environment for storing and managing project data and tables.</w:t>
            </w:r>
          </w:p>
        </w:tc>
      </w:tr>
      <w:tr>
        <w:tc>
          <w:tcPr>
            <w:tcW w:type="dxa" w:w="4968"/>
            <w:vAlign w:val="center"/>
          </w:tcPr>
          <w:p>
            <w:r/>
            <w:r>
              <w:rPr>
                <w:rFonts w:ascii="Times New Roman" w:hAnsi="Times New Roman"/>
                <w:b w:val="0"/>
                <w:sz w:val="36"/>
              </w:rPr>
              <w:t>Microsoft Power BI</w:t>
            </w:r>
          </w:p>
        </w:tc>
        <w:tc>
          <w:tcPr>
            <w:tcW w:type="dxa" w:w="4968"/>
            <w:vAlign w:val="center"/>
          </w:tcPr>
          <w:p>
            <w:r/>
            <w:r>
              <w:rPr>
                <w:rFonts w:ascii="Times New Roman" w:hAnsi="Times New Roman"/>
                <w:b w:val="0"/>
                <w:sz w:val="36"/>
              </w:rPr>
              <w:t>Primary BI and visualization platform used to build the interactive dashboard.</w:t>
            </w:r>
          </w:p>
        </w:tc>
      </w:tr>
      <w:tr>
        <w:tc>
          <w:tcPr>
            <w:tcW w:type="dxa" w:w="4968"/>
            <w:vAlign w:val="center"/>
          </w:tcPr>
          <w:p>
            <w:r/>
            <w:r>
              <w:rPr>
                <w:rFonts w:ascii="Times New Roman" w:hAnsi="Times New Roman"/>
                <w:b w:val="0"/>
                <w:sz w:val="36"/>
              </w:rPr>
              <w:t>Power Query / ETL</w:t>
            </w:r>
          </w:p>
        </w:tc>
        <w:tc>
          <w:tcPr>
            <w:tcW w:type="dxa" w:w="4968"/>
            <w:vAlign w:val="center"/>
          </w:tcPr>
          <w:p>
            <w:r/>
            <w:r>
              <w:rPr>
                <w:rFonts w:ascii="Times New Roman" w:hAnsi="Times New Roman"/>
                <w:b w:val="0"/>
                <w:sz w:val="36"/>
              </w:rPr>
              <w:t>Data extraction, transformation, cleaning, shaping, and loading.</w:t>
            </w:r>
          </w:p>
        </w:tc>
      </w:tr>
      <w:tr>
        <w:tc>
          <w:tcPr>
            <w:tcW w:type="dxa" w:w="4968"/>
            <w:vAlign w:val="center"/>
          </w:tcPr>
          <w:p>
            <w:r/>
            <w:r>
              <w:rPr>
                <w:rFonts w:ascii="Times New Roman" w:hAnsi="Times New Roman"/>
                <w:b w:val="0"/>
                <w:sz w:val="36"/>
              </w:rPr>
              <w:t>DAX</w:t>
            </w:r>
          </w:p>
        </w:tc>
        <w:tc>
          <w:tcPr>
            <w:tcW w:type="dxa" w:w="4968"/>
            <w:vAlign w:val="center"/>
          </w:tcPr>
          <w:p>
            <w:r/>
            <w:r>
              <w:rPr>
                <w:rFonts w:ascii="Times New Roman" w:hAnsi="Times New Roman"/>
                <w:b w:val="0"/>
                <w:sz w:val="36"/>
              </w:rPr>
              <w:t>Creation of calculated measures and KPI logic inside Power BI.</w:t>
            </w:r>
          </w:p>
        </w:tc>
      </w:tr>
      <w:tr>
        <w:tc>
          <w:tcPr>
            <w:tcW w:type="dxa" w:w="4968"/>
            <w:vAlign w:val="center"/>
          </w:tcPr>
          <w:p>
            <w:r/>
            <w:r>
              <w:rPr>
                <w:rFonts w:ascii="Times New Roman" w:hAnsi="Times New Roman"/>
                <w:b w:val="0"/>
                <w:sz w:val="36"/>
              </w:rPr>
              <w:t>Power BI Visuals</w:t>
            </w:r>
          </w:p>
        </w:tc>
        <w:tc>
          <w:tcPr>
            <w:tcW w:type="dxa" w:w="4968"/>
            <w:vAlign w:val="center"/>
          </w:tcPr>
          <w:p>
            <w:r/>
            <w:r>
              <w:rPr>
                <w:rFonts w:ascii="Times New Roman" w:hAnsi="Times New Roman"/>
                <w:b w:val="0"/>
                <w:sz w:val="36"/>
              </w:rPr>
              <w:t>KPI cards, line charts, bar charts, composition charts, tables, and scenario visuals.</w:t>
            </w:r>
          </w:p>
        </w:tc>
      </w:tr>
      <w:tr>
        <w:tc>
          <w:tcPr>
            <w:tcW w:type="dxa" w:w="4968"/>
            <w:vAlign w:val="center"/>
          </w:tcPr>
          <w:p>
            <w:r/>
            <w:r>
              <w:rPr>
                <w:rFonts w:ascii="Times New Roman" w:hAnsi="Times New Roman"/>
                <w:b w:val="0"/>
                <w:sz w:val="36"/>
              </w:rPr>
              <w:t>Filters &amp; Slicers</w:t>
            </w:r>
          </w:p>
        </w:tc>
        <w:tc>
          <w:tcPr>
            <w:tcW w:type="dxa" w:w="4968"/>
            <w:vAlign w:val="center"/>
          </w:tcPr>
          <w:p>
            <w:r/>
            <w:r>
              <w:rPr>
                <w:rFonts w:ascii="Times New Roman" w:hAnsi="Times New Roman"/>
                <w:b w:val="0"/>
                <w:sz w:val="36"/>
              </w:rPr>
              <w:t>Interactive filtering by scenario, year, region, asset, and other available dimensions.</w:t>
            </w:r>
          </w:p>
        </w:tc>
      </w:tr>
    </w:tbl>
    <w:p/>
    <w:p>
      <w:pPr>
        <w:spacing w:after="160"/>
      </w:pPr>
      <w:r>
        <w:rPr>
          <w:rFonts w:ascii="Times New Roman" w:hAnsi="Times New Roman"/>
          <w:b w:val="0"/>
          <w:sz w:val="36"/>
        </w:rPr>
        <w:t>The supplied documentation confirms Power BI as the primary platform and describes the analytical flow from source/business data through preparation, the Power BI model, calculated measures, visuals, filters, navigation, and management insights. fileciteturn0file0L115-L127</w:t>
      </w:r>
    </w:p>
    <w:p>
      <w:pPr>
        <w:pStyle w:val="Heading1"/>
      </w:pPr>
      <w:r>
        <w:rPr>
          <w:rFonts w:ascii="Times New Roman" w:hAnsi="Times New Roman"/>
          <w:b/>
          <w:sz w:val="44"/>
        </w:rPr>
        <w:t>5. Dataset Introduction and Source</w:t>
      </w:r>
    </w:p>
    <w:p>
      <w:pPr>
        <w:spacing w:after="160"/>
      </w:pPr>
      <w:r>
        <w:rPr>
          <w:rFonts w:ascii="Times New Roman" w:hAnsi="Times New Roman"/>
          <w:b w:val="0"/>
          <w:sz w:val="36"/>
        </w:rPr>
        <w:t>The project dataset represents upstream business information required to analyze production, operations, financial performance, emissions, and scenarios. The dashboard uses dimensions and measures covering time, region, segment, asset, maintenance type, emissions scope, targets, and scenario assumptions.</w:t>
      </w:r>
    </w:p>
    <w:p>
      <w:pPr>
        <w:spacing w:after="160"/>
      </w:pPr>
      <w:r>
        <w:rPr>
          <w:rFonts w:ascii="Times New Roman" w:hAnsi="Times New Roman"/>
          <w:b w:val="0"/>
          <w:sz w:val="36"/>
        </w:rPr>
        <w:t>The supplied project documentation does not specify exact external source-system names, database server, database name, file locations, or refresh architecture. Those details are therefore intentionally not invented.</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Dataset Area</w:t>
            </w:r>
          </w:p>
        </w:tc>
        <w:tc>
          <w:tcPr>
            <w:tcW w:type="dxa" w:w="4968"/>
            <w:shd w:fill="FFD500"/>
            <w:vAlign w:val="center"/>
          </w:tcPr>
          <w:p>
            <w:r/>
            <w:r>
              <w:rPr>
                <w:rFonts w:ascii="Times New Roman" w:hAnsi="Times New Roman"/>
                <w:b/>
                <w:sz w:val="36"/>
              </w:rPr>
              <w:t>Information Represented</w:t>
            </w:r>
          </w:p>
        </w:tc>
      </w:tr>
      <w:tr>
        <w:tc>
          <w:tcPr>
            <w:tcW w:type="dxa" w:w="4968"/>
            <w:vAlign w:val="center"/>
          </w:tcPr>
          <w:p>
            <w:r/>
            <w:r>
              <w:rPr>
                <w:rFonts w:ascii="Times New Roman" w:hAnsi="Times New Roman"/>
                <w:b w:val="0"/>
                <w:sz w:val="36"/>
              </w:rPr>
              <w:t>Production</w:t>
            </w:r>
          </w:p>
        </w:tc>
        <w:tc>
          <w:tcPr>
            <w:tcW w:type="dxa" w:w="4968"/>
            <w:vAlign w:val="center"/>
          </w:tcPr>
          <w:p>
            <w:r/>
            <w:r>
              <w:rPr>
                <w:rFonts w:ascii="Times New Roman" w:hAnsi="Times New Roman"/>
                <w:b w:val="0"/>
                <w:sz w:val="36"/>
              </w:rPr>
              <w:t>Production volumes, trends, regional production, and asset-level production.</w:t>
            </w:r>
          </w:p>
        </w:tc>
      </w:tr>
      <w:tr>
        <w:tc>
          <w:tcPr>
            <w:tcW w:type="dxa" w:w="4968"/>
            <w:vAlign w:val="center"/>
          </w:tcPr>
          <w:p>
            <w:r/>
            <w:r>
              <w:rPr>
                <w:rFonts w:ascii="Times New Roman" w:hAnsi="Times New Roman"/>
                <w:b w:val="0"/>
                <w:sz w:val="36"/>
              </w:rPr>
              <w:t>Operations</w:t>
            </w:r>
          </w:p>
        </w:tc>
        <w:tc>
          <w:tcPr>
            <w:tcW w:type="dxa" w:w="4968"/>
            <w:vAlign w:val="center"/>
          </w:tcPr>
          <w:p>
            <w:r/>
            <w:r>
              <w:rPr>
                <w:rFonts w:ascii="Times New Roman" w:hAnsi="Times New Roman"/>
                <w:b w:val="0"/>
                <w:sz w:val="36"/>
              </w:rPr>
              <w:t>Downtime hours, maintenance categories, downtime by asset, and maintenance cost.</w:t>
            </w:r>
          </w:p>
        </w:tc>
      </w:tr>
      <w:tr>
        <w:tc>
          <w:tcPr>
            <w:tcW w:type="dxa" w:w="4968"/>
            <w:vAlign w:val="center"/>
          </w:tcPr>
          <w:p>
            <w:r/>
            <w:r>
              <w:rPr>
                <w:rFonts w:ascii="Times New Roman" w:hAnsi="Times New Roman"/>
                <w:b w:val="0"/>
                <w:sz w:val="36"/>
              </w:rPr>
              <w:t>Finance</w:t>
            </w:r>
          </w:p>
        </w:tc>
        <w:tc>
          <w:tcPr>
            <w:tcW w:type="dxa" w:w="4968"/>
            <w:vAlign w:val="center"/>
          </w:tcPr>
          <w:p>
            <w:r/>
            <w:r>
              <w:rPr>
                <w:rFonts w:ascii="Times New Roman" w:hAnsi="Times New Roman"/>
                <w:b w:val="0"/>
                <w:sz w:val="36"/>
              </w:rPr>
              <w:t>Revenue, cost, margin, margin percentage, segment revenue, regional revenue, and Brent price.</w:t>
            </w:r>
          </w:p>
        </w:tc>
      </w:tr>
      <w:tr>
        <w:tc>
          <w:tcPr>
            <w:tcW w:type="dxa" w:w="4968"/>
            <w:vAlign w:val="center"/>
          </w:tcPr>
          <w:p>
            <w:r/>
            <w:r>
              <w:rPr>
                <w:rFonts w:ascii="Times New Roman" w:hAnsi="Times New Roman"/>
                <w:b w:val="0"/>
                <w:sz w:val="36"/>
              </w:rPr>
              <w:t>Emissions</w:t>
            </w:r>
          </w:p>
        </w:tc>
        <w:tc>
          <w:tcPr>
            <w:tcW w:type="dxa" w:w="4968"/>
            <w:vAlign w:val="center"/>
          </w:tcPr>
          <w:p>
            <w:r/>
            <w:r>
              <w:rPr>
                <w:rFonts w:ascii="Times New Roman" w:hAnsi="Times New Roman"/>
                <w:b w:val="0"/>
                <w:sz w:val="36"/>
              </w:rPr>
              <w:t>Total emissions, Scope 1, Scope 2, Scope 3, emissions by region/asset, intensity, and targets.</w:t>
            </w:r>
          </w:p>
        </w:tc>
      </w:tr>
      <w:tr>
        <w:tc>
          <w:tcPr>
            <w:tcW w:type="dxa" w:w="4968"/>
            <w:vAlign w:val="center"/>
          </w:tcPr>
          <w:p>
            <w:r/>
            <w:r>
              <w:rPr>
                <w:rFonts w:ascii="Times New Roman" w:hAnsi="Times New Roman"/>
                <w:b w:val="0"/>
                <w:sz w:val="36"/>
              </w:rPr>
              <w:t>Scenario</w:t>
            </w:r>
          </w:p>
        </w:tc>
        <w:tc>
          <w:tcPr>
            <w:tcW w:type="dxa" w:w="4968"/>
            <w:vAlign w:val="center"/>
          </w:tcPr>
          <w:p>
            <w:r/>
            <w:r>
              <w:rPr>
                <w:rFonts w:ascii="Times New Roman" w:hAnsi="Times New Roman"/>
                <w:b w:val="0"/>
                <w:sz w:val="36"/>
              </w:rPr>
              <w:t>Oil price, production growth, revenue growth, expected production, expected revenue, expected emissions, and renewable share.</w:t>
            </w:r>
          </w:p>
        </w:tc>
      </w:tr>
      <w:tr>
        <w:tc>
          <w:tcPr>
            <w:tcW w:type="dxa" w:w="4968"/>
            <w:vAlign w:val="center"/>
          </w:tcPr>
          <w:p>
            <w:r/>
            <w:r>
              <w:rPr>
                <w:rFonts w:ascii="Times New Roman" w:hAnsi="Times New Roman"/>
                <w:b w:val="0"/>
                <w:sz w:val="36"/>
              </w:rPr>
              <w:t>Date / Calendar</w:t>
            </w:r>
          </w:p>
        </w:tc>
        <w:tc>
          <w:tcPr>
            <w:tcW w:type="dxa" w:w="4968"/>
            <w:vAlign w:val="center"/>
          </w:tcPr>
          <w:p>
            <w:r/>
            <w:r>
              <w:rPr>
                <w:rFonts w:ascii="Times New Roman" w:hAnsi="Times New Roman"/>
                <w:b w:val="0"/>
                <w:sz w:val="36"/>
              </w:rPr>
              <w:t>Month, year, trend analysis, and time-based filtering.</w:t>
            </w:r>
          </w:p>
        </w:tc>
      </w:tr>
    </w:tbl>
    <w:p/>
    <w:p>
      <w:pPr>
        <w:spacing w:after="160"/>
      </w:pPr>
      <w:r>
        <w:rPr>
          <w:rFonts w:ascii="Times New Roman" w:hAnsi="Times New Roman"/>
          <w:b w:val="0"/>
          <w:sz w:val="36"/>
        </w:rPr>
        <w:t>The dashboard scope and data areas are documented in the supplied project material. fileciteturn0file0L95-L114</w:t>
      </w:r>
    </w:p>
    <w:p>
      <w:pPr>
        <w:pStyle w:val="Heading1"/>
      </w:pPr>
      <w:r>
        <w:rPr>
          <w:rFonts w:ascii="Times New Roman" w:hAnsi="Times New Roman"/>
          <w:b/>
          <w:sz w:val="44"/>
        </w:rPr>
        <w:t>6. MYSQL — Database and Tables</w:t>
      </w:r>
    </w:p>
    <w:p>
      <w:pPr>
        <w:spacing w:after="160"/>
      </w:pPr>
      <w:r>
        <w:rPr>
          <w:rFonts w:ascii="Times New Roman" w:hAnsi="Times New Roman"/>
          <w:b w:val="0"/>
          <w:sz w:val="36"/>
        </w:rPr>
        <w:t>MySQL is used as the database layer in the project workflow. Its purpose is to organize the upstream information into structured data that can be transformed and consumed by Power BI.</w:t>
      </w:r>
    </w:p>
    <w:p>
      <w:pPr>
        <w:spacing w:after="160"/>
      </w:pPr>
      <w:r>
        <w:rPr>
          <w:rFonts w:ascii="Times New Roman" w:hAnsi="Times New Roman"/>
          <w:b w:val="0"/>
          <w:sz w:val="36"/>
        </w:rPr>
        <w:t>The supplied documentation does not contain the exact physical MySQL database name or table names. To maintain accuracy, the following is a logical table organization rather than an invented physical schema.</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Logical Table / Data Area</w:t>
            </w:r>
          </w:p>
        </w:tc>
        <w:tc>
          <w:tcPr>
            <w:tcW w:type="dxa" w:w="4968"/>
            <w:shd w:fill="FFD500"/>
            <w:vAlign w:val="center"/>
          </w:tcPr>
          <w:p>
            <w:r/>
            <w:r>
              <w:rPr>
                <w:rFonts w:ascii="Times New Roman" w:hAnsi="Times New Roman"/>
                <w:b/>
                <w:sz w:val="36"/>
              </w:rPr>
              <w:t>Role in the Solution</w:t>
            </w:r>
          </w:p>
        </w:tc>
      </w:tr>
      <w:tr>
        <w:tc>
          <w:tcPr>
            <w:tcW w:type="dxa" w:w="4968"/>
            <w:vAlign w:val="center"/>
          </w:tcPr>
          <w:p>
            <w:r/>
            <w:r>
              <w:rPr>
                <w:rFonts w:ascii="Times New Roman" w:hAnsi="Times New Roman"/>
                <w:b w:val="0"/>
                <w:sz w:val="36"/>
              </w:rPr>
              <w:t>Production Data</w:t>
            </w:r>
          </w:p>
        </w:tc>
        <w:tc>
          <w:tcPr>
            <w:tcW w:type="dxa" w:w="4968"/>
            <w:vAlign w:val="center"/>
          </w:tcPr>
          <w:p>
            <w:r/>
            <w:r>
              <w:rPr>
                <w:rFonts w:ascii="Times New Roman" w:hAnsi="Times New Roman"/>
                <w:b w:val="0"/>
                <w:sz w:val="36"/>
              </w:rPr>
              <w:t>Production records used for production KPIs, trends, regions, and assets.</w:t>
            </w:r>
          </w:p>
        </w:tc>
      </w:tr>
      <w:tr>
        <w:tc>
          <w:tcPr>
            <w:tcW w:type="dxa" w:w="4968"/>
            <w:vAlign w:val="center"/>
          </w:tcPr>
          <w:p>
            <w:r/>
            <w:r>
              <w:rPr>
                <w:rFonts w:ascii="Times New Roman" w:hAnsi="Times New Roman"/>
                <w:b w:val="0"/>
                <w:sz w:val="36"/>
              </w:rPr>
              <w:t>Operations / Maintenance Data</w:t>
            </w:r>
          </w:p>
        </w:tc>
        <w:tc>
          <w:tcPr>
            <w:tcW w:type="dxa" w:w="4968"/>
            <w:vAlign w:val="center"/>
          </w:tcPr>
          <w:p>
            <w:r/>
            <w:r>
              <w:rPr>
                <w:rFonts w:ascii="Times New Roman" w:hAnsi="Times New Roman"/>
                <w:b w:val="0"/>
                <w:sz w:val="36"/>
              </w:rPr>
              <w:t>Downtime, maintenance type, asset, and maintenance-cost information.</w:t>
            </w:r>
          </w:p>
        </w:tc>
      </w:tr>
      <w:tr>
        <w:tc>
          <w:tcPr>
            <w:tcW w:type="dxa" w:w="4968"/>
            <w:vAlign w:val="center"/>
          </w:tcPr>
          <w:p>
            <w:r/>
            <w:r>
              <w:rPr>
                <w:rFonts w:ascii="Times New Roman" w:hAnsi="Times New Roman"/>
                <w:b w:val="0"/>
                <w:sz w:val="36"/>
              </w:rPr>
              <w:t>Financial Data</w:t>
            </w:r>
          </w:p>
        </w:tc>
        <w:tc>
          <w:tcPr>
            <w:tcW w:type="dxa" w:w="4968"/>
            <w:vAlign w:val="center"/>
          </w:tcPr>
          <w:p>
            <w:r/>
            <w:r>
              <w:rPr>
                <w:rFonts w:ascii="Times New Roman" w:hAnsi="Times New Roman"/>
                <w:b w:val="0"/>
                <w:sz w:val="36"/>
              </w:rPr>
              <w:t>Revenue, cost, margin, segment, region, and Brent-price information.</w:t>
            </w:r>
          </w:p>
        </w:tc>
      </w:tr>
      <w:tr>
        <w:tc>
          <w:tcPr>
            <w:tcW w:type="dxa" w:w="4968"/>
            <w:vAlign w:val="center"/>
          </w:tcPr>
          <w:p>
            <w:r/>
            <w:r>
              <w:rPr>
                <w:rFonts w:ascii="Times New Roman" w:hAnsi="Times New Roman"/>
                <w:b w:val="0"/>
                <w:sz w:val="36"/>
              </w:rPr>
              <w:t>Emissions Data</w:t>
            </w:r>
          </w:p>
        </w:tc>
        <w:tc>
          <w:tcPr>
            <w:tcW w:type="dxa" w:w="4968"/>
            <w:vAlign w:val="center"/>
          </w:tcPr>
          <w:p>
            <w:r/>
            <w:r>
              <w:rPr>
                <w:rFonts w:ascii="Times New Roman" w:hAnsi="Times New Roman"/>
                <w:b w:val="0"/>
                <w:sz w:val="36"/>
              </w:rPr>
              <w:t>Emissions by scope, region, asset, and time.</w:t>
            </w:r>
          </w:p>
        </w:tc>
      </w:tr>
      <w:tr>
        <w:tc>
          <w:tcPr>
            <w:tcW w:type="dxa" w:w="4968"/>
            <w:vAlign w:val="center"/>
          </w:tcPr>
          <w:p>
            <w:r/>
            <w:r>
              <w:rPr>
                <w:rFonts w:ascii="Times New Roman" w:hAnsi="Times New Roman"/>
                <w:b w:val="0"/>
                <w:sz w:val="36"/>
              </w:rPr>
              <w:t>Emissions Target Data</w:t>
            </w:r>
          </w:p>
        </w:tc>
        <w:tc>
          <w:tcPr>
            <w:tcW w:type="dxa" w:w="4968"/>
            <w:vAlign w:val="center"/>
          </w:tcPr>
          <w:p>
            <w:r/>
            <w:r>
              <w:rPr>
                <w:rFonts w:ascii="Times New Roman" w:hAnsi="Times New Roman"/>
                <w:b w:val="0"/>
                <w:sz w:val="36"/>
              </w:rPr>
              <w:t>Year-based reduction target information used by target calculations.</w:t>
            </w:r>
          </w:p>
        </w:tc>
      </w:tr>
      <w:tr>
        <w:tc>
          <w:tcPr>
            <w:tcW w:type="dxa" w:w="4968"/>
            <w:vAlign w:val="center"/>
          </w:tcPr>
          <w:p>
            <w:r/>
            <w:r>
              <w:rPr>
                <w:rFonts w:ascii="Times New Roman" w:hAnsi="Times New Roman"/>
                <w:b w:val="0"/>
                <w:sz w:val="36"/>
              </w:rPr>
              <w:t>Scenario Data</w:t>
            </w:r>
          </w:p>
        </w:tc>
        <w:tc>
          <w:tcPr>
            <w:tcW w:type="dxa" w:w="4968"/>
            <w:vAlign w:val="center"/>
          </w:tcPr>
          <w:p>
            <w:r/>
            <w:r>
              <w:rPr>
                <w:rFonts w:ascii="Times New Roman" w:hAnsi="Times New Roman"/>
                <w:b w:val="0"/>
                <w:sz w:val="36"/>
              </w:rPr>
              <w:t>Scenario assumptions and expected production, revenue, emissions, and renewable-share values.</w:t>
            </w:r>
          </w:p>
        </w:tc>
      </w:tr>
      <w:tr>
        <w:tc>
          <w:tcPr>
            <w:tcW w:type="dxa" w:w="4968"/>
            <w:vAlign w:val="center"/>
          </w:tcPr>
          <w:p>
            <w:r/>
            <w:r>
              <w:rPr>
                <w:rFonts w:ascii="Times New Roman" w:hAnsi="Times New Roman"/>
                <w:b w:val="0"/>
                <w:sz w:val="36"/>
              </w:rPr>
              <w:t>Date / Calendar Data</w:t>
            </w:r>
          </w:p>
        </w:tc>
        <w:tc>
          <w:tcPr>
            <w:tcW w:type="dxa" w:w="4968"/>
            <w:vAlign w:val="center"/>
          </w:tcPr>
          <w:p>
            <w:r/>
            <w:r>
              <w:rPr>
                <w:rFonts w:ascii="Times New Roman" w:hAnsi="Times New Roman"/>
                <w:b w:val="0"/>
                <w:sz w:val="36"/>
              </w:rPr>
              <w:t>Time intelligence, monthly trends, and year filtering.</w:t>
            </w:r>
          </w:p>
        </w:tc>
      </w:tr>
    </w:tbl>
    <w:p/>
    <w:p>
      <w:pPr>
        <w:spacing w:after="160"/>
      </w:pPr>
      <w:r>
        <w:rPr>
          <w:rFonts w:ascii="Times New Roman" w:hAnsi="Times New Roman"/>
          <w:b w:val="0"/>
          <w:sz w:val="36"/>
        </w:rPr>
        <w:t>If the actual MySQL table names are available in the SQL project, they can be inserted into this section without changing the document structure.</w:t>
      </w:r>
    </w:p>
    <w:p>
      <w:pPr>
        <w:pStyle w:val="Heading1"/>
      </w:pPr>
      <w:r>
        <w:rPr>
          <w:rFonts w:ascii="Times New Roman" w:hAnsi="Times New Roman"/>
          <w:b/>
          <w:sz w:val="44"/>
        </w:rPr>
        <w:t>7. Connecting MYSQL with Power BI</w:t>
      </w:r>
    </w:p>
    <w:p>
      <w:pPr>
        <w:spacing w:after="160"/>
      </w:pPr>
      <w:r>
        <w:rPr>
          <w:rFonts w:ascii="Times New Roman" w:hAnsi="Times New Roman"/>
          <w:b w:val="0"/>
          <w:sz w:val="36"/>
        </w:rPr>
        <w:t>The MySQL-to-Power BI connection forms the bridge between structured database information and the Power BI analytical model. The workflow is to connect Power BI to MySQL, select the required data objects, and bring them into Power Query for ETL.</w:t>
      </w:r>
    </w:p>
    <w:p>
      <w:pPr>
        <w:pStyle w:val="ListNumber"/>
        <w:spacing w:after="80"/>
      </w:pPr>
      <w:r>
        <w:rPr>
          <w:rFonts w:ascii="Times New Roman" w:hAnsi="Times New Roman"/>
          <w:b w:val="0"/>
          <w:sz w:val="36"/>
        </w:rPr>
        <w:t>Open Power BI Desktop and choose the MySQL database connector.</w:t>
      </w:r>
    </w:p>
    <w:p>
      <w:pPr>
        <w:pStyle w:val="ListNumber"/>
        <w:spacing w:after="80"/>
      </w:pPr>
      <w:r>
        <w:rPr>
          <w:rFonts w:ascii="Times New Roman" w:hAnsi="Times New Roman"/>
          <w:b w:val="0"/>
          <w:sz w:val="36"/>
        </w:rPr>
        <w:t>Enter the MySQL server and database details.</w:t>
      </w:r>
    </w:p>
    <w:p>
      <w:pPr>
        <w:pStyle w:val="ListNumber"/>
        <w:spacing w:after="80"/>
      </w:pPr>
      <w:r>
        <w:rPr>
          <w:rFonts w:ascii="Times New Roman" w:hAnsi="Times New Roman"/>
          <w:b w:val="0"/>
          <w:sz w:val="36"/>
        </w:rPr>
        <w:t>Authenticate with the required database credentials.</w:t>
      </w:r>
    </w:p>
    <w:p>
      <w:pPr>
        <w:pStyle w:val="ListNumber"/>
        <w:spacing w:after="80"/>
      </w:pPr>
      <w:r>
        <w:rPr>
          <w:rFonts w:ascii="Times New Roman" w:hAnsi="Times New Roman"/>
          <w:b w:val="0"/>
          <w:sz w:val="36"/>
        </w:rPr>
        <w:t>Select the required production, operations, financial, emissions, target, scenario, and date objects.</w:t>
      </w:r>
    </w:p>
    <w:p>
      <w:pPr>
        <w:pStyle w:val="ListNumber"/>
        <w:spacing w:after="80"/>
      </w:pPr>
      <w:r>
        <w:rPr>
          <w:rFonts w:ascii="Times New Roman" w:hAnsi="Times New Roman"/>
          <w:b w:val="0"/>
          <w:sz w:val="36"/>
        </w:rPr>
        <w:t>Choose the appropriate connection/import approach for the deployment.</w:t>
      </w:r>
    </w:p>
    <w:p>
      <w:pPr>
        <w:pStyle w:val="ListNumber"/>
        <w:spacing w:after="80"/>
      </w:pPr>
      <w:r>
        <w:rPr>
          <w:rFonts w:ascii="Times New Roman" w:hAnsi="Times New Roman"/>
          <w:b w:val="0"/>
          <w:sz w:val="36"/>
        </w:rPr>
        <w:t>Open Power Query and begin ETL/data preparation.</w:t>
      </w:r>
    </w:p>
    <w:p>
      <w:pPr>
        <w:pStyle w:val="ListNumber"/>
        <w:spacing w:after="80"/>
      </w:pPr>
      <w:r>
        <w:rPr>
          <w:rFonts w:ascii="Times New Roman" w:hAnsi="Times New Roman"/>
          <w:b w:val="0"/>
          <w:sz w:val="36"/>
        </w:rPr>
        <w:t>Apply transformations and load the prepared tables into the Power BI model.</w:t>
      </w:r>
    </w:p>
    <w:p>
      <w:pPr>
        <w:pStyle w:val="ListNumber"/>
        <w:spacing w:after="80"/>
      </w:pPr>
      <w:r>
        <w:rPr>
          <w:rFonts w:ascii="Times New Roman" w:hAnsi="Times New Roman"/>
          <w:b w:val="0"/>
          <w:sz w:val="36"/>
        </w:rPr>
        <w:t>Create relationships, measures, and visuals.</w:t>
      </w:r>
    </w:p>
    <w:p>
      <w:pPr>
        <w:spacing w:after="160"/>
      </w:pPr>
      <w:r>
        <w:rPr>
          <w:rFonts w:ascii="Times New Roman" w:hAnsi="Times New Roman"/>
          <w:b w:val="0"/>
          <w:sz w:val="36"/>
        </w:rPr>
        <w:t>The overall source-to-model workflow is confirmed by the supplied documentation, while exact server and connection details are not specified. fileciteturn0file0L115-L127</w:t>
      </w:r>
    </w:p>
    <w:p>
      <w:pPr>
        <w:pStyle w:val="Heading1"/>
      </w:pPr>
      <w:r>
        <w:rPr>
          <w:rFonts w:ascii="Times New Roman" w:hAnsi="Times New Roman"/>
          <w:b/>
          <w:sz w:val="44"/>
        </w:rPr>
        <w:t>8. Loading Data to ETL</w:t>
      </w:r>
    </w:p>
    <w:p>
      <w:pPr>
        <w:spacing w:after="160"/>
      </w:pPr>
      <w:r>
        <w:rPr>
          <w:rFonts w:ascii="Times New Roman" w:hAnsi="Times New Roman"/>
          <w:b w:val="0"/>
          <w:sz w:val="36"/>
        </w:rPr>
        <w:t>Power Query acts as the ETL preparation layer between the source data and the final Power BI model.</w:t>
      </w:r>
    </w:p>
    <w:p>
      <w:pPr>
        <w:pStyle w:val="ListNumber"/>
        <w:spacing w:after="80"/>
      </w:pPr>
      <w:r>
        <w:rPr>
          <w:rFonts w:ascii="Times New Roman" w:hAnsi="Times New Roman"/>
          <w:b w:val="0"/>
          <w:sz w:val="36"/>
        </w:rPr>
        <w:t>Extract — connect to MySQL and select the required data.</w:t>
      </w:r>
    </w:p>
    <w:p>
      <w:pPr>
        <w:pStyle w:val="ListNumber"/>
        <w:spacing w:after="80"/>
      </w:pPr>
      <w:r>
        <w:rPr>
          <w:rFonts w:ascii="Times New Roman" w:hAnsi="Times New Roman"/>
          <w:b w:val="0"/>
          <w:sz w:val="36"/>
        </w:rPr>
        <w:t>Transform — clean columns, standardize values, set correct data types, and reshape data where necessary.</w:t>
      </w:r>
    </w:p>
    <w:p>
      <w:pPr>
        <w:pStyle w:val="ListNumber"/>
        <w:spacing w:after="80"/>
      </w:pPr>
      <w:r>
        <w:rPr>
          <w:rFonts w:ascii="Times New Roman" w:hAnsi="Times New Roman"/>
          <w:b w:val="0"/>
          <w:sz w:val="36"/>
        </w:rPr>
        <w:t>Validate — check blanks, duplicates, invalid values, inconsistent categories, and unexpected totals.</w:t>
      </w:r>
    </w:p>
    <w:p>
      <w:pPr>
        <w:pStyle w:val="ListNumber"/>
        <w:spacing w:after="80"/>
      </w:pPr>
      <w:r>
        <w:rPr>
          <w:rFonts w:ascii="Times New Roman" w:hAnsi="Times New Roman"/>
          <w:b w:val="0"/>
          <w:sz w:val="36"/>
        </w:rPr>
        <w:t>Load — load prepared tables into the Power BI data model.</w:t>
      </w:r>
    </w:p>
    <w:p>
      <w:pPr>
        <w:pStyle w:val="ListNumber"/>
        <w:spacing w:after="80"/>
      </w:pPr>
      <w:r>
        <w:rPr>
          <w:rFonts w:ascii="Times New Roman" w:hAnsi="Times New Roman"/>
          <w:b w:val="0"/>
          <w:sz w:val="36"/>
        </w:rPr>
        <w:t>Model — establish relationships and analytical structures required for reporting.</w:t>
      </w:r>
    </w:p>
    <w:p>
      <w:pPr>
        <w:spacing w:after="160"/>
      </w:pPr>
      <w:r>
        <w:rPr>
          <w:rFonts w:ascii="Times New Roman" w:hAnsi="Times New Roman"/>
          <w:b w:val="0"/>
          <w:sz w:val="36"/>
        </w:rPr>
        <w:t>This follows the project's documented source → preparation → model → measures → visuals → filters/navigation → decision-support flow. fileciteturn0file0L115-L125</w:t>
      </w:r>
    </w:p>
    <w:p>
      <w:pPr>
        <w:pStyle w:val="Heading1"/>
      </w:pPr>
      <w:r>
        <w:rPr>
          <w:rFonts w:ascii="Times New Roman" w:hAnsi="Times New Roman"/>
          <w:b/>
          <w:sz w:val="44"/>
        </w:rPr>
        <w:t>9. Data Cleaning</w:t>
      </w:r>
    </w:p>
    <w:p>
      <w:pPr>
        <w:spacing w:after="160"/>
      </w:pPr>
      <w:r>
        <w:rPr>
          <w:rFonts w:ascii="Times New Roman" w:hAnsi="Times New Roman"/>
          <w:b w:val="0"/>
          <w:sz w:val="36"/>
        </w:rPr>
        <w:t>Data cleaning ensures that KPI cards and visuals use consistent and reliable information.</w:t>
      </w:r>
    </w:p>
    <w:p>
      <w:pPr>
        <w:pStyle w:val="ListBullet"/>
        <w:spacing w:after="80"/>
      </w:pPr>
      <w:r>
        <w:rPr>
          <w:rFonts w:ascii="Times New Roman" w:hAnsi="Times New Roman"/>
          <w:b w:val="0"/>
          <w:sz w:val="36"/>
        </w:rPr>
        <w:t>Remove invalid duplicate records where duplication is not a valid business event.</w:t>
      </w:r>
    </w:p>
    <w:p>
      <w:pPr>
        <w:pStyle w:val="ListBullet"/>
        <w:spacing w:after="80"/>
      </w:pPr>
      <w:r>
        <w:rPr>
          <w:rFonts w:ascii="Times New Roman" w:hAnsi="Times New Roman"/>
          <w:b w:val="0"/>
          <w:sz w:val="36"/>
        </w:rPr>
        <w:t>Handle missing or blank values in critical fields.</w:t>
      </w:r>
    </w:p>
    <w:p>
      <w:pPr>
        <w:pStyle w:val="ListBullet"/>
        <w:spacing w:after="80"/>
      </w:pPr>
      <w:r>
        <w:rPr>
          <w:rFonts w:ascii="Times New Roman" w:hAnsi="Times New Roman"/>
          <w:b w:val="0"/>
          <w:sz w:val="36"/>
        </w:rPr>
        <w:t>Assign correct data types to dates, numeric measures, percentages, and categories.</w:t>
      </w:r>
    </w:p>
    <w:p>
      <w:pPr>
        <w:pStyle w:val="ListBullet"/>
        <w:spacing w:after="80"/>
      </w:pPr>
      <w:r>
        <w:rPr>
          <w:rFonts w:ascii="Times New Roman" w:hAnsi="Times New Roman"/>
          <w:b w:val="0"/>
          <w:sz w:val="36"/>
        </w:rPr>
        <w:t>Standardize region, segment, asset, maintenance type, scope, and scenario labels.</w:t>
      </w:r>
    </w:p>
    <w:p>
      <w:pPr>
        <w:pStyle w:val="ListBullet"/>
        <w:spacing w:after="80"/>
      </w:pPr>
      <w:r>
        <w:rPr>
          <w:rFonts w:ascii="Times New Roman" w:hAnsi="Times New Roman"/>
          <w:b w:val="0"/>
          <w:sz w:val="36"/>
        </w:rPr>
        <w:t>Validate negative or zero values according to business rules.</w:t>
      </w:r>
    </w:p>
    <w:p>
      <w:pPr>
        <w:pStyle w:val="ListBullet"/>
        <w:spacing w:after="80"/>
      </w:pPr>
      <w:r>
        <w:rPr>
          <w:rFonts w:ascii="Times New Roman" w:hAnsi="Times New Roman"/>
          <w:b w:val="0"/>
          <w:sz w:val="36"/>
        </w:rPr>
        <w:t>Check month and year fields used by trend charts and filters.</w:t>
      </w:r>
    </w:p>
    <w:p>
      <w:pPr>
        <w:pStyle w:val="ListBullet"/>
        <w:spacing w:after="80"/>
      </w:pPr>
      <w:r>
        <w:rPr>
          <w:rFonts w:ascii="Times New Roman" w:hAnsi="Times New Roman"/>
          <w:b w:val="0"/>
          <w:sz w:val="36"/>
        </w:rPr>
        <w:t>Standardize Scope 1, Scope 2, and Scope 3 labels.</w:t>
      </w:r>
    </w:p>
    <w:p>
      <w:pPr>
        <w:pStyle w:val="ListBullet"/>
        <w:spacing w:after="80"/>
      </w:pPr>
      <w:r>
        <w:rPr>
          <w:rFonts w:ascii="Times New Roman" w:hAnsi="Times New Roman"/>
          <w:b w:val="0"/>
          <w:sz w:val="36"/>
        </w:rPr>
        <w:t>Validate year-to-target mappings.</w:t>
      </w:r>
    </w:p>
    <w:p>
      <w:pPr>
        <w:pStyle w:val="ListBullet"/>
        <w:spacing w:after="80"/>
      </w:pPr>
      <w:r>
        <w:rPr>
          <w:rFonts w:ascii="Times New Roman" w:hAnsi="Times New Roman"/>
          <w:b w:val="0"/>
          <w:sz w:val="36"/>
        </w:rPr>
        <w:t>Check scenario assumptions for consistent representation.</w:t>
      </w:r>
    </w:p>
    <w:p>
      <w:pPr>
        <w:pStyle w:val="ListBullet"/>
        <w:spacing w:after="80"/>
      </w:pPr>
      <w:r>
        <w:rPr>
          <w:rFonts w:ascii="Times New Roman" w:hAnsi="Times New Roman"/>
          <w:b w:val="0"/>
          <w:sz w:val="36"/>
        </w:rPr>
        <w:t>Reconcile important totals after cleaning.</w:t>
      </w:r>
    </w:p>
    <w:p>
      <w:pPr>
        <w:spacing w:after="160"/>
      </w:pPr>
      <w:r>
        <w:rPr>
          <w:rFonts w:ascii="Times New Roman" w:hAnsi="Times New Roman"/>
          <w:b w:val="0"/>
          <w:sz w:val="36"/>
        </w:rPr>
        <w:t>The completed project documentation also recommends validation of KPI values, filters, navigation, labels, table width, colors, scope differentiation, related totals, tooltips, and display settings. fileciteturn0file0L369-L381</w:t>
      </w:r>
    </w:p>
    <w:p>
      <w:pPr>
        <w:pStyle w:val="Heading1"/>
      </w:pPr>
      <w:r>
        <w:rPr>
          <w:rFonts w:ascii="Times New Roman" w:hAnsi="Times New Roman"/>
          <w:b/>
          <w:sz w:val="44"/>
        </w:rPr>
        <w:t>10. Basic DAX Measures</w:t>
      </w:r>
    </w:p>
    <w:p>
      <w:pPr>
        <w:spacing w:after="160"/>
      </w:pPr>
      <w:r>
        <w:rPr>
          <w:rFonts w:ascii="Times New Roman" w:hAnsi="Times New Roman"/>
          <w:b w:val="0"/>
          <w:sz w:val="36"/>
        </w:rPr>
        <w:t>DAX measures convert prepared data into reusable business calculations. The exact DAX expressions are not included in the supplied documentation, so the following are professional example measures aligned with the documented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FD500"/>
            <w:vAlign w:val="center"/>
          </w:tcPr>
          <w:p>
            <w:r/>
            <w:r>
              <w:rPr>
                <w:rFonts w:ascii="Times New Roman" w:hAnsi="Times New Roman"/>
                <w:b/>
                <w:sz w:val="36"/>
              </w:rPr>
              <w:t>Measure</w:t>
            </w:r>
          </w:p>
        </w:tc>
        <w:tc>
          <w:tcPr>
            <w:tcW w:type="dxa" w:w="3312"/>
            <w:shd w:fill="FFD500"/>
            <w:vAlign w:val="center"/>
          </w:tcPr>
          <w:p>
            <w:r/>
            <w:r>
              <w:rPr>
                <w:rFonts w:ascii="Times New Roman" w:hAnsi="Times New Roman"/>
                <w:b/>
                <w:sz w:val="36"/>
              </w:rPr>
              <w:t>Example DAX</w:t>
            </w:r>
          </w:p>
        </w:tc>
        <w:tc>
          <w:tcPr>
            <w:tcW w:type="dxa" w:w="3312"/>
            <w:shd w:fill="FFD500"/>
            <w:vAlign w:val="center"/>
          </w:tcPr>
          <w:p>
            <w:r/>
            <w:r>
              <w:rPr>
                <w:rFonts w:ascii="Times New Roman" w:hAnsi="Times New Roman"/>
                <w:b/>
                <w:sz w:val="36"/>
              </w:rPr>
              <w:t>Purpose</w:t>
            </w:r>
          </w:p>
        </w:tc>
      </w:tr>
      <w:tr>
        <w:tc>
          <w:tcPr>
            <w:tcW w:type="dxa" w:w="3312"/>
            <w:vAlign w:val="center"/>
          </w:tcPr>
          <w:p>
            <w:r/>
            <w:r>
              <w:rPr>
                <w:rFonts w:ascii="Times New Roman" w:hAnsi="Times New Roman"/>
                <w:b w:val="0"/>
                <w:sz w:val="36"/>
              </w:rPr>
              <w:t>Total Production</w:t>
            </w:r>
          </w:p>
        </w:tc>
        <w:tc>
          <w:tcPr>
            <w:tcW w:type="dxa" w:w="3312"/>
            <w:vAlign w:val="center"/>
          </w:tcPr>
          <w:p>
            <w:r/>
            <w:r>
              <w:rPr>
                <w:rFonts w:ascii="Times New Roman" w:hAnsi="Times New Roman"/>
                <w:b w:val="0"/>
                <w:sz w:val="36"/>
              </w:rPr>
              <w:t>Total Production = SUM(Production[Production])</w:t>
            </w:r>
          </w:p>
        </w:tc>
        <w:tc>
          <w:tcPr>
            <w:tcW w:type="dxa" w:w="3312"/>
            <w:vAlign w:val="center"/>
          </w:tcPr>
          <w:p>
            <w:r/>
            <w:r>
              <w:rPr>
                <w:rFonts w:ascii="Times New Roman" w:hAnsi="Times New Roman"/>
                <w:b w:val="0"/>
                <w:sz w:val="36"/>
              </w:rPr>
              <w:t>Total production.</w:t>
            </w:r>
          </w:p>
        </w:tc>
      </w:tr>
      <w:tr>
        <w:tc>
          <w:tcPr>
            <w:tcW w:type="dxa" w:w="3312"/>
            <w:vAlign w:val="center"/>
          </w:tcPr>
          <w:p>
            <w:r/>
            <w:r>
              <w:rPr>
                <w:rFonts w:ascii="Times New Roman" w:hAnsi="Times New Roman"/>
                <w:b w:val="0"/>
                <w:sz w:val="36"/>
              </w:rPr>
              <w:t>Total Revenue</w:t>
            </w:r>
          </w:p>
        </w:tc>
        <w:tc>
          <w:tcPr>
            <w:tcW w:type="dxa" w:w="3312"/>
            <w:vAlign w:val="center"/>
          </w:tcPr>
          <w:p>
            <w:r/>
            <w:r>
              <w:rPr>
                <w:rFonts w:ascii="Times New Roman" w:hAnsi="Times New Roman"/>
                <w:b w:val="0"/>
                <w:sz w:val="36"/>
              </w:rPr>
              <w:t>Total Revenue = SUM(Finance[Revenue])</w:t>
            </w:r>
          </w:p>
        </w:tc>
        <w:tc>
          <w:tcPr>
            <w:tcW w:type="dxa" w:w="3312"/>
            <w:vAlign w:val="center"/>
          </w:tcPr>
          <w:p>
            <w:r/>
            <w:r>
              <w:rPr>
                <w:rFonts w:ascii="Times New Roman" w:hAnsi="Times New Roman"/>
                <w:b w:val="0"/>
                <w:sz w:val="36"/>
              </w:rPr>
              <w:t>Total revenue.</w:t>
            </w:r>
          </w:p>
        </w:tc>
      </w:tr>
      <w:tr>
        <w:tc>
          <w:tcPr>
            <w:tcW w:type="dxa" w:w="3312"/>
            <w:vAlign w:val="center"/>
          </w:tcPr>
          <w:p>
            <w:r/>
            <w:r>
              <w:rPr>
                <w:rFonts w:ascii="Times New Roman" w:hAnsi="Times New Roman"/>
                <w:b w:val="0"/>
                <w:sz w:val="36"/>
              </w:rPr>
              <w:t>Total Cost</w:t>
            </w:r>
          </w:p>
        </w:tc>
        <w:tc>
          <w:tcPr>
            <w:tcW w:type="dxa" w:w="3312"/>
            <w:vAlign w:val="center"/>
          </w:tcPr>
          <w:p>
            <w:r/>
            <w:r>
              <w:rPr>
                <w:rFonts w:ascii="Times New Roman" w:hAnsi="Times New Roman"/>
                <w:b w:val="0"/>
                <w:sz w:val="36"/>
              </w:rPr>
              <w:t>Total Cost = SUM(Finance[Cost])</w:t>
            </w:r>
          </w:p>
        </w:tc>
        <w:tc>
          <w:tcPr>
            <w:tcW w:type="dxa" w:w="3312"/>
            <w:vAlign w:val="center"/>
          </w:tcPr>
          <w:p>
            <w:r/>
            <w:r>
              <w:rPr>
                <w:rFonts w:ascii="Times New Roman" w:hAnsi="Times New Roman"/>
                <w:b w:val="0"/>
                <w:sz w:val="36"/>
              </w:rPr>
              <w:t>Total cost.</w:t>
            </w:r>
          </w:p>
        </w:tc>
      </w:tr>
      <w:tr>
        <w:tc>
          <w:tcPr>
            <w:tcW w:type="dxa" w:w="3312"/>
            <w:vAlign w:val="center"/>
          </w:tcPr>
          <w:p>
            <w:r/>
            <w:r>
              <w:rPr>
                <w:rFonts w:ascii="Times New Roman" w:hAnsi="Times New Roman"/>
                <w:b w:val="0"/>
                <w:sz w:val="36"/>
              </w:rPr>
              <w:t>Total Margin</w:t>
            </w:r>
          </w:p>
        </w:tc>
        <w:tc>
          <w:tcPr>
            <w:tcW w:type="dxa" w:w="3312"/>
            <w:vAlign w:val="center"/>
          </w:tcPr>
          <w:p>
            <w:r/>
            <w:r>
              <w:rPr>
                <w:rFonts w:ascii="Times New Roman" w:hAnsi="Times New Roman"/>
                <w:b w:val="0"/>
                <w:sz w:val="36"/>
              </w:rPr>
              <w:t>Total Margin = [Total Revenue] - [Total Cost]</w:t>
            </w:r>
          </w:p>
        </w:tc>
        <w:tc>
          <w:tcPr>
            <w:tcW w:type="dxa" w:w="3312"/>
            <w:vAlign w:val="center"/>
          </w:tcPr>
          <w:p>
            <w:r/>
            <w:r>
              <w:rPr>
                <w:rFonts w:ascii="Times New Roman" w:hAnsi="Times New Roman"/>
                <w:b w:val="0"/>
                <w:sz w:val="36"/>
              </w:rPr>
              <w:t>Revenue less cost.</w:t>
            </w:r>
          </w:p>
        </w:tc>
      </w:tr>
      <w:tr>
        <w:tc>
          <w:tcPr>
            <w:tcW w:type="dxa" w:w="3312"/>
            <w:vAlign w:val="center"/>
          </w:tcPr>
          <w:p>
            <w:r/>
            <w:r>
              <w:rPr>
                <w:rFonts w:ascii="Times New Roman" w:hAnsi="Times New Roman"/>
                <w:b w:val="0"/>
                <w:sz w:val="36"/>
              </w:rPr>
              <w:t>Margin %</w:t>
            </w:r>
          </w:p>
        </w:tc>
        <w:tc>
          <w:tcPr>
            <w:tcW w:type="dxa" w:w="3312"/>
            <w:vAlign w:val="center"/>
          </w:tcPr>
          <w:p>
            <w:r/>
            <w:r>
              <w:rPr>
                <w:rFonts w:ascii="Times New Roman" w:hAnsi="Times New Roman"/>
                <w:b w:val="0"/>
                <w:sz w:val="36"/>
              </w:rPr>
              <w:t>Margin % = DIVIDE([Total Margin], [Total Revenue], 0)</w:t>
            </w:r>
          </w:p>
        </w:tc>
        <w:tc>
          <w:tcPr>
            <w:tcW w:type="dxa" w:w="3312"/>
            <w:vAlign w:val="center"/>
          </w:tcPr>
          <w:p>
            <w:r/>
            <w:r>
              <w:rPr>
                <w:rFonts w:ascii="Times New Roman" w:hAnsi="Times New Roman"/>
                <w:b w:val="0"/>
                <w:sz w:val="36"/>
              </w:rPr>
              <w:t>Margin percentage.</w:t>
            </w:r>
          </w:p>
        </w:tc>
      </w:tr>
      <w:tr>
        <w:tc>
          <w:tcPr>
            <w:tcW w:type="dxa" w:w="3312"/>
            <w:vAlign w:val="center"/>
          </w:tcPr>
          <w:p>
            <w:r/>
            <w:r>
              <w:rPr>
                <w:rFonts w:ascii="Times New Roman" w:hAnsi="Times New Roman"/>
                <w:b w:val="0"/>
                <w:sz w:val="36"/>
              </w:rPr>
              <w:t>Total Emissions</w:t>
            </w:r>
          </w:p>
        </w:tc>
        <w:tc>
          <w:tcPr>
            <w:tcW w:type="dxa" w:w="3312"/>
            <w:vAlign w:val="center"/>
          </w:tcPr>
          <w:p>
            <w:r/>
            <w:r>
              <w:rPr>
                <w:rFonts w:ascii="Times New Roman" w:hAnsi="Times New Roman"/>
                <w:b w:val="0"/>
                <w:sz w:val="36"/>
              </w:rPr>
              <w:t>Total Emissions = SUM(Emissions[Emissions])</w:t>
            </w:r>
          </w:p>
        </w:tc>
        <w:tc>
          <w:tcPr>
            <w:tcW w:type="dxa" w:w="3312"/>
            <w:vAlign w:val="center"/>
          </w:tcPr>
          <w:p>
            <w:r/>
            <w:r>
              <w:rPr>
                <w:rFonts w:ascii="Times New Roman" w:hAnsi="Times New Roman"/>
                <w:b w:val="0"/>
                <w:sz w:val="36"/>
              </w:rPr>
              <w:t>Total emissions.</w:t>
            </w:r>
          </w:p>
        </w:tc>
      </w:tr>
      <w:tr>
        <w:tc>
          <w:tcPr>
            <w:tcW w:type="dxa" w:w="3312"/>
            <w:vAlign w:val="center"/>
          </w:tcPr>
          <w:p>
            <w:r/>
            <w:r>
              <w:rPr>
                <w:rFonts w:ascii="Times New Roman" w:hAnsi="Times New Roman"/>
                <w:b w:val="0"/>
                <w:sz w:val="36"/>
              </w:rPr>
              <w:t>Scope 1</w:t>
            </w:r>
          </w:p>
        </w:tc>
        <w:tc>
          <w:tcPr>
            <w:tcW w:type="dxa" w:w="3312"/>
            <w:vAlign w:val="center"/>
          </w:tcPr>
          <w:p>
            <w:r/>
            <w:r>
              <w:rPr>
                <w:rFonts w:ascii="Times New Roman" w:hAnsi="Times New Roman"/>
                <w:b w:val="0"/>
                <w:sz w:val="36"/>
              </w:rPr>
              <w:t>Scope 1 = CALCULATE([Total Emissions], Emissions[Scope] = "Scope 1")</w:t>
            </w:r>
          </w:p>
        </w:tc>
        <w:tc>
          <w:tcPr>
            <w:tcW w:type="dxa" w:w="3312"/>
            <w:vAlign w:val="center"/>
          </w:tcPr>
          <w:p>
            <w:r/>
            <w:r>
              <w:rPr>
                <w:rFonts w:ascii="Times New Roman" w:hAnsi="Times New Roman"/>
                <w:b w:val="0"/>
                <w:sz w:val="36"/>
              </w:rPr>
              <w:t>Scope 1 emissions.</w:t>
            </w:r>
          </w:p>
        </w:tc>
      </w:tr>
      <w:tr>
        <w:tc>
          <w:tcPr>
            <w:tcW w:type="dxa" w:w="3312"/>
            <w:vAlign w:val="center"/>
          </w:tcPr>
          <w:p>
            <w:r/>
            <w:r>
              <w:rPr>
                <w:rFonts w:ascii="Times New Roman" w:hAnsi="Times New Roman"/>
                <w:b w:val="0"/>
                <w:sz w:val="36"/>
              </w:rPr>
              <w:t>Scope 2</w:t>
            </w:r>
          </w:p>
        </w:tc>
        <w:tc>
          <w:tcPr>
            <w:tcW w:type="dxa" w:w="3312"/>
            <w:vAlign w:val="center"/>
          </w:tcPr>
          <w:p>
            <w:r/>
            <w:r>
              <w:rPr>
                <w:rFonts w:ascii="Times New Roman" w:hAnsi="Times New Roman"/>
                <w:b w:val="0"/>
                <w:sz w:val="36"/>
              </w:rPr>
              <w:t>Scope 2 = CALCULATE([Total Emissions], Emissions[Scope] = "Scope 2")</w:t>
            </w:r>
          </w:p>
        </w:tc>
        <w:tc>
          <w:tcPr>
            <w:tcW w:type="dxa" w:w="3312"/>
            <w:vAlign w:val="center"/>
          </w:tcPr>
          <w:p>
            <w:r/>
            <w:r>
              <w:rPr>
                <w:rFonts w:ascii="Times New Roman" w:hAnsi="Times New Roman"/>
                <w:b w:val="0"/>
                <w:sz w:val="36"/>
              </w:rPr>
              <w:t>Scope 2 emissions.</w:t>
            </w:r>
          </w:p>
        </w:tc>
      </w:tr>
      <w:tr>
        <w:tc>
          <w:tcPr>
            <w:tcW w:type="dxa" w:w="3312"/>
            <w:vAlign w:val="center"/>
          </w:tcPr>
          <w:p>
            <w:r/>
            <w:r>
              <w:rPr>
                <w:rFonts w:ascii="Times New Roman" w:hAnsi="Times New Roman"/>
                <w:b w:val="0"/>
                <w:sz w:val="36"/>
              </w:rPr>
              <w:t>Scope 3</w:t>
            </w:r>
          </w:p>
        </w:tc>
        <w:tc>
          <w:tcPr>
            <w:tcW w:type="dxa" w:w="3312"/>
            <w:vAlign w:val="center"/>
          </w:tcPr>
          <w:p>
            <w:r/>
            <w:r>
              <w:rPr>
                <w:rFonts w:ascii="Times New Roman" w:hAnsi="Times New Roman"/>
                <w:b w:val="0"/>
                <w:sz w:val="36"/>
              </w:rPr>
              <w:t>Scope 3 = CALCULATE([Total Emissions], Emissions[Scope] = "Scope 3")</w:t>
            </w:r>
          </w:p>
        </w:tc>
        <w:tc>
          <w:tcPr>
            <w:tcW w:type="dxa" w:w="3312"/>
            <w:vAlign w:val="center"/>
          </w:tcPr>
          <w:p>
            <w:r/>
            <w:r>
              <w:rPr>
                <w:rFonts w:ascii="Times New Roman" w:hAnsi="Times New Roman"/>
                <w:b w:val="0"/>
                <w:sz w:val="36"/>
              </w:rPr>
              <w:t>Scope 3 emissions.</w:t>
            </w:r>
          </w:p>
        </w:tc>
      </w:tr>
      <w:tr>
        <w:tc>
          <w:tcPr>
            <w:tcW w:type="dxa" w:w="3312"/>
            <w:vAlign w:val="center"/>
          </w:tcPr>
          <w:p>
            <w:r/>
            <w:r>
              <w:rPr>
                <w:rFonts w:ascii="Times New Roman" w:hAnsi="Times New Roman"/>
                <w:b w:val="0"/>
                <w:sz w:val="36"/>
              </w:rPr>
              <w:t>Average Brent Price</w:t>
            </w:r>
          </w:p>
        </w:tc>
        <w:tc>
          <w:tcPr>
            <w:tcW w:type="dxa" w:w="3312"/>
            <w:vAlign w:val="center"/>
          </w:tcPr>
          <w:p>
            <w:r/>
            <w:r>
              <w:rPr>
                <w:rFonts w:ascii="Times New Roman" w:hAnsi="Times New Roman"/>
                <w:b w:val="0"/>
                <w:sz w:val="36"/>
              </w:rPr>
              <w:t>Average Brent Price = AVERAGE(Finance[Brent Price])</w:t>
            </w:r>
          </w:p>
        </w:tc>
        <w:tc>
          <w:tcPr>
            <w:tcW w:type="dxa" w:w="3312"/>
            <w:vAlign w:val="center"/>
          </w:tcPr>
          <w:p>
            <w:r/>
            <w:r>
              <w:rPr>
                <w:rFonts w:ascii="Times New Roman" w:hAnsi="Times New Roman"/>
                <w:b w:val="0"/>
                <w:sz w:val="36"/>
              </w:rPr>
              <w:t>Average Brent price.</w:t>
            </w:r>
          </w:p>
        </w:tc>
      </w:tr>
    </w:tbl>
    <w:p/>
    <w:p>
      <w:pPr>
        <w:spacing w:after="160"/>
      </w:pPr>
      <w:r>
        <w:rPr>
          <w:rFonts w:ascii="Times New Roman" w:hAnsi="Times New Roman"/>
          <w:b w:val="0"/>
          <w:sz w:val="36"/>
        </w:rPr>
        <w:t>The project documentation confirms calculated measures/KPIs and numerator/denominator logic for percentage KPIs. It also documents a selected-year approach for retrieving the corresponding reduction target. fileciteturn0file0L354-L368</w:t>
      </w:r>
    </w:p>
    <w:p>
      <w:pPr>
        <w:spacing w:after="160"/>
      </w:pPr>
      <w:r>
        <w:rPr>
          <w:rFonts w:ascii="Times New Roman" w:hAnsi="Times New Roman"/>
          <w:b w:val="0"/>
          <w:sz w:val="36"/>
        </w:rPr>
        <w:t>Note: these are documentation-level examples. Replace table and column names with the actual names in the final Power BI model.</w:t>
      </w:r>
    </w:p>
    <w:p>
      <w:pPr>
        <w:pStyle w:val="Heading1"/>
      </w:pPr>
      <w:r>
        <w:rPr>
          <w:rFonts w:ascii="Times New Roman" w:hAnsi="Times New Roman"/>
          <w:b/>
          <w:sz w:val="44"/>
        </w:rPr>
        <w:t>11. Dashboard Design — Pages Overview</w:t>
      </w:r>
    </w:p>
    <w:p>
      <w:pPr>
        <w:spacing w:after="160"/>
      </w:pPr>
      <w:r>
        <w:rPr>
          <w:rFonts w:ascii="Times New Roman" w:hAnsi="Times New Roman"/>
          <w:b w:val="0"/>
          <w:sz w:val="36"/>
        </w:rPr>
        <w:t>The report contains five pages with a persistent left-side navigation panel. Each page uses a consistent hierarchy of header/title, KPI cards, analytical visuals, and navigation. fileciteturn0file0L128-L138</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Page</w:t>
            </w:r>
          </w:p>
        </w:tc>
        <w:tc>
          <w:tcPr>
            <w:tcW w:type="dxa" w:w="4968"/>
            <w:shd w:fill="FFD500"/>
            <w:vAlign w:val="center"/>
          </w:tcPr>
          <w:p>
            <w:r/>
            <w:r>
              <w:rPr>
                <w:rFonts w:ascii="Times New Roman" w:hAnsi="Times New Roman"/>
                <w:b/>
                <w:sz w:val="36"/>
              </w:rPr>
              <w:t>Primary Purpose</w:t>
            </w:r>
          </w:p>
        </w:tc>
      </w:tr>
      <w:tr>
        <w:tc>
          <w:tcPr>
            <w:tcW w:type="dxa" w:w="4968"/>
            <w:vAlign w:val="center"/>
          </w:tcPr>
          <w:p>
            <w:r/>
            <w:r>
              <w:rPr>
                <w:rFonts w:ascii="Times New Roman" w:hAnsi="Times New Roman"/>
                <w:b w:val="0"/>
                <w:sz w:val="36"/>
              </w:rPr>
              <w:t>Page 1 — Executive Overview</w:t>
            </w:r>
          </w:p>
        </w:tc>
        <w:tc>
          <w:tcPr>
            <w:tcW w:type="dxa" w:w="4968"/>
            <w:vAlign w:val="center"/>
          </w:tcPr>
          <w:p>
            <w:r/>
            <w:r>
              <w:rPr>
                <w:rFonts w:ascii="Times New Roman" w:hAnsi="Times New Roman"/>
                <w:b w:val="0"/>
                <w:sz w:val="36"/>
              </w:rPr>
              <w:t>Management-level summary of production, finance, emissions, and major trends.</w:t>
            </w:r>
          </w:p>
        </w:tc>
      </w:tr>
      <w:tr>
        <w:tc>
          <w:tcPr>
            <w:tcW w:type="dxa" w:w="4968"/>
            <w:vAlign w:val="center"/>
          </w:tcPr>
          <w:p>
            <w:r/>
            <w:r>
              <w:rPr>
                <w:rFonts w:ascii="Times New Roman" w:hAnsi="Times New Roman"/>
                <w:b w:val="0"/>
                <w:sz w:val="36"/>
              </w:rPr>
              <w:t>Page 2 — Production &amp; Operations</w:t>
            </w:r>
          </w:p>
        </w:tc>
        <w:tc>
          <w:tcPr>
            <w:tcW w:type="dxa" w:w="4968"/>
            <w:vAlign w:val="center"/>
          </w:tcPr>
          <w:p>
            <w:r/>
            <w:r>
              <w:rPr>
                <w:rFonts w:ascii="Times New Roman" w:hAnsi="Times New Roman"/>
                <w:b w:val="0"/>
                <w:sz w:val="36"/>
              </w:rPr>
              <w:t>Production, assets, downtime, maintenance, and operational cost.</w:t>
            </w:r>
          </w:p>
        </w:tc>
      </w:tr>
      <w:tr>
        <w:tc>
          <w:tcPr>
            <w:tcW w:type="dxa" w:w="4968"/>
            <w:vAlign w:val="center"/>
          </w:tcPr>
          <w:p>
            <w:r/>
            <w:r>
              <w:rPr>
                <w:rFonts w:ascii="Times New Roman" w:hAnsi="Times New Roman"/>
                <w:b w:val="0"/>
                <w:sz w:val="36"/>
              </w:rPr>
              <w:t>Page 3 — Financial Performance</w:t>
            </w:r>
          </w:p>
        </w:tc>
        <w:tc>
          <w:tcPr>
            <w:tcW w:type="dxa" w:w="4968"/>
            <w:vAlign w:val="center"/>
          </w:tcPr>
          <w:p>
            <w:r/>
            <w:r>
              <w:rPr>
                <w:rFonts w:ascii="Times New Roman" w:hAnsi="Times New Roman"/>
                <w:b w:val="0"/>
                <w:sz w:val="36"/>
              </w:rPr>
              <w:t>Revenue, cost, margin, segment/region revenue, and Brent-price context.</w:t>
            </w:r>
          </w:p>
        </w:tc>
      </w:tr>
      <w:tr>
        <w:tc>
          <w:tcPr>
            <w:tcW w:type="dxa" w:w="4968"/>
            <w:vAlign w:val="center"/>
          </w:tcPr>
          <w:p>
            <w:r/>
            <w:r>
              <w:rPr>
                <w:rFonts w:ascii="Times New Roman" w:hAnsi="Times New Roman"/>
                <w:b w:val="0"/>
                <w:sz w:val="36"/>
              </w:rPr>
              <w:t>Page 4 — Emissions &amp; Decarbonization</w:t>
            </w:r>
          </w:p>
        </w:tc>
        <w:tc>
          <w:tcPr>
            <w:tcW w:type="dxa" w:w="4968"/>
            <w:vAlign w:val="center"/>
          </w:tcPr>
          <w:p>
            <w:r/>
            <w:r>
              <w:rPr>
                <w:rFonts w:ascii="Times New Roman" w:hAnsi="Times New Roman"/>
                <w:b w:val="0"/>
                <w:sz w:val="36"/>
              </w:rPr>
              <w:t>Scope 1/2/3, emissions trends, regions, assets, targets, and reduction focus.</w:t>
            </w:r>
          </w:p>
        </w:tc>
      </w:tr>
      <w:tr>
        <w:tc>
          <w:tcPr>
            <w:tcW w:type="dxa" w:w="4968"/>
            <w:vAlign w:val="center"/>
          </w:tcPr>
          <w:p>
            <w:r/>
            <w:r>
              <w:rPr>
                <w:rFonts w:ascii="Times New Roman" w:hAnsi="Times New Roman"/>
                <w:b w:val="0"/>
                <w:sz w:val="36"/>
              </w:rPr>
              <w:t>Page 5 — Scenario Analysis</w:t>
            </w:r>
          </w:p>
        </w:tc>
        <w:tc>
          <w:tcPr>
            <w:tcW w:type="dxa" w:w="4968"/>
            <w:vAlign w:val="center"/>
          </w:tcPr>
          <w:p>
            <w:r/>
            <w:r>
              <w:rPr>
                <w:rFonts w:ascii="Times New Roman" w:hAnsi="Times New Roman"/>
                <w:b w:val="0"/>
                <w:sz w:val="36"/>
              </w:rPr>
              <w:t>Scenario assumptions and effects on production, revenue, emissions, and renewable share.</w:t>
            </w:r>
          </w:p>
        </w:tc>
      </w:tr>
    </w:tbl>
    <w:p/>
    <w:p>
      <w:pPr>
        <w:pStyle w:val="Heading1"/>
      </w:pPr>
      <w:r>
        <w:rPr>
          <w:rFonts w:ascii="Times New Roman" w:hAnsi="Times New Roman"/>
          <w:b/>
          <w:sz w:val="44"/>
        </w:rPr>
        <w:t>12. Dashboard Pages / Visuals</w:t>
      </w:r>
    </w:p>
    <w:p>
      <w:pPr>
        <w:pStyle w:val="Heading2"/>
      </w:pPr>
      <w:r>
        <w:rPr>
          <w:rFonts w:ascii="Times New Roman" w:hAnsi="Times New Roman"/>
          <w:b/>
          <w:sz w:val="44"/>
        </w:rPr>
        <w:t>12.1 Page 1 — Executive Overview</w:t>
      </w:r>
    </w:p>
    <w:p>
      <w:pPr>
        <w:spacing w:after="160"/>
      </w:pPr>
      <w:r>
        <w:rPr>
          <w:rFonts w:ascii="Times New Roman" w:hAnsi="Times New Roman"/>
          <w:b w:val="0"/>
          <w:sz w:val="36"/>
        </w:rPr>
        <w:t>Purpose: provide a management-level snapshot of overall performance across production, finance, and emissions.</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KPI / Visual</w:t>
            </w:r>
          </w:p>
        </w:tc>
        <w:tc>
          <w:tcPr>
            <w:tcW w:type="dxa" w:w="4968"/>
            <w:shd w:fill="FFD500"/>
            <w:vAlign w:val="center"/>
          </w:tcPr>
          <w:p>
            <w:r/>
            <w:r>
              <w:rPr>
                <w:rFonts w:ascii="Times New Roman" w:hAnsi="Times New Roman"/>
                <w:b/>
                <w:sz w:val="36"/>
              </w:rPr>
              <w:t>What It Shows</w:t>
            </w:r>
          </w:p>
        </w:tc>
      </w:tr>
      <w:tr>
        <w:tc>
          <w:tcPr>
            <w:tcW w:type="dxa" w:w="4968"/>
            <w:vAlign w:val="center"/>
          </w:tcPr>
          <w:p>
            <w:r/>
            <w:r>
              <w:rPr>
                <w:rFonts w:ascii="Times New Roman" w:hAnsi="Times New Roman"/>
                <w:b w:val="0"/>
                <w:sz w:val="36"/>
              </w:rPr>
              <w:t>Total Production — 951.1M</w:t>
            </w:r>
          </w:p>
        </w:tc>
        <w:tc>
          <w:tcPr>
            <w:tcW w:type="dxa" w:w="4968"/>
            <w:vAlign w:val="center"/>
          </w:tcPr>
          <w:p>
            <w:r/>
            <w:r>
              <w:rPr>
                <w:rFonts w:ascii="Times New Roman" w:hAnsi="Times New Roman"/>
                <w:b w:val="0"/>
                <w:sz w:val="36"/>
              </w:rPr>
              <w:t>Overall production scale.</w:t>
            </w:r>
          </w:p>
        </w:tc>
      </w:tr>
      <w:tr>
        <w:tc>
          <w:tcPr>
            <w:tcW w:type="dxa" w:w="4968"/>
            <w:vAlign w:val="center"/>
          </w:tcPr>
          <w:p>
            <w:r/>
            <w:r>
              <w:rPr>
                <w:rFonts w:ascii="Times New Roman" w:hAnsi="Times New Roman"/>
                <w:b w:val="0"/>
                <w:sz w:val="36"/>
              </w:rPr>
              <w:t>Total Revenue — 109.1bn</w:t>
            </w:r>
          </w:p>
        </w:tc>
        <w:tc>
          <w:tcPr>
            <w:tcW w:type="dxa" w:w="4968"/>
            <w:vAlign w:val="center"/>
          </w:tcPr>
          <w:p>
            <w:r/>
            <w:r>
              <w:rPr>
                <w:rFonts w:ascii="Times New Roman" w:hAnsi="Times New Roman"/>
                <w:b w:val="0"/>
                <w:sz w:val="36"/>
              </w:rPr>
              <w:t>Overall revenue.</w:t>
            </w:r>
          </w:p>
        </w:tc>
      </w:tr>
      <w:tr>
        <w:tc>
          <w:tcPr>
            <w:tcW w:type="dxa" w:w="4968"/>
            <w:vAlign w:val="center"/>
          </w:tcPr>
          <w:p>
            <w:r/>
            <w:r>
              <w:rPr>
                <w:rFonts w:ascii="Times New Roman" w:hAnsi="Times New Roman"/>
                <w:b w:val="0"/>
                <w:sz w:val="36"/>
              </w:rPr>
              <w:t>Total Margin — 55.5bn</w:t>
            </w:r>
          </w:p>
        </w:tc>
        <w:tc>
          <w:tcPr>
            <w:tcW w:type="dxa" w:w="4968"/>
            <w:vAlign w:val="center"/>
          </w:tcPr>
          <w:p>
            <w:r/>
            <w:r>
              <w:rPr>
                <w:rFonts w:ascii="Times New Roman" w:hAnsi="Times New Roman"/>
                <w:b w:val="0"/>
                <w:sz w:val="36"/>
              </w:rPr>
              <w:t>Overall margin.</w:t>
            </w:r>
          </w:p>
        </w:tc>
      </w:tr>
      <w:tr>
        <w:tc>
          <w:tcPr>
            <w:tcW w:type="dxa" w:w="4968"/>
            <w:vAlign w:val="center"/>
          </w:tcPr>
          <w:p>
            <w:r/>
            <w:r>
              <w:rPr>
                <w:rFonts w:ascii="Times New Roman" w:hAnsi="Times New Roman"/>
                <w:b w:val="0"/>
                <w:sz w:val="36"/>
              </w:rPr>
              <w:t>Total Cost — 53.6bn</w:t>
            </w:r>
          </w:p>
        </w:tc>
        <w:tc>
          <w:tcPr>
            <w:tcW w:type="dxa" w:w="4968"/>
            <w:vAlign w:val="center"/>
          </w:tcPr>
          <w:p>
            <w:r/>
            <w:r>
              <w:rPr>
                <w:rFonts w:ascii="Times New Roman" w:hAnsi="Times New Roman"/>
                <w:b w:val="0"/>
                <w:sz w:val="36"/>
              </w:rPr>
              <w:t>Overall cost.</w:t>
            </w:r>
          </w:p>
        </w:tc>
      </w:tr>
      <w:tr>
        <w:tc>
          <w:tcPr>
            <w:tcW w:type="dxa" w:w="4968"/>
            <w:vAlign w:val="center"/>
          </w:tcPr>
          <w:p>
            <w:r/>
            <w:r>
              <w:rPr>
                <w:rFonts w:ascii="Times New Roman" w:hAnsi="Times New Roman"/>
                <w:b w:val="0"/>
                <w:sz w:val="36"/>
              </w:rPr>
              <w:t>Total Emissions — 106.0M</w:t>
            </w:r>
          </w:p>
        </w:tc>
        <w:tc>
          <w:tcPr>
            <w:tcW w:type="dxa" w:w="4968"/>
            <w:vAlign w:val="center"/>
          </w:tcPr>
          <w:p>
            <w:r/>
            <w:r>
              <w:rPr>
                <w:rFonts w:ascii="Times New Roman" w:hAnsi="Times New Roman"/>
                <w:b w:val="0"/>
                <w:sz w:val="36"/>
              </w:rPr>
              <w:t>Overall emissions.</w:t>
            </w:r>
          </w:p>
        </w:tc>
      </w:tr>
      <w:tr>
        <w:tc>
          <w:tcPr>
            <w:tcW w:type="dxa" w:w="4968"/>
            <w:vAlign w:val="center"/>
          </w:tcPr>
          <w:p>
            <w:r/>
            <w:r>
              <w:rPr>
                <w:rFonts w:ascii="Times New Roman" w:hAnsi="Times New Roman"/>
                <w:b w:val="0"/>
                <w:sz w:val="36"/>
              </w:rPr>
              <w:t>Emission Intensity — 0.11</w:t>
            </w:r>
          </w:p>
        </w:tc>
        <w:tc>
          <w:tcPr>
            <w:tcW w:type="dxa" w:w="4968"/>
            <w:vAlign w:val="center"/>
          </w:tcPr>
          <w:p>
            <w:r/>
            <w:r>
              <w:rPr>
                <w:rFonts w:ascii="Times New Roman" w:hAnsi="Times New Roman"/>
                <w:b w:val="0"/>
                <w:sz w:val="36"/>
              </w:rPr>
              <w:t>Environmental efficiency KPI.</w:t>
            </w:r>
          </w:p>
        </w:tc>
      </w:tr>
      <w:tr>
        <w:tc>
          <w:tcPr>
            <w:tcW w:type="dxa" w:w="4968"/>
            <w:vAlign w:val="center"/>
          </w:tcPr>
          <w:p>
            <w:r/>
            <w:r>
              <w:rPr>
                <w:rFonts w:ascii="Times New Roman" w:hAnsi="Times New Roman"/>
                <w:b w:val="0"/>
                <w:sz w:val="36"/>
              </w:rPr>
              <w:t>Emissions Trend</w:t>
            </w:r>
          </w:p>
        </w:tc>
        <w:tc>
          <w:tcPr>
            <w:tcW w:type="dxa" w:w="4968"/>
            <w:vAlign w:val="center"/>
          </w:tcPr>
          <w:p>
            <w:r/>
            <w:r>
              <w:rPr>
                <w:rFonts w:ascii="Times New Roman" w:hAnsi="Times New Roman"/>
                <w:b w:val="0"/>
                <w:sz w:val="36"/>
              </w:rPr>
              <w:t>Monthly emissions movement.</w:t>
            </w:r>
          </w:p>
        </w:tc>
      </w:tr>
      <w:tr>
        <w:tc>
          <w:tcPr>
            <w:tcW w:type="dxa" w:w="4968"/>
            <w:vAlign w:val="center"/>
          </w:tcPr>
          <w:p>
            <w:r/>
            <w:r>
              <w:rPr>
                <w:rFonts w:ascii="Times New Roman" w:hAnsi="Times New Roman"/>
                <w:b w:val="0"/>
                <w:sz w:val="36"/>
              </w:rPr>
              <w:t>Production Trend</w:t>
            </w:r>
          </w:p>
        </w:tc>
        <w:tc>
          <w:tcPr>
            <w:tcW w:type="dxa" w:w="4968"/>
            <w:vAlign w:val="center"/>
          </w:tcPr>
          <w:p>
            <w:r/>
            <w:r>
              <w:rPr>
                <w:rFonts w:ascii="Times New Roman" w:hAnsi="Times New Roman"/>
                <w:b w:val="0"/>
                <w:sz w:val="36"/>
              </w:rPr>
              <w:t>Monthly production movement.</w:t>
            </w:r>
          </w:p>
        </w:tc>
      </w:tr>
      <w:tr>
        <w:tc>
          <w:tcPr>
            <w:tcW w:type="dxa" w:w="4968"/>
            <w:vAlign w:val="center"/>
          </w:tcPr>
          <w:p>
            <w:r/>
            <w:r>
              <w:rPr>
                <w:rFonts w:ascii="Times New Roman" w:hAnsi="Times New Roman"/>
                <w:b w:val="0"/>
                <w:sz w:val="36"/>
              </w:rPr>
              <w:t>Production by Region</w:t>
            </w:r>
          </w:p>
        </w:tc>
        <w:tc>
          <w:tcPr>
            <w:tcW w:type="dxa" w:w="4968"/>
            <w:vAlign w:val="center"/>
          </w:tcPr>
          <w:p>
            <w:r/>
            <w:r>
              <w:rPr>
                <w:rFonts w:ascii="Times New Roman" w:hAnsi="Times New Roman"/>
                <w:b w:val="0"/>
                <w:sz w:val="36"/>
              </w:rPr>
              <w:t>Regional production comparison; Europe is highest displayed at about 204M.</w:t>
            </w:r>
          </w:p>
        </w:tc>
      </w:tr>
      <w:tr>
        <w:tc>
          <w:tcPr>
            <w:tcW w:type="dxa" w:w="4968"/>
            <w:vAlign w:val="center"/>
          </w:tcPr>
          <w:p>
            <w:r/>
            <w:r>
              <w:rPr>
                <w:rFonts w:ascii="Times New Roman" w:hAnsi="Times New Roman"/>
                <w:b w:val="0"/>
                <w:sz w:val="36"/>
              </w:rPr>
              <w:t>Emissions by Scope</w:t>
            </w:r>
          </w:p>
        </w:tc>
        <w:tc>
          <w:tcPr>
            <w:tcW w:type="dxa" w:w="4968"/>
            <w:vAlign w:val="center"/>
          </w:tcPr>
          <w:p>
            <w:r/>
            <w:r>
              <w:rPr>
                <w:rFonts w:ascii="Times New Roman" w:hAnsi="Times New Roman"/>
                <w:b w:val="0"/>
                <w:sz w:val="36"/>
              </w:rPr>
              <w:t>Scope 1/2/3 contribution and movement.</w:t>
            </w:r>
          </w:p>
        </w:tc>
      </w:tr>
    </w:tbl>
    <w:p/>
    <w:p>
      <w:pPr>
        <w:spacing w:after="160"/>
      </w:pPr>
      <w:r>
        <w:rPr>
          <w:rFonts w:ascii="Times New Roman" w:hAnsi="Times New Roman"/>
          <w:b w:val="0"/>
          <w:sz w:val="36"/>
        </w:rPr>
        <w:t>The Executive Overview balances operational scale, financial results, and environmental performance. fileciteturn0file0L139-L161</w:t>
      </w:r>
    </w:p>
    <w:p>
      <w:pPr>
        <w:pStyle w:val="Heading2"/>
      </w:pPr>
      <w:r>
        <w:rPr>
          <w:rFonts w:ascii="Times New Roman" w:hAnsi="Times New Roman"/>
          <w:b/>
          <w:sz w:val="44"/>
        </w:rPr>
        <w:t>12.2 Page 2 — Production &amp; Operations</w:t>
      </w:r>
    </w:p>
    <w:p>
      <w:pPr>
        <w:spacing w:after="160"/>
      </w:pPr>
      <w:r>
        <w:rPr>
          <w:rFonts w:ascii="Times New Roman" w:hAnsi="Times New Roman"/>
          <w:b w:val="0"/>
          <w:sz w:val="36"/>
        </w:rPr>
        <w:t>Purpose: analyze production, asset contribution, downtime, maintenance categories, and maintenance cost.</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KPI / Visual</w:t>
            </w:r>
          </w:p>
        </w:tc>
        <w:tc>
          <w:tcPr>
            <w:tcW w:type="dxa" w:w="4968"/>
            <w:shd w:fill="FFD500"/>
            <w:vAlign w:val="center"/>
          </w:tcPr>
          <w:p>
            <w:r/>
            <w:r>
              <w:rPr>
                <w:rFonts w:ascii="Times New Roman" w:hAnsi="Times New Roman"/>
                <w:b/>
                <w:sz w:val="36"/>
              </w:rPr>
              <w:t>What It Shows</w:t>
            </w:r>
          </w:p>
        </w:tc>
      </w:tr>
      <w:tr>
        <w:tc>
          <w:tcPr>
            <w:tcW w:type="dxa" w:w="4968"/>
            <w:vAlign w:val="center"/>
          </w:tcPr>
          <w:p>
            <w:r/>
            <w:r>
              <w:rPr>
                <w:rFonts w:ascii="Times New Roman" w:hAnsi="Times New Roman"/>
                <w:b w:val="0"/>
                <w:sz w:val="36"/>
              </w:rPr>
              <w:t>Total Production — 951M</w:t>
            </w:r>
          </w:p>
        </w:tc>
        <w:tc>
          <w:tcPr>
            <w:tcW w:type="dxa" w:w="4968"/>
            <w:vAlign w:val="center"/>
          </w:tcPr>
          <w:p>
            <w:r/>
            <w:r>
              <w:rPr>
                <w:rFonts w:ascii="Times New Roman" w:hAnsi="Times New Roman"/>
                <w:b w:val="0"/>
                <w:sz w:val="36"/>
              </w:rPr>
              <w:t>Overall production.</w:t>
            </w:r>
          </w:p>
        </w:tc>
      </w:tr>
      <w:tr>
        <w:tc>
          <w:tcPr>
            <w:tcW w:type="dxa" w:w="4968"/>
            <w:vAlign w:val="center"/>
          </w:tcPr>
          <w:p>
            <w:r/>
            <w:r>
              <w:rPr>
                <w:rFonts w:ascii="Times New Roman" w:hAnsi="Times New Roman"/>
                <w:b w:val="0"/>
                <w:sz w:val="36"/>
              </w:rPr>
              <w:t>Average Production — 55K</w:t>
            </w:r>
          </w:p>
        </w:tc>
        <w:tc>
          <w:tcPr>
            <w:tcW w:type="dxa" w:w="4968"/>
            <w:vAlign w:val="center"/>
          </w:tcPr>
          <w:p>
            <w:r/>
            <w:r>
              <w:rPr>
                <w:rFonts w:ascii="Times New Roman" w:hAnsi="Times New Roman"/>
                <w:b w:val="0"/>
                <w:sz w:val="36"/>
              </w:rPr>
              <w:t>Average production measure.</w:t>
            </w:r>
          </w:p>
        </w:tc>
      </w:tr>
      <w:tr>
        <w:tc>
          <w:tcPr>
            <w:tcW w:type="dxa" w:w="4968"/>
            <w:vAlign w:val="center"/>
          </w:tcPr>
          <w:p>
            <w:r/>
            <w:r>
              <w:rPr>
                <w:rFonts w:ascii="Times New Roman" w:hAnsi="Times New Roman"/>
                <w:b w:val="0"/>
                <w:sz w:val="36"/>
              </w:rPr>
              <w:t>Total Downtime Hours — 53K</w:t>
            </w:r>
          </w:p>
        </w:tc>
        <w:tc>
          <w:tcPr>
            <w:tcW w:type="dxa" w:w="4968"/>
            <w:vAlign w:val="center"/>
          </w:tcPr>
          <w:p>
            <w:r/>
            <w:r>
              <w:rPr>
                <w:rFonts w:ascii="Times New Roman" w:hAnsi="Times New Roman"/>
                <w:b w:val="0"/>
                <w:sz w:val="36"/>
              </w:rPr>
              <w:t>Operational availability measure.</w:t>
            </w:r>
          </w:p>
        </w:tc>
      </w:tr>
      <w:tr>
        <w:tc>
          <w:tcPr>
            <w:tcW w:type="dxa" w:w="4968"/>
            <w:vAlign w:val="center"/>
          </w:tcPr>
          <w:p>
            <w:r/>
            <w:r>
              <w:rPr>
                <w:rFonts w:ascii="Times New Roman" w:hAnsi="Times New Roman"/>
                <w:b w:val="0"/>
                <w:sz w:val="36"/>
              </w:rPr>
              <w:t>Production by Region</w:t>
            </w:r>
          </w:p>
        </w:tc>
        <w:tc>
          <w:tcPr>
            <w:tcW w:type="dxa" w:w="4968"/>
            <w:vAlign w:val="center"/>
          </w:tcPr>
          <w:p>
            <w:r/>
            <w:r>
              <w:rPr>
                <w:rFonts w:ascii="Times New Roman" w:hAnsi="Times New Roman"/>
                <w:b w:val="0"/>
                <w:sz w:val="36"/>
              </w:rPr>
              <w:t>Regional production; Europe is highest displayed at about 204M.</w:t>
            </w:r>
          </w:p>
        </w:tc>
      </w:tr>
      <w:tr>
        <w:tc>
          <w:tcPr>
            <w:tcW w:type="dxa" w:w="4968"/>
            <w:vAlign w:val="center"/>
          </w:tcPr>
          <w:p>
            <w:r/>
            <w:r>
              <w:rPr>
                <w:rFonts w:ascii="Times New Roman" w:hAnsi="Times New Roman"/>
                <w:b w:val="0"/>
                <w:sz w:val="36"/>
              </w:rPr>
              <w:t>Production Trend</w:t>
            </w:r>
          </w:p>
        </w:tc>
        <w:tc>
          <w:tcPr>
            <w:tcW w:type="dxa" w:w="4968"/>
            <w:vAlign w:val="center"/>
          </w:tcPr>
          <w:p>
            <w:r/>
            <w:r>
              <w:rPr>
                <w:rFonts w:ascii="Times New Roman" w:hAnsi="Times New Roman"/>
                <w:b w:val="0"/>
                <w:sz w:val="36"/>
              </w:rPr>
              <w:t>Monthly production movement.</w:t>
            </w:r>
          </w:p>
        </w:tc>
      </w:tr>
      <w:tr>
        <w:tc>
          <w:tcPr>
            <w:tcW w:type="dxa" w:w="4968"/>
            <w:vAlign w:val="center"/>
          </w:tcPr>
          <w:p>
            <w:r/>
            <w:r>
              <w:rPr>
                <w:rFonts w:ascii="Times New Roman" w:hAnsi="Times New Roman"/>
                <w:b w:val="0"/>
                <w:sz w:val="36"/>
              </w:rPr>
              <w:t>Top Production Assets</w:t>
            </w:r>
          </w:p>
        </w:tc>
        <w:tc>
          <w:tcPr>
            <w:tcW w:type="dxa" w:w="4968"/>
            <w:vAlign w:val="center"/>
          </w:tcPr>
          <w:p>
            <w:r/>
            <w:r>
              <w:rPr>
                <w:rFonts w:ascii="Times New Roman" w:hAnsi="Times New Roman"/>
                <w:b w:val="0"/>
                <w:sz w:val="36"/>
              </w:rPr>
              <w:t>Major producing assets.</w:t>
            </w:r>
          </w:p>
        </w:tc>
      </w:tr>
      <w:tr>
        <w:tc>
          <w:tcPr>
            <w:tcW w:type="dxa" w:w="4968"/>
            <w:vAlign w:val="center"/>
          </w:tcPr>
          <w:p>
            <w:r/>
            <w:r>
              <w:rPr>
                <w:rFonts w:ascii="Times New Roman" w:hAnsi="Times New Roman"/>
                <w:b w:val="0"/>
                <w:sz w:val="36"/>
              </w:rPr>
              <w:t>Top 10 Assets by Downtime</w:t>
            </w:r>
          </w:p>
        </w:tc>
        <w:tc>
          <w:tcPr>
            <w:tcW w:type="dxa" w:w="4968"/>
            <w:vAlign w:val="center"/>
          </w:tcPr>
          <w:p>
            <w:r/>
            <w:r>
              <w:rPr>
                <w:rFonts w:ascii="Times New Roman" w:hAnsi="Times New Roman"/>
                <w:b w:val="0"/>
                <w:sz w:val="36"/>
              </w:rPr>
              <w:t>Assets requiring reliability attention.</w:t>
            </w:r>
          </w:p>
        </w:tc>
      </w:tr>
      <w:tr>
        <w:tc>
          <w:tcPr>
            <w:tcW w:type="dxa" w:w="4968"/>
            <w:vAlign w:val="center"/>
          </w:tcPr>
          <w:p>
            <w:r/>
            <w:r>
              <w:rPr>
                <w:rFonts w:ascii="Times New Roman" w:hAnsi="Times New Roman"/>
                <w:b w:val="0"/>
                <w:sz w:val="36"/>
              </w:rPr>
              <w:t>Downtime by Maintenance Type</w:t>
            </w:r>
          </w:p>
        </w:tc>
        <w:tc>
          <w:tcPr>
            <w:tcW w:type="dxa" w:w="4968"/>
            <w:vAlign w:val="center"/>
          </w:tcPr>
          <w:p>
            <w:r/>
            <w:r>
              <w:rPr>
                <w:rFonts w:ascii="Times New Roman" w:hAnsi="Times New Roman"/>
                <w:b w:val="0"/>
                <w:sz w:val="36"/>
              </w:rPr>
              <w:t>Downtime by maintenance category.</w:t>
            </w:r>
          </w:p>
        </w:tc>
      </w:tr>
      <w:tr>
        <w:tc>
          <w:tcPr>
            <w:tcW w:type="dxa" w:w="4968"/>
            <w:vAlign w:val="center"/>
          </w:tcPr>
          <w:p>
            <w:r/>
            <w:r>
              <w:rPr>
                <w:rFonts w:ascii="Times New Roman" w:hAnsi="Times New Roman"/>
                <w:b w:val="0"/>
                <w:sz w:val="36"/>
              </w:rPr>
              <w:t>Maintenance Cost by Type</w:t>
            </w:r>
          </w:p>
        </w:tc>
        <w:tc>
          <w:tcPr>
            <w:tcW w:type="dxa" w:w="4968"/>
            <w:vAlign w:val="center"/>
          </w:tcPr>
          <w:p>
            <w:r/>
            <w:r>
              <w:rPr>
                <w:rFonts w:ascii="Times New Roman" w:hAnsi="Times New Roman"/>
                <w:b w:val="0"/>
                <w:sz w:val="36"/>
              </w:rPr>
              <w:t>Maintenance-cost comparison; corrective maintenance is highest displayed at about 220M.</w:t>
            </w:r>
          </w:p>
        </w:tc>
      </w:tr>
    </w:tbl>
    <w:p/>
    <w:p>
      <w:pPr>
        <w:spacing w:after="160"/>
      </w:pPr>
      <w:r>
        <w:rPr>
          <w:rFonts w:ascii="Times New Roman" w:hAnsi="Times New Roman"/>
          <w:b w:val="0"/>
          <w:sz w:val="36"/>
        </w:rPr>
        <w:t>The documented operational insight is that corrective maintenance is a major downtime category and the highest-cost maintenance category, suggesting an opportunity to investigate reliability, root causes, and preventive-maintenance effectiveness. fileciteturn0file0L162-L187</w:t>
      </w:r>
    </w:p>
    <w:p>
      <w:pPr>
        <w:pStyle w:val="Heading2"/>
      </w:pPr>
      <w:r>
        <w:rPr>
          <w:rFonts w:ascii="Times New Roman" w:hAnsi="Times New Roman"/>
          <w:b/>
          <w:sz w:val="44"/>
        </w:rPr>
        <w:t>12.3 Page 3 — Financial Performance</w:t>
      </w:r>
    </w:p>
    <w:p>
      <w:pPr>
        <w:spacing w:after="160"/>
      </w:pPr>
      <w:r>
        <w:rPr>
          <w:rFonts w:ascii="Times New Roman" w:hAnsi="Times New Roman"/>
          <w:b w:val="0"/>
          <w:sz w:val="36"/>
        </w:rPr>
        <w:t>Purpose: analyze revenue, cost, margin, regional/segment performance, and Brent-price context.</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KPI / Visual</w:t>
            </w:r>
          </w:p>
        </w:tc>
        <w:tc>
          <w:tcPr>
            <w:tcW w:type="dxa" w:w="4968"/>
            <w:shd w:fill="FFD500"/>
            <w:vAlign w:val="center"/>
          </w:tcPr>
          <w:p>
            <w:r/>
            <w:r>
              <w:rPr>
                <w:rFonts w:ascii="Times New Roman" w:hAnsi="Times New Roman"/>
                <w:b/>
                <w:sz w:val="36"/>
              </w:rPr>
              <w:t>What It Shows</w:t>
            </w:r>
          </w:p>
        </w:tc>
      </w:tr>
      <w:tr>
        <w:tc>
          <w:tcPr>
            <w:tcW w:type="dxa" w:w="4968"/>
            <w:vAlign w:val="center"/>
          </w:tcPr>
          <w:p>
            <w:r/>
            <w:r>
              <w:rPr>
                <w:rFonts w:ascii="Times New Roman" w:hAnsi="Times New Roman"/>
                <w:b w:val="0"/>
                <w:sz w:val="36"/>
              </w:rPr>
              <w:t>Total Revenue — 109.05bn</w:t>
            </w:r>
          </w:p>
        </w:tc>
        <w:tc>
          <w:tcPr>
            <w:tcW w:type="dxa" w:w="4968"/>
            <w:vAlign w:val="center"/>
          </w:tcPr>
          <w:p>
            <w:r/>
            <w:r>
              <w:rPr>
                <w:rFonts w:ascii="Times New Roman" w:hAnsi="Times New Roman"/>
                <w:b w:val="0"/>
                <w:sz w:val="36"/>
              </w:rPr>
              <w:t>Overall revenue.</w:t>
            </w:r>
          </w:p>
        </w:tc>
      </w:tr>
      <w:tr>
        <w:tc>
          <w:tcPr>
            <w:tcW w:type="dxa" w:w="4968"/>
            <w:vAlign w:val="center"/>
          </w:tcPr>
          <w:p>
            <w:r/>
            <w:r>
              <w:rPr>
                <w:rFonts w:ascii="Times New Roman" w:hAnsi="Times New Roman"/>
                <w:b w:val="0"/>
                <w:sz w:val="36"/>
              </w:rPr>
              <w:t>Total Cost — 53.56bn</w:t>
            </w:r>
          </w:p>
        </w:tc>
        <w:tc>
          <w:tcPr>
            <w:tcW w:type="dxa" w:w="4968"/>
            <w:vAlign w:val="center"/>
          </w:tcPr>
          <w:p>
            <w:r/>
            <w:r>
              <w:rPr>
                <w:rFonts w:ascii="Times New Roman" w:hAnsi="Times New Roman"/>
                <w:b w:val="0"/>
                <w:sz w:val="36"/>
              </w:rPr>
              <w:t>Overall cost.</w:t>
            </w:r>
          </w:p>
        </w:tc>
      </w:tr>
      <w:tr>
        <w:tc>
          <w:tcPr>
            <w:tcW w:type="dxa" w:w="4968"/>
            <w:vAlign w:val="center"/>
          </w:tcPr>
          <w:p>
            <w:r/>
            <w:r>
              <w:rPr>
                <w:rFonts w:ascii="Times New Roman" w:hAnsi="Times New Roman"/>
                <w:b w:val="0"/>
                <w:sz w:val="36"/>
              </w:rPr>
              <w:t>Total Margin — 55.50bn</w:t>
            </w:r>
          </w:p>
        </w:tc>
        <w:tc>
          <w:tcPr>
            <w:tcW w:type="dxa" w:w="4968"/>
            <w:vAlign w:val="center"/>
          </w:tcPr>
          <w:p>
            <w:r/>
            <w:r>
              <w:rPr>
                <w:rFonts w:ascii="Times New Roman" w:hAnsi="Times New Roman"/>
                <w:b w:val="0"/>
                <w:sz w:val="36"/>
              </w:rPr>
              <w:t>Overall margin.</w:t>
            </w:r>
          </w:p>
        </w:tc>
      </w:tr>
      <w:tr>
        <w:tc>
          <w:tcPr>
            <w:tcW w:type="dxa" w:w="4968"/>
            <w:vAlign w:val="center"/>
          </w:tcPr>
          <w:p>
            <w:r/>
            <w:r>
              <w:rPr>
                <w:rFonts w:ascii="Times New Roman" w:hAnsi="Times New Roman"/>
                <w:b w:val="0"/>
                <w:sz w:val="36"/>
              </w:rPr>
              <w:t>Margin % — 50.9%</w:t>
            </w:r>
          </w:p>
        </w:tc>
        <w:tc>
          <w:tcPr>
            <w:tcW w:type="dxa" w:w="4968"/>
            <w:vAlign w:val="center"/>
          </w:tcPr>
          <w:p>
            <w:r/>
            <w:r>
              <w:rPr>
                <w:rFonts w:ascii="Times New Roman" w:hAnsi="Times New Roman"/>
                <w:b w:val="0"/>
                <w:sz w:val="36"/>
              </w:rPr>
              <w:t>Margin percentage.</w:t>
            </w:r>
          </w:p>
        </w:tc>
      </w:tr>
      <w:tr>
        <w:tc>
          <w:tcPr>
            <w:tcW w:type="dxa" w:w="4968"/>
            <w:vAlign w:val="center"/>
          </w:tcPr>
          <w:p>
            <w:r/>
            <w:r>
              <w:rPr>
                <w:rFonts w:ascii="Times New Roman" w:hAnsi="Times New Roman"/>
                <w:b w:val="0"/>
                <w:sz w:val="36"/>
              </w:rPr>
              <w:t>Average Brent Price — 79.42</w:t>
            </w:r>
          </w:p>
        </w:tc>
        <w:tc>
          <w:tcPr>
            <w:tcW w:type="dxa" w:w="4968"/>
            <w:vAlign w:val="center"/>
          </w:tcPr>
          <w:p>
            <w:r/>
            <w:r>
              <w:rPr>
                <w:rFonts w:ascii="Times New Roman" w:hAnsi="Times New Roman"/>
                <w:b w:val="0"/>
                <w:sz w:val="36"/>
              </w:rPr>
              <w:t>Commodity-price context.</w:t>
            </w:r>
          </w:p>
        </w:tc>
      </w:tr>
      <w:tr>
        <w:tc>
          <w:tcPr>
            <w:tcW w:type="dxa" w:w="4968"/>
            <w:vAlign w:val="center"/>
          </w:tcPr>
          <w:p>
            <w:r/>
            <w:r>
              <w:rPr>
                <w:rFonts w:ascii="Times New Roman" w:hAnsi="Times New Roman"/>
                <w:b w:val="0"/>
                <w:sz w:val="36"/>
              </w:rPr>
              <w:t>Revenue vs Cost Trend</w:t>
            </w:r>
          </w:p>
        </w:tc>
        <w:tc>
          <w:tcPr>
            <w:tcW w:type="dxa" w:w="4968"/>
            <w:vAlign w:val="center"/>
          </w:tcPr>
          <w:p>
            <w:r/>
            <w:r>
              <w:rPr>
                <w:rFonts w:ascii="Times New Roman" w:hAnsi="Times New Roman"/>
                <w:b w:val="0"/>
                <w:sz w:val="36"/>
              </w:rPr>
              <w:t>Monthly revenue and cost movement.</w:t>
            </w:r>
          </w:p>
        </w:tc>
      </w:tr>
      <w:tr>
        <w:tc>
          <w:tcPr>
            <w:tcW w:type="dxa" w:w="4968"/>
            <w:vAlign w:val="center"/>
          </w:tcPr>
          <w:p>
            <w:r/>
            <w:r>
              <w:rPr>
                <w:rFonts w:ascii="Times New Roman" w:hAnsi="Times New Roman"/>
                <w:b w:val="0"/>
                <w:sz w:val="36"/>
              </w:rPr>
              <w:t>Margin Trend</w:t>
            </w:r>
          </w:p>
        </w:tc>
        <w:tc>
          <w:tcPr>
            <w:tcW w:type="dxa" w:w="4968"/>
            <w:vAlign w:val="center"/>
          </w:tcPr>
          <w:p>
            <w:r/>
            <w:r>
              <w:rPr>
                <w:rFonts w:ascii="Times New Roman" w:hAnsi="Times New Roman"/>
                <w:b w:val="0"/>
                <w:sz w:val="36"/>
              </w:rPr>
              <w:t>Monthly margin movement.</w:t>
            </w:r>
          </w:p>
        </w:tc>
      </w:tr>
      <w:tr>
        <w:tc>
          <w:tcPr>
            <w:tcW w:type="dxa" w:w="4968"/>
            <w:vAlign w:val="center"/>
          </w:tcPr>
          <w:p>
            <w:r/>
            <w:r>
              <w:rPr>
                <w:rFonts w:ascii="Times New Roman" w:hAnsi="Times New Roman"/>
                <w:b w:val="0"/>
                <w:sz w:val="36"/>
              </w:rPr>
              <w:t>Revenue by Segment</w:t>
            </w:r>
          </w:p>
        </w:tc>
        <w:tc>
          <w:tcPr>
            <w:tcW w:type="dxa" w:w="4968"/>
            <w:vAlign w:val="center"/>
          </w:tcPr>
          <w:p>
            <w:r/>
            <w:r>
              <w:rPr>
                <w:rFonts w:ascii="Times New Roman" w:hAnsi="Times New Roman"/>
                <w:b w:val="0"/>
                <w:sz w:val="36"/>
              </w:rPr>
              <w:t>Revenue mix across Upstream Gas, Integrated Gas, and Upstream Oil.</w:t>
            </w:r>
          </w:p>
        </w:tc>
      </w:tr>
      <w:tr>
        <w:tc>
          <w:tcPr>
            <w:tcW w:type="dxa" w:w="4968"/>
            <w:vAlign w:val="center"/>
          </w:tcPr>
          <w:p>
            <w:r/>
            <w:r>
              <w:rPr>
                <w:rFonts w:ascii="Times New Roman" w:hAnsi="Times New Roman"/>
                <w:b w:val="0"/>
                <w:sz w:val="36"/>
              </w:rPr>
              <w:t>Revenue by Region</w:t>
            </w:r>
          </w:p>
        </w:tc>
        <w:tc>
          <w:tcPr>
            <w:tcW w:type="dxa" w:w="4968"/>
            <w:vAlign w:val="center"/>
          </w:tcPr>
          <w:p>
            <w:r/>
            <w:r>
              <w:rPr>
                <w:rFonts w:ascii="Times New Roman" w:hAnsi="Times New Roman"/>
                <w:b w:val="0"/>
                <w:sz w:val="36"/>
              </w:rPr>
              <w:t>Regional revenue; Europe is highest displayed at about 24.61bn.</w:t>
            </w:r>
          </w:p>
        </w:tc>
      </w:tr>
      <w:tr>
        <w:tc>
          <w:tcPr>
            <w:tcW w:type="dxa" w:w="4968"/>
            <w:vAlign w:val="center"/>
          </w:tcPr>
          <w:p>
            <w:r/>
            <w:r>
              <w:rPr>
                <w:rFonts w:ascii="Times New Roman" w:hAnsi="Times New Roman"/>
                <w:b w:val="0"/>
                <w:sz w:val="36"/>
              </w:rPr>
              <w:t>Revenue vs Brent Price</w:t>
            </w:r>
          </w:p>
        </w:tc>
        <w:tc>
          <w:tcPr>
            <w:tcW w:type="dxa" w:w="4968"/>
            <w:vAlign w:val="center"/>
          </w:tcPr>
          <w:p>
            <w:r/>
            <w:r>
              <w:rPr>
                <w:rFonts w:ascii="Times New Roman" w:hAnsi="Times New Roman"/>
                <w:b w:val="0"/>
                <w:sz w:val="36"/>
              </w:rPr>
              <w:t>Financial performance compared with Brent-price movement.</w:t>
            </w:r>
          </w:p>
        </w:tc>
      </w:tr>
    </w:tbl>
    <w:p/>
    <w:p>
      <w:pPr>
        <w:spacing w:after="160"/>
      </w:pPr>
      <w:r>
        <w:rPr>
          <w:rFonts w:ascii="Times New Roman" w:hAnsi="Times New Roman"/>
          <w:b w:val="0"/>
          <w:sz w:val="36"/>
        </w:rPr>
        <w:t>The supplied documentation cautions that the Revenue vs Brent Price relationship should be treated as association rather than proof of causation. fileciteturn0file0L188-L215</w:t>
      </w:r>
    </w:p>
    <w:p>
      <w:pPr>
        <w:pStyle w:val="Heading2"/>
      </w:pPr>
      <w:r>
        <w:rPr>
          <w:rFonts w:ascii="Times New Roman" w:hAnsi="Times New Roman"/>
          <w:b/>
          <w:sz w:val="44"/>
        </w:rPr>
        <w:t>12.4 Page 4 — Emissions &amp; Decarbonization</w:t>
      </w:r>
    </w:p>
    <w:p>
      <w:pPr>
        <w:spacing w:after="160"/>
      </w:pPr>
      <w:r>
        <w:rPr>
          <w:rFonts w:ascii="Times New Roman" w:hAnsi="Times New Roman"/>
          <w:b w:val="0"/>
          <w:sz w:val="36"/>
        </w:rPr>
        <w:t>Purpose: monitor emissions, emissions composition, regional emissions, targets, and decarbonization priorities.</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KPI / Visual</w:t>
            </w:r>
          </w:p>
        </w:tc>
        <w:tc>
          <w:tcPr>
            <w:tcW w:type="dxa" w:w="4968"/>
            <w:shd w:fill="FFD500"/>
            <w:vAlign w:val="center"/>
          </w:tcPr>
          <w:p>
            <w:r/>
            <w:r>
              <w:rPr>
                <w:rFonts w:ascii="Times New Roman" w:hAnsi="Times New Roman"/>
                <w:b/>
                <w:sz w:val="36"/>
              </w:rPr>
              <w:t>What It Shows</w:t>
            </w:r>
          </w:p>
        </w:tc>
      </w:tr>
      <w:tr>
        <w:tc>
          <w:tcPr>
            <w:tcW w:type="dxa" w:w="4968"/>
            <w:vAlign w:val="center"/>
          </w:tcPr>
          <w:p>
            <w:r/>
            <w:r>
              <w:rPr>
                <w:rFonts w:ascii="Times New Roman" w:hAnsi="Times New Roman"/>
                <w:b w:val="0"/>
                <w:sz w:val="36"/>
              </w:rPr>
              <w:t>Total Emissions — 106.0M</w:t>
            </w:r>
          </w:p>
        </w:tc>
        <w:tc>
          <w:tcPr>
            <w:tcW w:type="dxa" w:w="4968"/>
            <w:vAlign w:val="center"/>
          </w:tcPr>
          <w:p>
            <w:r/>
            <w:r>
              <w:rPr>
                <w:rFonts w:ascii="Times New Roman" w:hAnsi="Times New Roman"/>
                <w:b w:val="0"/>
                <w:sz w:val="36"/>
              </w:rPr>
              <w:t>Overall emissions.</w:t>
            </w:r>
          </w:p>
        </w:tc>
      </w:tr>
      <w:tr>
        <w:tc>
          <w:tcPr>
            <w:tcW w:type="dxa" w:w="4968"/>
            <w:vAlign w:val="center"/>
          </w:tcPr>
          <w:p>
            <w:r/>
            <w:r>
              <w:rPr>
                <w:rFonts w:ascii="Times New Roman" w:hAnsi="Times New Roman"/>
                <w:b w:val="0"/>
                <w:sz w:val="36"/>
              </w:rPr>
              <w:t>Total Scope 1 — 21.7M</w:t>
            </w:r>
          </w:p>
        </w:tc>
        <w:tc>
          <w:tcPr>
            <w:tcW w:type="dxa" w:w="4968"/>
            <w:vAlign w:val="center"/>
          </w:tcPr>
          <w:p>
            <w:r/>
            <w:r>
              <w:rPr>
                <w:rFonts w:ascii="Times New Roman" w:hAnsi="Times New Roman"/>
                <w:b w:val="0"/>
                <w:sz w:val="36"/>
              </w:rPr>
              <w:t>Direct emissions.</w:t>
            </w:r>
          </w:p>
        </w:tc>
      </w:tr>
      <w:tr>
        <w:tc>
          <w:tcPr>
            <w:tcW w:type="dxa" w:w="4968"/>
            <w:vAlign w:val="center"/>
          </w:tcPr>
          <w:p>
            <w:r/>
            <w:r>
              <w:rPr>
                <w:rFonts w:ascii="Times New Roman" w:hAnsi="Times New Roman"/>
                <w:b w:val="0"/>
                <w:sz w:val="36"/>
              </w:rPr>
              <w:t>Total Scope 2 — 7.4M</w:t>
            </w:r>
          </w:p>
        </w:tc>
        <w:tc>
          <w:tcPr>
            <w:tcW w:type="dxa" w:w="4968"/>
            <w:vAlign w:val="center"/>
          </w:tcPr>
          <w:p>
            <w:r/>
            <w:r>
              <w:rPr>
                <w:rFonts w:ascii="Times New Roman" w:hAnsi="Times New Roman"/>
                <w:b w:val="0"/>
                <w:sz w:val="36"/>
              </w:rPr>
              <w:t>Purchased-energy-related indirect emissions.</w:t>
            </w:r>
          </w:p>
        </w:tc>
      </w:tr>
      <w:tr>
        <w:tc>
          <w:tcPr>
            <w:tcW w:type="dxa" w:w="4968"/>
            <w:vAlign w:val="center"/>
          </w:tcPr>
          <w:p>
            <w:r/>
            <w:r>
              <w:rPr>
                <w:rFonts w:ascii="Times New Roman" w:hAnsi="Times New Roman"/>
                <w:b w:val="0"/>
                <w:sz w:val="36"/>
              </w:rPr>
              <w:t>Total Scope 3 — 76.9M</w:t>
            </w:r>
          </w:p>
        </w:tc>
        <w:tc>
          <w:tcPr>
            <w:tcW w:type="dxa" w:w="4968"/>
            <w:vAlign w:val="center"/>
          </w:tcPr>
          <w:p>
            <w:r/>
            <w:r>
              <w:rPr>
                <w:rFonts w:ascii="Times New Roman" w:hAnsi="Times New Roman"/>
                <w:b w:val="0"/>
                <w:sz w:val="36"/>
              </w:rPr>
              <w:t>Other value-chain emissions represented in the model.</w:t>
            </w:r>
          </w:p>
        </w:tc>
      </w:tr>
      <w:tr>
        <w:tc>
          <w:tcPr>
            <w:tcW w:type="dxa" w:w="4968"/>
            <w:vAlign w:val="center"/>
          </w:tcPr>
          <w:p>
            <w:r/>
            <w:r>
              <w:rPr>
                <w:rFonts w:ascii="Times New Roman" w:hAnsi="Times New Roman"/>
                <w:b w:val="0"/>
                <w:sz w:val="36"/>
              </w:rPr>
              <w:t>Emission Intensity — 0.11</w:t>
            </w:r>
          </w:p>
        </w:tc>
        <w:tc>
          <w:tcPr>
            <w:tcW w:type="dxa" w:w="4968"/>
            <w:vAlign w:val="center"/>
          </w:tcPr>
          <w:p>
            <w:r/>
            <w:r>
              <w:rPr>
                <w:rFonts w:ascii="Times New Roman" w:hAnsi="Times New Roman"/>
                <w:b w:val="0"/>
                <w:sz w:val="36"/>
              </w:rPr>
              <w:t>Environmental efficiency KPI.</w:t>
            </w:r>
          </w:p>
        </w:tc>
      </w:tr>
      <w:tr>
        <w:tc>
          <w:tcPr>
            <w:tcW w:type="dxa" w:w="4968"/>
            <w:vAlign w:val="center"/>
          </w:tcPr>
          <w:p>
            <w:r/>
            <w:r>
              <w:rPr>
                <w:rFonts w:ascii="Times New Roman" w:hAnsi="Times New Roman"/>
                <w:b w:val="0"/>
                <w:sz w:val="36"/>
              </w:rPr>
              <w:t>Reduction Target — 12.0%</w:t>
            </w:r>
          </w:p>
        </w:tc>
        <w:tc>
          <w:tcPr>
            <w:tcW w:type="dxa" w:w="4968"/>
            <w:vAlign w:val="center"/>
          </w:tcPr>
          <w:p>
            <w:r/>
            <w:r>
              <w:rPr>
                <w:rFonts w:ascii="Times New Roman" w:hAnsi="Times New Roman"/>
                <w:b w:val="0"/>
                <w:sz w:val="36"/>
              </w:rPr>
              <w:t>Displayed reduction target.</w:t>
            </w:r>
          </w:p>
        </w:tc>
      </w:tr>
      <w:tr>
        <w:tc>
          <w:tcPr>
            <w:tcW w:type="dxa" w:w="4968"/>
            <w:vAlign w:val="center"/>
          </w:tcPr>
          <w:p>
            <w:r/>
            <w:r>
              <w:rPr>
                <w:rFonts w:ascii="Times New Roman" w:hAnsi="Times New Roman"/>
                <w:b w:val="0"/>
                <w:sz w:val="36"/>
              </w:rPr>
              <w:t>Emissions Trend by Scope</w:t>
            </w:r>
          </w:p>
        </w:tc>
        <w:tc>
          <w:tcPr>
            <w:tcW w:type="dxa" w:w="4968"/>
            <w:vAlign w:val="center"/>
          </w:tcPr>
          <w:p>
            <w:r/>
            <w:r>
              <w:rPr>
                <w:rFonts w:ascii="Times New Roman" w:hAnsi="Times New Roman"/>
                <w:b w:val="0"/>
                <w:sz w:val="36"/>
              </w:rPr>
              <w:t>Monthly Scope 1/2/3 movement.</w:t>
            </w:r>
          </w:p>
        </w:tc>
      </w:tr>
      <w:tr>
        <w:tc>
          <w:tcPr>
            <w:tcW w:type="dxa" w:w="4968"/>
            <w:vAlign w:val="center"/>
          </w:tcPr>
          <w:p>
            <w:r/>
            <w:r>
              <w:rPr>
                <w:rFonts w:ascii="Times New Roman" w:hAnsi="Times New Roman"/>
                <w:b w:val="0"/>
                <w:sz w:val="36"/>
              </w:rPr>
              <w:t>Emissions by Region</w:t>
            </w:r>
          </w:p>
        </w:tc>
        <w:tc>
          <w:tcPr>
            <w:tcW w:type="dxa" w:w="4968"/>
            <w:vAlign w:val="center"/>
          </w:tcPr>
          <w:p>
            <w:r/>
            <w:r>
              <w:rPr>
                <w:rFonts w:ascii="Times New Roman" w:hAnsi="Times New Roman"/>
                <w:b w:val="0"/>
                <w:sz w:val="36"/>
              </w:rPr>
              <w:t>Regional emissions; Europe is highest displayed at about 22.8M.</w:t>
            </w:r>
          </w:p>
        </w:tc>
      </w:tr>
      <w:tr>
        <w:tc>
          <w:tcPr>
            <w:tcW w:type="dxa" w:w="4968"/>
            <w:vAlign w:val="center"/>
          </w:tcPr>
          <w:p>
            <w:r/>
            <w:r>
              <w:rPr>
                <w:rFonts w:ascii="Times New Roman" w:hAnsi="Times New Roman"/>
                <w:b w:val="0"/>
                <w:sz w:val="36"/>
              </w:rPr>
              <w:t>Scope 1: Actual vs Target</w:t>
            </w:r>
          </w:p>
        </w:tc>
        <w:tc>
          <w:tcPr>
            <w:tcW w:type="dxa" w:w="4968"/>
            <w:vAlign w:val="center"/>
          </w:tcPr>
          <w:p>
            <w:r/>
            <w:r>
              <w:rPr>
                <w:rFonts w:ascii="Times New Roman" w:hAnsi="Times New Roman"/>
                <w:b w:val="0"/>
                <w:sz w:val="36"/>
              </w:rPr>
              <w:t>Actual performance compared with target.</w:t>
            </w:r>
          </w:p>
        </w:tc>
      </w:tr>
      <w:tr>
        <w:tc>
          <w:tcPr>
            <w:tcW w:type="dxa" w:w="4968"/>
            <w:vAlign w:val="center"/>
          </w:tcPr>
          <w:p>
            <w:r/>
            <w:r>
              <w:rPr>
                <w:rFonts w:ascii="Times New Roman" w:hAnsi="Times New Roman"/>
                <w:b w:val="0"/>
                <w:sz w:val="36"/>
              </w:rPr>
              <w:t>Top 10 Assets by Emissions</w:t>
            </w:r>
          </w:p>
        </w:tc>
        <w:tc>
          <w:tcPr>
            <w:tcW w:type="dxa" w:w="4968"/>
            <w:vAlign w:val="center"/>
          </w:tcPr>
          <w:p>
            <w:r/>
            <w:r>
              <w:rPr>
                <w:rFonts w:ascii="Times New Roman" w:hAnsi="Times New Roman"/>
                <w:b w:val="0"/>
                <w:sz w:val="36"/>
              </w:rPr>
              <w:t>High-emitting assets for prioritization.</w:t>
            </w:r>
          </w:p>
        </w:tc>
      </w:tr>
      <w:tr>
        <w:tc>
          <w:tcPr>
            <w:tcW w:type="dxa" w:w="4968"/>
            <w:vAlign w:val="center"/>
          </w:tcPr>
          <w:p>
            <w:r/>
            <w:r>
              <w:rPr>
                <w:rFonts w:ascii="Times New Roman" w:hAnsi="Times New Roman"/>
                <w:b w:val="0"/>
                <w:sz w:val="36"/>
              </w:rPr>
              <w:t>Emissions Composition</w:t>
            </w:r>
          </w:p>
        </w:tc>
        <w:tc>
          <w:tcPr>
            <w:tcW w:type="dxa" w:w="4968"/>
            <w:vAlign w:val="center"/>
          </w:tcPr>
          <w:p>
            <w:r/>
            <w:r>
              <w:rPr>
                <w:rFonts w:ascii="Times New Roman" w:hAnsi="Times New Roman"/>
                <w:b w:val="0"/>
                <w:sz w:val="36"/>
              </w:rPr>
              <w:t>Emissions mix; Scope 3 is largest displayed.</w:t>
            </w:r>
          </w:p>
        </w:tc>
      </w:tr>
    </w:tbl>
    <w:p/>
    <w:p>
      <w:pPr>
        <w:spacing w:after="160"/>
      </w:pPr>
      <w:r>
        <w:rPr>
          <w:rFonts w:ascii="Times New Roman" w:hAnsi="Times New Roman"/>
          <w:b w:val="0"/>
          <w:sz w:val="36"/>
        </w:rPr>
        <w:t>The key documented insight is that Scope 3 is the dominant displayed emissions category, so decarbonization analysis should consider value-chain and indirect emissions as well as direct operational emissions. fileciteturn0file0L216-L242</w:t>
      </w:r>
    </w:p>
    <w:p>
      <w:pPr>
        <w:pStyle w:val="Heading2"/>
      </w:pPr>
      <w:r>
        <w:rPr>
          <w:rFonts w:ascii="Times New Roman" w:hAnsi="Times New Roman"/>
          <w:b/>
          <w:sz w:val="44"/>
        </w:rPr>
        <w:t>12.5 Page 5 — Scenario Analysis</w:t>
      </w:r>
    </w:p>
    <w:p>
      <w:pPr>
        <w:spacing w:after="160"/>
      </w:pPr>
      <w:r>
        <w:rPr>
          <w:rFonts w:ascii="Times New Roman" w:hAnsi="Times New Roman"/>
          <w:b w:val="0"/>
          <w:sz w:val="36"/>
        </w:rPr>
        <w:t>Purpose: compare alternative scenarios and understand trade-offs between oil price, production growth, revenue, emissions, and renewable share.</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Pr>
                <w:rFonts w:ascii="Times New Roman" w:hAnsi="Times New Roman"/>
                <w:sz w:val="36"/>
              </w:rPr>
            </w:r>
            <w:r>
              <w:rPr>
                <w:rFonts w:ascii="Times New Roman" w:hAnsi="Times New Roman"/>
                <w:b/>
                <w:sz w:val="36"/>
              </w:rPr>
              <w:t>KPI / Visual</w:t>
            </w:r>
          </w:p>
        </w:tc>
        <w:tc>
          <w:tcPr>
            <w:tcW w:type="dxa" w:w="4968"/>
            <w:shd w:fill="FFD500"/>
            <w:vAlign w:val="center"/>
          </w:tcPr>
          <w:p>
            <w:r>
              <w:rPr>
                <w:rFonts w:ascii="Times New Roman" w:hAnsi="Times New Roman"/>
                <w:sz w:val="36"/>
              </w:rPr>
            </w:r>
            <w:r>
              <w:rPr>
                <w:rFonts w:ascii="Times New Roman" w:hAnsi="Times New Roman"/>
                <w:b/>
                <w:sz w:val="36"/>
              </w:rPr>
              <w:t>What It Shows</w:t>
            </w:r>
          </w:p>
        </w:tc>
      </w:tr>
      <w:tr>
        <w:tc>
          <w:tcPr>
            <w:tcW w:type="dxa" w:w="4968"/>
            <w:vAlign w:val="center"/>
          </w:tcPr>
          <w:p>
            <w:r>
              <w:rPr>
                <w:rFonts w:ascii="Times New Roman" w:hAnsi="Times New Roman"/>
                <w:sz w:val="36"/>
              </w:rPr>
            </w:r>
            <w:r>
              <w:rPr>
                <w:rFonts w:ascii="Times New Roman" w:hAnsi="Times New Roman"/>
                <w:b w:val="0"/>
                <w:sz w:val="36"/>
              </w:rPr>
              <w:t>Oil Price — 95</w:t>
            </w:r>
          </w:p>
        </w:tc>
        <w:tc>
          <w:tcPr>
            <w:tcW w:type="dxa" w:w="4968"/>
            <w:vAlign w:val="center"/>
          </w:tcPr>
          <w:p>
            <w:r>
              <w:rPr>
                <w:rFonts w:ascii="Times New Roman" w:hAnsi="Times New Roman"/>
                <w:sz w:val="36"/>
              </w:rPr>
            </w:r>
            <w:r>
              <w:rPr>
                <w:rFonts w:ascii="Times New Roman" w:hAnsi="Times New Roman"/>
                <w:b w:val="0"/>
                <w:sz w:val="36"/>
              </w:rPr>
              <w:t>Selected scenario oil-price assumption.</w:t>
            </w:r>
          </w:p>
        </w:tc>
      </w:tr>
      <w:tr>
        <w:tc>
          <w:tcPr>
            <w:tcW w:type="dxa" w:w="4968"/>
            <w:vAlign w:val="center"/>
          </w:tcPr>
          <w:p>
            <w:r>
              <w:rPr>
                <w:rFonts w:ascii="Times New Roman" w:hAnsi="Times New Roman"/>
                <w:sz w:val="36"/>
              </w:rPr>
            </w:r>
            <w:r>
              <w:rPr>
                <w:rFonts w:ascii="Times New Roman" w:hAnsi="Times New Roman"/>
                <w:b w:val="0"/>
                <w:sz w:val="36"/>
              </w:rPr>
              <w:t>Production Growth — 8%</w:t>
            </w:r>
          </w:p>
        </w:tc>
        <w:tc>
          <w:tcPr>
            <w:tcW w:type="dxa" w:w="4968"/>
            <w:vAlign w:val="center"/>
          </w:tcPr>
          <w:p>
            <w:r>
              <w:rPr>
                <w:rFonts w:ascii="Times New Roman" w:hAnsi="Times New Roman"/>
                <w:sz w:val="36"/>
              </w:rPr>
            </w:r>
            <w:r>
              <w:rPr>
                <w:rFonts w:ascii="Times New Roman" w:hAnsi="Times New Roman"/>
                <w:b w:val="0"/>
                <w:sz w:val="36"/>
              </w:rPr>
              <w:t>Selected scenario production-growth assumption.</w:t>
            </w:r>
          </w:p>
        </w:tc>
      </w:tr>
      <w:tr>
        <w:tc>
          <w:tcPr>
            <w:tcW w:type="dxa" w:w="4968"/>
            <w:vAlign w:val="center"/>
          </w:tcPr>
          <w:p>
            <w:r>
              <w:rPr>
                <w:rFonts w:ascii="Times New Roman" w:hAnsi="Times New Roman"/>
                <w:sz w:val="36"/>
              </w:rPr>
              <w:t>Revenue Growth% — 30%</w:t>
            </w:r>
          </w:p>
        </w:tc>
        <w:tc>
          <w:tcPr>
            <w:tcW w:type="dxa" w:w="4968"/>
            <w:vAlign w:val="center"/>
          </w:tcPr>
          <w:p>
            <w:r>
              <w:rPr>
                <w:rFonts w:ascii="Times New Roman" w:hAnsi="Times New Roman"/>
                <w:sz w:val="36"/>
              </w:rPr>
              <w:t>Displayed scenario KPI label in the PBIX; the visual is driven by the Scenario Renewable Share % measure.</w:t>
            </w:r>
          </w:p>
        </w:tc>
      </w:tr>
      <w:tr>
        <w:tc>
          <w:tcPr>
            <w:tcW w:type="dxa" w:w="4968"/>
            <w:vAlign w:val="center"/>
          </w:tcPr>
          <w:p>
            <w:r>
              <w:rPr>
                <w:rFonts w:ascii="Times New Roman" w:hAnsi="Times New Roman"/>
                <w:sz w:val="36"/>
              </w:rPr>
            </w:r>
            <w:r>
              <w:rPr>
                <w:rFonts w:ascii="Times New Roman" w:hAnsi="Times New Roman"/>
                <w:b w:val="0"/>
                <w:sz w:val="36"/>
              </w:rPr>
              <w:t>Expected Production — 1027M</w:t>
            </w:r>
          </w:p>
        </w:tc>
        <w:tc>
          <w:tcPr>
            <w:tcW w:type="dxa" w:w="4968"/>
            <w:vAlign w:val="center"/>
          </w:tcPr>
          <w:p>
            <w:r>
              <w:rPr>
                <w:rFonts w:ascii="Times New Roman" w:hAnsi="Times New Roman"/>
                <w:sz w:val="36"/>
              </w:rPr>
            </w:r>
            <w:r>
              <w:rPr>
                <w:rFonts w:ascii="Times New Roman" w:hAnsi="Times New Roman"/>
                <w:b w:val="0"/>
                <w:sz w:val="36"/>
              </w:rPr>
              <w:t>Scenario expected production.</w:t>
            </w:r>
          </w:p>
        </w:tc>
      </w:tr>
      <w:tr>
        <w:tc>
          <w:tcPr>
            <w:tcW w:type="dxa" w:w="4968"/>
            <w:vAlign w:val="center"/>
          </w:tcPr>
          <w:p>
            <w:r>
              <w:rPr>
                <w:rFonts w:ascii="Times New Roman" w:hAnsi="Times New Roman"/>
                <w:sz w:val="36"/>
              </w:rPr>
            </w:r>
            <w:r>
              <w:rPr>
                <w:rFonts w:ascii="Times New Roman" w:hAnsi="Times New Roman"/>
                <w:b w:val="0"/>
                <w:sz w:val="36"/>
              </w:rPr>
              <w:t>Expected Revenue — 117.8bn</w:t>
            </w:r>
          </w:p>
        </w:tc>
        <w:tc>
          <w:tcPr>
            <w:tcW w:type="dxa" w:w="4968"/>
            <w:vAlign w:val="center"/>
          </w:tcPr>
          <w:p>
            <w:r>
              <w:rPr>
                <w:rFonts w:ascii="Times New Roman" w:hAnsi="Times New Roman"/>
                <w:sz w:val="36"/>
              </w:rPr>
            </w:r>
            <w:r>
              <w:rPr>
                <w:rFonts w:ascii="Times New Roman" w:hAnsi="Times New Roman"/>
                <w:b w:val="0"/>
                <w:sz w:val="36"/>
              </w:rPr>
              <w:t>Scenario expected revenue.</w:t>
            </w:r>
          </w:p>
        </w:tc>
      </w:tr>
      <w:tr>
        <w:tc>
          <w:tcPr>
            <w:tcW w:type="dxa" w:w="4968"/>
            <w:vAlign w:val="center"/>
          </w:tcPr>
          <w:p>
            <w:r>
              <w:rPr>
                <w:rFonts w:ascii="Times New Roman" w:hAnsi="Times New Roman"/>
                <w:sz w:val="36"/>
              </w:rPr>
            </w:r>
            <w:r>
              <w:rPr>
                <w:rFonts w:ascii="Times New Roman" w:hAnsi="Times New Roman"/>
                <w:b w:val="0"/>
                <w:sz w:val="36"/>
              </w:rPr>
              <w:t>Expected Emissions — 116.8M</w:t>
            </w:r>
          </w:p>
        </w:tc>
        <w:tc>
          <w:tcPr>
            <w:tcW w:type="dxa" w:w="4968"/>
            <w:vAlign w:val="center"/>
          </w:tcPr>
          <w:p>
            <w:r>
              <w:rPr>
                <w:rFonts w:ascii="Times New Roman" w:hAnsi="Times New Roman"/>
                <w:sz w:val="36"/>
              </w:rPr>
            </w:r>
            <w:r>
              <w:rPr>
                <w:rFonts w:ascii="Times New Roman" w:hAnsi="Times New Roman"/>
                <w:b w:val="0"/>
                <w:sz w:val="36"/>
              </w:rPr>
              <w:t>Scenario expected emissions.</w:t>
            </w:r>
          </w:p>
        </w:tc>
      </w:tr>
      <w:tr>
        <w:tc>
          <w:tcPr>
            <w:tcW w:type="dxa" w:w="4968"/>
            <w:vAlign w:val="center"/>
          </w:tcPr>
          <w:p>
            <w:r>
              <w:rPr>
                <w:rFonts w:ascii="Times New Roman" w:hAnsi="Times New Roman"/>
                <w:sz w:val="36"/>
              </w:rPr>
            </w:r>
            <w:r>
              <w:rPr>
                <w:rFonts w:ascii="Times New Roman" w:hAnsi="Times New Roman"/>
                <w:b w:val="0"/>
                <w:sz w:val="36"/>
              </w:rPr>
              <w:t>Oil Price by Scenario</w:t>
            </w:r>
          </w:p>
        </w:tc>
        <w:tc>
          <w:tcPr>
            <w:tcW w:type="dxa" w:w="4968"/>
            <w:vAlign w:val="center"/>
          </w:tcPr>
          <w:p>
            <w:r>
              <w:rPr>
                <w:rFonts w:ascii="Times New Roman" w:hAnsi="Times New Roman"/>
                <w:sz w:val="36"/>
              </w:rPr>
            </w:r>
            <w:r>
              <w:rPr>
                <w:rFonts w:ascii="Times New Roman" w:hAnsi="Times New Roman"/>
                <w:b w:val="0"/>
                <w:sz w:val="36"/>
              </w:rPr>
              <w:t>Comparison of oil-price assumptions.</w:t>
            </w:r>
          </w:p>
        </w:tc>
      </w:tr>
      <w:tr>
        <w:tc>
          <w:tcPr>
            <w:tcW w:type="dxa" w:w="4968"/>
            <w:vAlign w:val="center"/>
          </w:tcPr>
          <w:p>
            <w:r>
              <w:rPr>
                <w:rFonts w:ascii="Times New Roman" w:hAnsi="Times New Roman"/>
                <w:sz w:val="36"/>
              </w:rPr>
              <w:t>Emissions by Scenario</w:t>
            </w:r>
          </w:p>
        </w:tc>
        <w:tc>
          <w:tcPr>
            <w:tcW w:type="dxa" w:w="4968"/>
            <w:vAlign w:val="center"/>
          </w:tcPr>
          <w:p>
            <w:r>
              <w:rPr>
                <w:rFonts w:ascii="Times New Roman" w:hAnsi="Times New Roman"/>
                <w:sz w:val="36"/>
              </w:rPr>
              <w:t>PBIX visual title; the visual currently plots average scenario production growth percentage (production_growth_pct).</w:t>
            </w:r>
          </w:p>
        </w:tc>
      </w:tr>
      <w:tr>
        <w:tc>
          <w:tcPr>
            <w:tcW w:type="dxa" w:w="4968"/>
            <w:vAlign w:val="center"/>
          </w:tcPr>
          <w:p>
            <w:r>
              <w:rPr>
                <w:rFonts w:ascii="Times New Roman" w:hAnsi="Times New Roman"/>
                <w:sz w:val="36"/>
              </w:rPr>
            </w:r>
            <w:r>
              <w:rPr>
                <w:rFonts w:ascii="Times New Roman" w:hAnsi="Times New Roman"/>
                <w:b w:val="0"/>
                <w:sz w:val="36"/>
              </w:rPr>
              <w:t>Renewable Share % by Scenario</w:t>
            </w:r>
          </w:p>
        </w:tc>
        <w:tc>
          <w:tcPr>
            <w:tcW w:type="dxa" w:w="4968"/>
            <w:vAlign w:val="center"/>
          </w:tcPr>
          <w:p>
            <w:r>
              <w:rPr>
                <w:rFonts w:ascii="Times New Roman" w:hAnsi="Times New Roman"/>
                <w:sz w:val="36"/>
              </w:rPr>
            </w:r>
            <w:r>
              <w:rPr>
                <w:rFonts w:ascii="Times New Roman" w:hAnsi="Times New Roman"/>
                <w:b w:val="0"/>
                <w:sz w:val="36"/>
              </w:rPr>
              <w:t>Transition-intensity comparison; Accelerated Transition = 30%.</w:t>
            </w:r>
          </w:p>
        </w:tc>
      </w:tr>
      <w:tr>
        <w:tc>
          <w:tcPr>
            <w:tcW w:type="dxa" w:w="4968"/>
            <w:vAlign w:val="center"/>
          </w:tcPr>
          <w:p>
            <w:r>
              <w:rPr>
                <w:rFonts w:ascii="Times New Roman" w:hAnsi="Times New Roman"/>
                <w:sz w:val="36"/>
              </w:rPr>
            </w:r>
            <w:r>
              <w:rPr>
                <w:rFonts w:ascii="Times New Roman" w:hAnsi="Times New Roman"/>
                <w:b w:val="0"/>
                <w:sz w:val="36"/>
              </w:rPr>
              <w:t>Expected Revenue by Scenario</w:t>
            </w:r>
          </w:p>
        </w:tc>
        <w:tc>
          <w:tcPr>
            <w:tcW w:type="dxa" w:w="4968"/>
            <w:vAlign w:val="center"/>
          </w:tcPr>
          <w:p>
            <w:r>
              <w:rPr>
                <w:rFonts w:ascii="Times New Roman" w:hAnsi="Times New Roman"/>
                <w:sz w:val="36"/>
              </w:rPr>
            </w:r>
            <w:r>
              <w:rPr>
                <w:rFonts w:ascii="Times New Roman" w:hAnsi="Times New Roman"/>
                <w:b w:val="0"/>
                <w:sz w:val="36"/>
              </w:rPr>
              <w:t>Expected revenue comparison.</w:t>
            </w:r>
          </w:p>
        </w:tc>
      </w:tr>
      <w:tr>
        <w:tc>
          <w:tcPr>
            <w:tcW w:type="dxa" w:w="4968"/>
            <w:vAlign w:val="center"/>
          </w:tcPr>
          <w:p>
            <w:r>
              <w:rPr>
                <w:rFonts w:ascii="Times New Roman" w:hAnsi="Times New Roman"/>
                <w:sz w:val="36"/>
              </w:rPr>
            </w:r>
            <w:r>
              <w:rPr>
                <w:rFonts w:ascii="Times New Roman" w:hAnsi="Times New Roman"/>
                <w:b w:val="0"/>
                <w:sz w:val="36"/>
              </w:rPr>
              <w:t>Expected Emissions by Scenario</w:t>
            </w:r>
          </w:p>
        </w:tc>
        <w:tc>
          <w:tcPr>
            <w:tcW w:type="dxa" w:w="4968"/>
            <w:vAlign w:val="center"/>
          </w:tcPr>
          <w:p>
            <w:r>
              <w:rPr>
                <w:rFonts w:ascii="Times New Roman" w:hAnsi="Times New Roman"/>
                <w:sz w:val="36"/>
              </w:rPr>
            </w:r>
            <w:r>
              <w:rPr>
                <w:rFonts w:ascii="Times New Roman" w:hAnsi="Times New Roman"/>
                <w:b w:val="0"/>
                <w:sz w:val="36"/>
              </w:rPr>
              <w:t>Expected emissions comparison.</w:t>
            </w:r>
          </w:p>
        </w:tc>
      </w:tr>
      <w:tr>
        <w:tc>
          <w:tcPr>
            <w:tcW w:type="dxa" w:w="4968"/>
            <w:vAlign w:val="center"/>
          </w:tcPr>
          <w:p>
            <w:r>
              <w:rPr>
                <w:rFonts w:ascii="Times New Roman" w:hAnsi="Times New Roman"/>
                <w:sz w:val="36"/>
              </w:rPr>
            </w:r>
            <w:r>
              <w:rPr>
                <w:rFonts w:ascii="Times New Roman" w:hAnsi="Times New Roman"/>
                <w:b w:val="0"/>
                <w:sz w:val="36"/>
              </w:rPr>
              <w:t>Scenario Summary</w:t>
            </w:r>
          </w:p>
        </w:tc>
        <w:tc>
          <w:tcPr>
            <w:tcW w:type="dxa" w:w="4968"/>
            <w:vAlign w:val="center"/>
          </w:tcPr>
          <w:p>
            <w:r>
              <w:rPr>
                <w:rFonts w:ascii="Times New Roman" w:hAnsi="Times New Roman"/>
                <w:sz w:val="36"/>
              </w:rPr>
            </w:r>
            <w:r>
              <w:rPr>
                <w:rFonts w:ascii="Times New Roman" w:hAnsi="Times New Roman"/>
                <w:b w:val="0"/>
                <w:sz w:val="36"/>
              </w:rPr>
              <w:t>Production-growth and renewable-share comparison.</w:t>
            </w:r>
          </w:p>
        </w:tc>
      </w:tr>
    </w:tbl>
    <w:p>
      <w:r>
        <w:rPr>
          <w:rFonts w:ascii="Times New Roman" w:hAnsi="Times New Roman"/>
          <w:sz w:val="36"/>
        </w:rPr>
        <w:t>PBIX alignment note: two Scenario Analysis visuals retain their existing Power BI labels while using different underlying fields/measures. This document describes the report as-built rather than changing the dashboard.</w:t>
      </w:r>
    </w:p>
    <w:p>
      <w:pPr>
        <w:spacing w:after="160"/>
      </w:pPr>
      <w:r>
        <w:t>Documented scenario assumptions include Accelerated Transition (1% production growth, 30% renewable share), Base (3%, 10%), Growth Scenario (8%, 15%), High Oil Price (5%, 12%), and Low Oil Price (-2%, 15%). The documentation records the Scenario Analysis page exactly as configured in the supplied PBIX; no Power BI changes are assumed.</w:t>
      </w:r>
    </w:p>
    <w:p>
      <w:pPr>
        <w:pStyle w:val="Heading1"/>
      </w:pPr>
      <w:r>
        <w:rPr>
          <w:rFonts w:ascii="Times New Roman" w:hAnsi="Times New Roman"/>
          <w:b/>
          <w:sz w:val="44"/>
        </w:rPr>
        <w:t>13. Filters &amp; Slicers</w:t>
      </w:r>
    </w:p>
    <w:p>
      <w:pPr>
        <w:spacing w:after="160"/>
      </w:pPr>
      <w:r>
        <w:rPr>
          <w:rFonts w:ascii="Times New Roman" w:hAnsi="Times New Roman"/>
          <w:b w:val="0"/>
          <w:sz w:val="36"/>
        </w:rPr>
        <w:t>Filters and slicers allow users to change the analytical context without creating separate reports.</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Pr>
                <w:rFonts w:ascii="Times New Roman" w:hAnsi="Times New Roman"/>
                <w:sz w:val="36"/>
              </w:rPr>
            </w:r>
            <w:r>
              <w:rPr>
                <w:rFonts w:ascii="Times New Roman" w:hAnsi="Times New Roman"/>
                <w:b/>
                <w:sz w:val="36"/>
              </w:rPr>
              <w:t>Filter / Interaction</w:t>
            </w:r>
          </w:p>
        </w:tc>
        <w:tc>
          <w:tcPr>
            <w:tcW w:type="dxa" w:w="4968"/>
            <w:shd w:fill="FFD500"/>
            <w:vAlign w:val="center"/>
          </w:tcPr>
          <w:p>
            <w:r>
              <w:rPr>
                <w:rFonts w:ascii="Times New Roman" w:hAnsi="Times New Roman"/>
                <w:sz w:val="36"/>
              </w:rPr>
            </w:r>
            <w:r>
              <w:rPr>
                <w:rFonts w:ascii="Times New Roman" w:hAnsi="Times New Roman"/>
                <w:b/>
                <w:sz w:val="36"/>
              </w:rPr>
              <w:t>Purpose</w:t>
            </w:r>
          </w:p>
        </w:tc>
      </w:tr>
      <w:tr>
        <w:tc>
          <w:tcPr>
            <w:tcW w:type="dxa" w:w="4968"/>
            <w:vAlign w:val="center"/>
          </w:tcPr>
          <w:p>
            <w:r>
              <w:rPr>
                <w:rFonts w:ascii="Times New Roman" w:hAnsi="Times New Roman"/>
                <w:sz w:val="36"/>
              </w:rPr>
            </w:r>
            <w:r>
              <w:rPr>
                <w:rFonts w:ascii="Times New Roman" w:hAnsi="Times New Roman"/>
                <w:b w:val="0"/>
                <w:sz w:val="36"/>
              </w:rPr>
              <w:t>Scenario</w:t>
            </w:r>
          </w:p>
        </w:tc>
        <w:tc>
          <w:tcPr>
            <w:tcW w:type="dxa" w:w="4968"/>
            <w:vAlign w:val="center"/>
          </w:tcPr>
          <w:p>
            <w:r>
              <w:rPr>
                <w:rFonts w:ascii="Times New Roman" w:hAnsi="Times New Roman"/>
                <w:sz w:val="36"/>
              </w:rPr>
              <w:t>Scenario slicer on the Scenario Analysis page; changes the selected scenario context.</w:t>
            </w:r>
          </w:p>
        </w:tc>
      </w:tr>
      <w:tr>
        <w:tc>
          <w:tcPr>
            <w:tcW w:type="dxa" w:w="4968"/>
            <w:vAlign w:val="center"/>
          </w:tcPr>
          <w:p>
            <w:r>
              <w:rPr>
                <w:rFonts w:ascii="Times New Roman" w:hAnsi="Times New Roman"/>
                <w:sz w:val="36"/>
              </w:rPr>
            </w:r>
            <w:r>
              <w:rPr>
                <w:rFonts w:ascii="Times New Roman" w:hAnsi="Times New Roman"/>
                <w:b w:val="0"/>
                <w:sz w:val="36"/>
              </w:rPr>
              <w:t>Year</w:t>
            </w:r>
          </w:p>
        </w:tc>
        <w:tc>
          <w:tcPr>
            <w:tcW w:type="dxa" w:w="4968"/>
            <w:vAlign w:val="center"/>
          </w:tcPr>
          <w:p>
            <w:r>
              <w:rPr>
                <w:rFonts w:ascii="Times New Roman" w:hAnsi="Times New Roman"/>
                <w:sz w:val="36"/>
              </w:rPr>
              <w:t>Year slicer on the Emissions &amp; Decarbonization page; supports year-specific emissions analysis.</w:t>
            </w:r>
          </w:p>
        </w:tc>
      </w:tr>
      <w:tr>
        <w:tc>
          <w:tcPr>
            <w:tcW w:type="dxa" w:w="4968"/>
            <w:vAlign w:val="center"/>
          </w:tcPr>
          <w:p>
            <w:r>
              <w:rPr>
                <w:rFonts w:ascii="Times New Roman" w:hAnsi="Times New Roman"/>
                <w:sz w:val="36"/>
              </w:rPr>
            </w:r>
            <w:r>
              <w:rPr>
                <w:rFonts w:ascii="Times New Roman" w:hAnsi="Times New Roman"/>
                <w:b w:val="0"/>
                <w:sz w:val="36"/>
              </w:rPr>
              <w:t>Region</w:t>
            </w:r>
          </w:p>
        </w:tc>
        <w:tc>
          <w:tcPr>
            <w:tcW w:type="dxa" w:w="4968"/>
            <w:vAlign w:val="center"/>
          </w:tcPr>
          <w:p>
            <w:r>
              <w:rPr>
                <w:rFonts w:ascii="Times New Roman" w:hAnsi="Times New Roman"/>
                <w:sz w:val="36"/>
              </w:rPr>
              <w:t>Region is used in report visuals for regional analysis and visual interaction.</w:t>
            </w:r>
          </w:p>
        </w:tc>
      </w:tr>
      <w:tr>
        <w:tc>
          <w:tcPr>
            <w:tcW w:type="dxa" w:w="4968"/>
            <w:vAlign w:val="center"/>
          </w:tcPr>
          <w:p>
            <w:r>
              <w:rPr>
                <w:rFonts w:ascii="Times New Roman" w:hAnsi="Times New Roman"/>
                <w:sz w:val="36"/>
              </w:rPr>
            </w:r>
            <w:r>
              <w:rPr>
                <w:rFonts w:ascii="Times New Roman" w:hAnsi="Times New Roman"/>
                <w:b w:val="0"/>
                <w:sz w:val="36"/>
              </w:rPr>
              <w:t>Asset</w:t>
            </w:r>
          </w:p>
        </w:tc>
        <w:tc>
          <w:tcPr>
            <w:tcW w:type="dxa" w:w="4968"/>
            <w:vAlign w:val="center"/>
          </w:tcPr>
          <w:p>
            <w:r>
              <w:rPr>
                <w:rFonts w:ascii="Times New Roman" w:hAnsi="Times New Roman"/>
                <w:sz w:val="36"/>
              </w:rPr>
              <w:t>Asset is used in report visuals for asset-level analysis and visual interaction.</w:t>
            </w:r>
          </w:p>
        </w:tc>
      </w:tr>
      <w:tr>
        <w:tc>
          <w:tcPr>
            <w:tcW w:type="dxa" w:w="4968"/>
            <w:vAlign w:val="center"/>
          </w:tcPr>
          <w:p>
            <w:r>
              <w:rPr>
                <w:rFonts w:ascii="Times New Roman" w:hAnsi="Times New Roman"/>
                <w:sz w:val="36"/>
              </w:rPr>
            </w:r>
            <w:r>
              <w:rPr>
                <w:rFonts w:ascii="Times New Roman" w:hAnsi="Times New Roman"/>
                <w:b w:val="0"/>
                <w:sz w:val="36"/>
              </w:rPr>
              <w:t>Segment</w:t>
            </w:r>
          </w:p>
        </w:tc>
        <w:tc>
          <w:tcPr>
            <w:tcW w:type="dxa" w:w="4968"/>
            <w:vAlign w:val="center"/>
          </w:tcPr>
          <w:p>
            <w:r>
              <w:rPr>
                <w:rFonts w:ascii="Times New Roman" w:hAnsi="Times New Roman"/>
                <w:sz w:val="36"/>
              </w:rPr>
              <w:t>Segment is used in financial visuals for segment analysis and visual interaction.</w:t>
            </w:r>
          </w:p>
        </w:tc>
      </w:tr>
      <w:tr>
        <w:tc>
          <w:tcPr>
            <w:tcW w:type="dxa" w:w="4968"/>
            <w:vAlign w:val="center"/>
          </w:tcPr>
          <w:p>
            <w:r>
              <w:rPr>
                <w:rFonts w:ascii="Times New Roman" w:hAnsi="Times New Roman"/>
                <w:sz w:val="36"/>
              </w:rPr>
            </w:r>
            <w:r>
              <w:rPr>
                <w:rFonts w:ascii="Times New Roman" w:hAnsi="Times New Roman"/>
                <w:b w:val="0"/>
                <w:sz w:val="36"/>
              </w:rPr>
              <w:t>Visual Cross-filtering</w:t>
            </w:r>
          </w:p>
        </w:tc>
        <w:tc>
          <w:tcPr>
            <w:tcW w:type="dxa" w:w="4968"/>
            <w:vAlign w:val="center"/>
          </w:tcPr>
          <w:p>
            <w:r>
              <w:rPr>
                <w:rFonts w:ascii="Times New Roman" w:hAnsi="Times New Roman"/>
                <w:sz w:val="36"/>
              </w:rPr>
            </w:r>
            <w:r>
              <w:rPr>
                <w:rFonts w:ascii="Times New Roman" w:hAnsi="Times New Roman"/>
                <w:b w:val="0"/>
                <w:sz w:val="36"/>
              </w:rPr>
              <w:t>Selections can affect related visuals according to interaction settings.</w:t>
            </w:r>
          </w:p>
        </w:tc>
      </w:tr>
      <w:tr>
        <w:tc>
          <w:tcPr>
            <w:tcW w:type="dxa" w:w="4968"/>
            <w:vAlign w:val="center"/>
          </w:tcPr>
          <w:p>
            <w:r>
              <w:rPr>
                <w:rFonts w:ascii="Times New Roman" w:hAnsi="Times New Roman"/>
                <w:sz w:val="36"/>
              </w:rPr>
            </w:r>
            <w:r>
              <w:rPr>
                <w:rFonts w:ascii="Times New Roman" w:hAnsi="Times New Roman"/>
                <w:b w:val="0"/>
                <w:sz w:val="36"/>
              </w:rPr>
              <w:t>Tooltips</w:t>
            </w:r>
          </w:p>
        </w:tc>
        <w:tc>
          <w:tcPr>
            <w:tcW w:type="dxa" w:w="4968"/>
            <w:vAlign w:val="center"/>
          </w:tcPr>
          <w:p>
            <w:r>
              <w:rPr>
                <w:rFonts w:ascii="Times New Roman" w:hAnsi="Times New Roman"/>
                <w:sz w:val="36"/>
              </w:rPr>
            </w:r>
            <w:r>
              <w:rPr>
                <w:rFonts w:ascii="Times New Roman" w:hAnsi="Times New Roman"/>
                <w:b w:val="0"/>
                <w:sz w:val="36"/>
              </w:rPr>
              <w:t>Provide additional detail without overcrowding the report.</w:t>
            </w:r>
          </w:p>
        </w:tc>
      </w:tr>
      <w:tr>
        <w:tc>
          <w:tcPr>
            <w:tcW w:type="dxa" w:w="4968"/>
            <w:vAlign w:val="center"/>
          </w:tcPr>
          <w:p>
            <w:r>
              <w:rPr>
                <w:rFonts w:ascii="Times New Roman" w:hAnsi="Times New Roman"/>
                <w:sz w:val="36"/>
              </w:rPr>
            </w:r>
            <w:r>
              <w:rPr>
                <w:rFonts w:ascii="Times New Roman" w:hAnsi="Times New Roman"/>
                <w:b w:val="0"/>
                <w:sz w:val="36"/>
              </w:rPr>
              <w:t>Page Navigation</w:t>
            </w:r>
          </w:p>
        </w:tc>
        <w:tc>
          <w:tcPr>
            <w:tcW w:type="dxa" w:w="4968"/>
            <w:vAlign w:val="center"/>
          </w:tcPr>
          <w:p>
            <w:r>
              <w:rPr>
                <w:rFonts w:ascii="Times New Roman" w:hAnsi="Times New Roman"/>
                <w:sz w:val="36"/>
              </w:rPr>
            </w:r>
            <w:r>
              <w:rPr>
                <w:rFonts w:ascii="Times New Roman" w:hAnsi="Times New Roman"/>
                <w:b w:val="0"/>
                <w:sz w:val="36"/>
              </w:rPr>
              <w:t>Left-side buttons move between the five pages.</w:t>
            </w:r>
          </w:p>
        </w:tc>
      </w:tr>
    </w:tbl>
    <w:p/>
    <w:p>
      <w:pPr>
        <w:spacing w:after="160"/>
      </w:pPr>
      <w:r>
        <w:t>The supplied PBIX contains two actual slicer visuals: Scenario on the Scenario Analysis page and Year on the Emissions &amp; Decarbonization page. Other dimensions such as region, asset, and segment are used in report visuals and can participate in visual cross-filtering, but they are not configured as standalone slicer visuals in the supplied PBIX.</w:t>
      </w:r>
    </w:p>
    <w:p>
      <w:pPr>
        <w:pStyle w:val="Heading1"/>
      </w:pPr>
      <w:r>
        <w:rPr>
          <w:rFonts w:ascii="Times New Roman" w:hAnsi="Times New Roman"/>
          <w:b/>
          <w:sz w:val="44"/>
        </w:rPr>
        <w:t>14. Key Insights</w:t>
      </w:r>
    </w:p>
    <w:p>
      <w:pPr>
        <w:pStyle w:val="Heading2"/>
      </w:pPr>
      <w:r>
        <w:rPr>
          <w:rFonts w:ascii="Times New Roman" w:hAnsi="Times New Roman"/>
          <w:b/>
          <w:sz w:val="44"/>
        </w:rPr>
        <w:t>14.1 Operational Insights</w:t>
      </w:r>
    </w:p>
    <w:p>
      <w:pPr>
        <w:pStyle w:val="ListBullet"/>
        <w:spacing w:after="80"/>
      </w:pPr>
      <w:r>
        <w:rPr>
          <w:rFonts w:ascii="Times New Roman" w:hAnsi="Times New Roman"/>
          <w:b w:val="0"/>
          <w:sz w:val="36"/>
        </w:rPr>
        <w:t>Europe is the highest displayed production region at approximately 204M.</w:t>
      </w:r>
    </w:p>
    <w:p>
      <w:pPr>
        <w:pStyle w:val="ListBullet"/>
        <w:spacing w:after="80"/>
      </w:pPr>
      <w:r>
        <w:rPr>
          <w:rFonts w:ascii="Times New Roman" w:hAnsi="Times New Roman"/>
          <w:b w:val="0"/>
          <w:sz w:val="36"/>
        </w:rPr>
        <w:t>Production varies by month, making trend monitoring useful for identifying peaks and low-output periods.</w:t>
      </w:r>
    </w:p>
    <w:p>
      <w:pPr>
        <w:pStyle w:val="ListBullet"/>
        <w:spacing w:after="80"/>
      </w:pPr>
      <w:r>
        <w:rPr>
          <w:rFonts w:ascii="Times New Roman" w:hAnsi="Times New Roman"/>
          <w:b w:val="0"/>
          <w:sz w:val="36"/>
        </w:rPr>
        <w:t>Corrective maintenance is a major displayed downtime category and the highest displayed maintenance-cost category.</w:t>
      </w:r>
    </w:p>
    <w:p>
      <w:pPr>
        <w:pStyle w:val="ListBullet"/>
        <w:spacing w:after="80"/>
      </w:pPr>
      <w:r>
        <w:rPr>
          <w:rFonts w:ascii="Times New Roman" w:hAnsi="Times New Roman"/>
          <w:b w:val="0"/>
          <w:sz w:val="36"/>
        </w:rPr>
        <w:t>High-downtime assets can be prioritized for reliability and root-cause analysis.</w:t>
      </w:r>
    </w:p>
    <w:p>
      <w:pPr>
        <w:pStyle w:val="Heading2"/>
      </w:pPr>
      <w:r>
        <w:rPr>
          <w:rFonts w:ascii="Times New Roman" w:hAnsi="Times New Roman"/>
          <w:b/>
          <w:sz w:val="44"/>
        </w:rPr>
        <w:t>14.2 Financial Insights</w:t>
      </w:r>
    </w:p>
    <w:p>
      <w:pPr>
        <w:pStyle w:val="ListBullet"/>
        <w:spacing w:after="80"/>
      </w:pPr>
      <w:r>
        <w:rPr>
          <w:rFonts w:ascii="Times New Roman" w:hAnsi="Times New Roman"/>
          <w:b w:val="0"/>
          <w:sz w:val="36"/>
        </w:rPr>
        <w:t>Displayed total revenue is approximately 109.05bn and displayed total margin is approximately 55.50bn.</w:t>
      </w:r>
    </w:p>
    <w:p>
      <w:pPr>
        <w:pStyle w:val="ListBullet"/>
        <w:spacing w:after="80"/>
      </w:pPr>
      <w:r>
        <w:rPr>
          <w:rFonts w:ascii="Times New Roman" w:hAnsi="Times New Roman"/>
          <w:b w:val="0"/>
          <w:sz w:val="36"/>
        </w:rPr>
        <w:t>Revenue is distributed across business segments and regions.</w:t>
      </w:r>
    </w:p>
    <w:p>
      <w:pPr>
        <w:pStyle w:val="ListBullet"/>
        <w:spacing w:after="80"/>
      </w:pPr>
      <w:r>
        <w:rPr>
          <w:rFonts w:ascii="Times New Roman" w:hAnsi="Times New Roman"/>
          <w:b w:val="0"/>
          <w:sz w:val="36"/>
        </w:rPr>
        <w:t>Brent price provides useful context for interpreting upstream revenue movements.</w:t>
      </w:r>
    </w:p>
    <w:p>
      <w:pPr>
        <w:pStyle w:val="ListBullet"/>
        <w:spacing w:after="80"/>
      </w:pPr>
      <w:r>
        <w:rPr>
          <w:rFonts w:ascii="Times New Roman" w:hAnsi="Times New Roman"/>
          <w:b w:val="0"/>
          <w:sz w:val="36"/>
        </w:rPr>
        <w:t>Revenue and margin should be monitored together because revenue growth does not automatically imply stronger profitability.</w:t>
      </w:r>
    </w:p>
    <w:p>
      <w:pPr>
        <w:pStyle w:val="Heading2"/>
      </w:pPr>
      <w:r>
        <w:rPr>
          <w:rFonts w:ascii="Times New Roman" w:hAnsi="Times New Roman"/>
          <w:b/>
          <w:sz w:val="44"/>
        </w:rPr>
        <w:t>14.3 Emissions Insights</w:t>
      </w:r>
    </w:p>
    <w:p>
      <w:pPr>
        <w:pStyle w:val="ListBullet"/>
        <w:spacing w:after="80"/>
      </w:pPr>
      <w:r>
        <w:rPr>
          <w:rFonts w:ascii="Times New Roman" w:hAnsi="Times New Roman"/>
          <w:b w:val="0"/>
          <w:sz w:val="36"/>
        </w:rPr>
        <w:t>Displayed total emissions are approximately 106.0M.</w:t>
      </w:r>
    </w:p>
    <w:p>
      <w:pPr>
        <w:pStyle w:val="ListBullet"/>
        <w:spacing w:after="80"/>
      </w:pPr>
      <w:r>
        <w:rPr>
          <w:rFonts w:ascii="Times New Roman" w:hAnsi="Times New Roman"/>
          <w:b w:val="0"/>
          <w:sz w:val="36"/>
        </w:rPr>
        <w:t>Scope 3 is the largest displayed emissions component at approximately 76.9M.</w:t>
      </w:r>
    </w:p>
    <w:p>
      <w:pPr>
        <w:pStyle w:val="ListBullet"/>
        <w:spacing w:after="80"/>
      </w:pPr>
      <w:r>
        <w:rPr>
          <w:rFonts w:ascii="Times New Roman" w:hAnsi="Times New Roman"/>
          <w:b w:val="0"/>
          <w:sz w:val="36"/>
        </w:rPr>
        <w:t>High-emitting assets can be prioritized for emissions-reduction investigations.</w:t>
      </w:r>
    </w:p>
    <w:p>
      <w:pPr>
        <w:pStyle w:val="ListBullet"/>
        <w:spacing w:after="80"/>
      </w:pPr>
      <w:r>
        <w:rPr>
          <w:rFonts w:ascii="Times New Roman" w:hAnsi="Times New Roman"/>
          <w:b w:val="0"/>
          <w:sz w:val="36"/>
        </w:rPr>
        <w:t>Actual-versus-target analysis supports environmental performance monitoring.</w:t>
      </w:r>
    </w:p>
    <w:p>
      <w:pPr>
        <w:pStyle w:val="Heading2"/>
      </w:pPr>
      <w:r>
        <w:rPr>
          <w:rFonts w:ascii="Times New Roman" w:hAnsi="Times New Roman"/>
          <w:b/>
          <w:sz w:val="44"/>
        </w:rPr>
        <w:t>14.4 Strategic Insights</w:t>
      </w:r>
    </w:p>
    <w:p>
      <w:pPr>
        <w:pStyle w:val="ListBullet"/>
        <w:spacing w:after="80"/>
      </w:pPr>
      <w:r>
        <w:rPr>
          <w:rFonts w:ascii="Times New Roman" w:hAnsi="Times New Roman"/>
          <w:b w:val="0"/>
          <w:sz w:val="36"/>
        </w:rPr>
        <w:t>Growth Scenario has the highest displayed production growth at 8%.</w:t>
      </w:r>
    </w:p>
    <w:p>
      <w:pPr>
        <w:pStyle w:val="ListBullet"/>
        <w:spacing w:after="80"/>
      </w:pPr>
      <w:r>
        <w:rPr>
          <w:rFonts w:ascii="Times New Roman" w:hAnsi="Times New Roman"/>
          <w:b w:val="0"/>
          <w:sz w:val="36"/>
        </w:rPr>
        <w:t>Accelerated Transition has the highest displayed renewable share at 30%.</w:t>
      </w:r>
    </w:p>
    <w:p>
      <w:pPr>
        <w:pStyle w:val="ListBullet"/>
        <w:spacing w:after="80"/>
      </w:pPr>
      <w:r>
        <w:rPr>
          <w:rFonts w:ascii="Times New Roman" w:hAnsi="Times New Roman"/>
          <w:b w:val="0"/>
          <w:sz w:val="36"/>
        </w:rPr>
        <w:t>Scenario comparison makes strategic trade-offs visible.</w:t>
      </w:r>
    </w:p>
    <w:p>
      <w:pPr>
        <w:pStyle w:val="ListBullet"/>
        <w:spacing w:after="80"/>
      </w:pPr>
      <w:r>
        <w:rPr>
          <w:rFonts w:ascii="Times New Roman" w:hAnsi="Times New Roman"/>
          <w:b w:val="0"/>
          <w:sz w:val="36"/>
        </w:rPr>
        <w:t>Scenario results should be used for planning and comparison, not treated as guaranteed forecasts.</w:t>
      </w:r>
    </w:p>
    <w:p>
      <w:pPr>
        <w:spacing w:after="160"/>
      </w:pPr>
      <w:r>
        <w:rPr>
          <w:rFonts w:ascii="Times New Roman" w:hAnsi="Times New Roman"/>
          <w:b w:val="0"/>
          <w:sz w:val="36"/>
        </w:rPr>
        <w:t>These insights are directly documented in the supplied project material. fileciteturn0file0L327-L353</w:t>
      </w:r>
    </w:p>
    <w:p>
      <w:pPr>
        <w:pStyle w:val="Heading1"/>
      </w:pPr>
      <w:r>
        <w:rPr>
          <w:rFonts w:ascii="Times New Roman" w:hAnsi="Times New Roman"/>
          <w:b/>
          <w:sz w:val="44"/>
        </w:rPr>
        <w:t>15. Project Workflow</w:t>
      </w:r>
    </w:p>
    <w:p>
      <w:pPr>
        <w:pStyle w:val="ListNumber"/>
        <w:spacing w:after="80"/>
      </w:pPr>
      <w:r>
        <w:rPr>
          <w:rFonts w:ascii="Times New Roman" w:hAnsi="Times New Roman"/>
          <w:b w:val="0"/>
          <w:sz w:val="36"/>
        </w:rPr>
        <w:t>Business requirement identification — define the questions management needs to answer.</w:t>
      </w:r>
    </w:p>
    <w:p>
      <w:pPr>
        <w:pStyle w:val="ListNumber"/>
        <w:spacing w:after="80"/>
      </w:pPr>
      <w:r>
        <w:rPr>
          <w:rFonts w:ascii="Times New Roman" w:hAnsi="Times New Roman"/>
          <w:b w:val="0"/>
          <w:sz w:val="36"/>
        </w:rPr>
        <w:t>Dataset preparation — identify required production, operations, financial, emissions, target, scenario, and date information.</w:t>
      </w:r>
    </w:p>
    <w:p>
      <w:pPr>
        <w:pStyle w:val="ListNumber"/>
        <w:spacing w:after="80"/>
      </w:pPr>
      <w:r>
        <w:rPr>
          <w:rFonts w:ascii="Times New Roman" w:hAnsi="Times New Roman"/>
          <w:b w:val="0"/>
          <w:sz w:val="36"/>
        </w:rPr>
        <w:t>MySQL database layer — organize source data into structured tables.</w:t>
      </w:r>
    </w:p>
    <w:p>
      <w:pPr>
        <w:pStyle w:val="ListNumber"/>
        <w:spacing w:after="80"/>
      </w:pPr>
      <w:r>
        <w:rPr>
          <w:rFonts w:ascii="Times New Roman" w:hAnsi="Times New Roman"/>
          <w:b w:val="0"/>
          <w:sz w:val="36"/>
        </w:rPr>
        <w:t>MySQL to Power BI connection — connect the database to Power BI.</w:t>
      </w:r>
    </w:p>
    <w:p>
      <w:pPr>
        <w:pStyle w:val="ListNumber"/>
        <w:spacing w:after="80"/>
      </w:pPr>
      <w:r>
        <w:rPr>
          <w:rFonts w:ascii="Times New Roman" w:hAnsi="Times New Roman"/>
          <w:b w:val="0"/>
          <w:sz w:val="36"/>
        </w:rPr>
        <w:t>ETL / Power Query — extract, transform, clean, validate, and shape the data.</w:t>
      </w:r>
    </w:p>
    <w:p>
      <w:pPr>
        <w:pStyle w:val="ListNumber"/>
        <w:spacing w:after="80"/>
      </w:pPr>
      <w:r>
        <w:rPr>
          <w:rFonts w:ascii="Times New Roman" w:hAnsi="Times New Roman"/>
          <w:b w:val="0"/>
          <w:sz w:val="36"/>
        </w:rPr>
        <w:t>Data modeling — establish dimensions, relationships, and analytical structure.</w:t>
      </w:r>
    </w:p>
    <w:p>
      <w:pPr>
        <w:pStyle w:val="ListNumber"/>
        <w:spacing w:after="80"/>
      </w:pPr>
      <w:r>
        <w:rPr>
          <w:rFonts w:ascii="Times New Roman" w:hAnsi="Times New Roman"/>
          <w:b w:val="0"/>
          <w:sz w:val="36"/>
        </w:rPr>
        <w:t>DAX development — create reusable KPI and business measures.</w:t>
      </w:r>
    </w:p>
    <w:p>
      <w:pPr>
        <w:pStyle w:val="ListNumber"/>
        <w:spacing w:after="80"/>
      </w:pPr>
      <w:r>
        <w:rPr>
          <w:rFonts w:ascii="Times New Roman" w:hAnsi="Times New Roman"/>
          <w:b w:val="0"/>
          <w:sz w:val="36"/>
        </w:rPr>
        <w:t>Dashboard design — build five pages using KPI cards, charts, tables, filters, and navigation.</w:t>
      </w:r>
    </w:p>
    <w:p>
      <w:pPr>
        <w:pStyle w:val="ListNumber"/>
        <w:spacing w:after="80"/>
      </w:pPr>
      <w:r>
        <w:rPr>
          <w:rFonts w:ascii="Times New Roman" w:hAnsi="Times New Roman"/>
          <w:b w:val="0"/>
          <w:sz w:val="36"/>
        </w:rPr>
        <w:t>Validation — check KPI values, filters, navigation, readability, totals, colors, and interactions.</w:t>
      </w:r>
    </w:p>
    <w:p>
      <w:pPr>
        <w:pStyle w:val="ListNumber"/>
        <w:spacing w:after="80"/>
      </w:pPr>
      <w:r>
        <w:rPr>
          <w:rFonts w:ascii="Times New Roman" w:hAnsi="Times New Roman"/>
          <w:b w:val="0"/>
          <w:sz w:val="36"/>
        </w:rPr>
        <w:t>Business interpretation — identify operational, financial, environmental, and strategic insights.</w:t>
      </w:r>
    </w:p>
    <w:p>
      <w:pPr>
        <w:pStyle w:val="ListNumber"/>
        <w:spacing w:after="80"/>
      </w:pPr>
      <w:r>
        <w:rPr>
          <w:rFonts w:ascii="Times New Roman" w:hAnsi="Times New Roman"/>
          <w:b w:val="0"/>
          <w:sz w:val="36"/>
        </w:rPr>
        <w:t>Final documentation and presentation — explain the complete solution and business value.</w:t>
      </w:r>
    </w:p>
    <w:p>
      <w:pPr>
        <w:spacing w:after="160"/>
      </w:pPr>
      <w:r>
        <w:rPr>
          <w:rFonts w:ascii="Times New Roman" w:hAnsi="Times New Roman"/>
          <w:b w:val="0"/>
          <w:sz w:val="36"/>
        </w:rPr>
        <w:t>This workflow aligns with the documented source → preparation → model → measures → visuals → filters/navigation → decision-support architecture. fileciteturn0file0L115-L125</w:t>
      </w:r>
    </w:p>
    <w:p>
      <w:pPr>
        <w:pStyle w:val="Heading1"/>
      </w:pPr>
      <w:r>
        <w:rPr>
          <w:rFonts w:ascii="Times New Roman" w:hAnsi="Times New Roman"/>
          <w:b/>
          <w:sz w:val="44"/>
        </w:rPr>
        <w:t>16. Industries / Business Applications</w:t>
      </w:r>
    </w:p>
    <w:p>
      <w:pPr>
        <w:spacing w:after="160"/>
      </w:pPr>
      <w:r>
        <w:rPr>
          <w:rFonts w:ascii="Times New Roman" w:hAnsi="Times New Roman"/>
          <w:b w:val="0"/>
          <w:sz w:val="36"/>
        </w:rPr>
        <w:t>Although this project is designed for upstream oil and gas, the analytical architecture can be adapted to other industries requiring integrated operational, financial, environmental, and scenario analytics.</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Industry</w:t>
            </w:r>
          </w:p>
        </w:tc>
        <w:tc>
          <w:tcPr>
            <w:tcW w:type="dxa" w:w="4968"/>
            <w:shd w:fill="FFD500"/>
            <w:vAlign w:val="center"/>
          </w:tcPr>
          <w:p>
            <w:r/>
            <w:r>
              <w:rPr>
                <w:rFonts w:ascii="Times New Roman" w:hAnsi="Times New Roman"/>
                <w:b/>
                <w:sz w:val="36"/>
              </w:rPr>
              <w:t>Potential Application</w:t>
            </w:r>
          </w:p>
        </w:tc>
      </w:tr>
      <w:tr>
        <w:tc>
          <w:tcPr>
            <w:tcW w:type="dxa" w:w="4968"/>
            <w:vAlign w:val="center"/>
          </w:tcPr>
          <w:p>
            <w:r/>
            <w:r>
              <w:rPr>
                <w:rFonts w:ascii="Times New Roman" w:hAnsi="Times New Roman"/>
                <w:b w:val="0"/>
                <w:sz w:val="36"/>
              </w:rPr>
              <w:t>Oil &amp; Gas</w:t>
            </w:r>
          </w:p>
        </w:tc>
        <w:tc>
          <w:tcPr>
            <w:tcW w:type="dxa" w:w="4968"/>
            <w:vAlign w:val="center"/>
          </w:tcPr>
          <w:p>
            <w:r/>
            <w:r>
              <w:rPr>
                <w:rFonts w:ascii="Times New Roman" w:hAnsi="Times New Roman"/>
                <w:b w:val="0"/>
                <w:sz w:val="36"/>
              </w:rPr>
              <w:t>Production, asset reliability, commodity price, revenue, emissions, and energy transition.</w:t>
            </w:r>
          </w:p>
        </w:tc>
      </w:tr>
      <w:tr>
        <w:tc>
          <w:tcPr>
            <w:tcW w:type="dxa" w:w="4968"/>
            <w:vAlign w:val="center"/>
          </w:tcPr>
          <w:p>
            <w:r/>
            <w:r>
              <w:rPr>
                <w:rFonts w:ascii="Times New Roman" w:hAnsi="Times New Roman"/>
                <w:b w:val="0"/>
                <w:sz w:val="36"/>
              </w:rPr>
              <w:t>Energy &amp; Utilities</w:t>
            </w:r>
          </w:p>
        </w:tc>
        <w:tc>
          <w:tcPr>
            <w:tcW w:type="dxa" w:w="4968"/>
            <w:vAlign w:val="center"/>
          </w:tcPr>
          <w:p>
            <w:r/>
            <w:r>
              <w:rPr>
                <w:rFonts w:ascii="Times New Roman" w:hAnsi="Times New Roman"/>
                <w:b w:val="0"/>
                <w:sz w:val="36"/>
              </w:rPr>
              <w:t>Generation, plant availability, energy cost, carbon emissions, renewable mix, and demand scenarios.</w:t>
            </w:r>
          </w:p>
        </w:tc>
      </w:tr>
      <w:tr>
        <w:tc>
          <w:tcPr>
            <w:tcW w:type="dxa" w:w="4968"/>
            <w:vAlign w:val="center"/>
          </w:tcPr>
          <w:p>
            <w:r/>
            <w:r>
              <w:rPr>
                <w:rFonts w:ascii="Times New Roman" w:hAnsi="Times New Roman"/>
                <w:b w:val="0"/>
                <w:sz w:val="36"/>
              </w:rPr>
              <w:t>Manufacturing</w:t>
            </w:r>
          </w:p>
        </w:tc>
        <w:tc>
          <w:tcPr>
            <w:tcW w:type="dxa" w:w="4968"/>
            <w:vAlign w:val="center"/>
          </w:tcPr>
          <w:p>
            <w:r/>
            <w:r>
              <w:rPr>
                <w:rFonts w:ascii="Times New Roman" w:hAnsi="Times New Roman"/>
                <w:b w:val="0"/>
                <w:sz w:val="36"/>
              </w:rPr>
              <w:t>Production output, downtime, maintenance cost, quality, energy use, and plant emissions.</w:t>
            </w:r>
          </w:p>
        </w:tc>
      </w:tr>
      <w:tr>
        <w:tc>
          <w:tcPr>
            <w:tcW w:type="dxa" w:w="4968"/>
            <w:vAlign w:val="center"/>
          </w:tcPr>
          <w:p>
            <w:r/>
            <w:r>
              <w:rPr>
                <w:rFonts w:ascii="Times New Roman" w:hAnsi="Times New Roman"/>
                <w:b w:val="0"/>
                <w:sz w:val="36"/>
              </w:rPr>
              <w:t>Mining</w:t>
            </w:r>
          </w:p>
        </w:tc>
        <w:tc>
          <w:tcPr>
            <w:tcW w:type="dxa" w:w="4968"/>
            <w:vAlign w:val="center"/>
          </w:tcPr>
          <w:p>
            <w:r/>
            <w:r>
              <w:rPr>
                <w:rFonts w:ascii="Times New Roman" w:hAnsi="Times New Roman"/>
                <w:b w:val="0"/>
                <w:sz w:val="36"/>
              </w:rPr>
              <w:t>Production, equipment downtime, maintenance, commodity prices, cost, and environmental performance.</w:t>
            </w:r>
          </w:p>
        </w:tc>
      </w:tr>
      <w:tr>
        <w:tc>
          <w:tcPr>
            <w:tcW w:type="dxa" w:w="4968"/>
            <w:vAlign w:val="center"/>
          </w:tcPr>
          <w:p>
            <w:r/>
            <w:r>
              <w:rPr>
                <w:rFonts w:ascii="Times New Roman" w:hAnsi="Times New Roman"/>
                <w:b w:val="0"/>
                <w:sz w:val="36"/>
              </w:rPr>
              <w:t>Logistics &amp; Transportation</w:t>
            </w:r>
          </w:p>
        </w:tc>
        <w:tc>
          <w:tcPr>
            <w:tcW w:type="dxa" w:w="4968"/>
            <w:vAlign w:val="center"/>
          </w:tcPr>
          <w:p>
            <w:r/>
            <w:r>
              <w:rPr>
                <w:rFonts w:ascii="Times New Roman" w:hAnsi="Times New Roman"/>
                <w:b w:val="0"/>
                <w:sz w:val="36"/>
              </w:rPr>
              <w:t>Fleet utilization, downtime, fuel cost, route performance, emissions, and scenario planning.</w:t>
            </w:r>
          </w:p>
        </w:tc>
      </w:tr>
      <w:tr>
        <w:tc>
          <w:tcPr>
            <w:tcW w:type="dxa" w:w="4968"/>
            <w:vAlign w:val="center"/>
          </w:tcPr>
          <w:p>
            <w:r/>
            <w:r>
              <w:rPr>
                <w:rFonts w:ascii="Times New Roman" w:hAnsi="Times New Roman"/>
                <w:b w:val="0"/>
                <w:sz w:val="36"/>
              </w:rPr>
              <w:t>Chemicals &amp; Process Industries</w:t>
            </w:r>
          </w:p>
        </w:tc>
        <w:tc>
          <w:tcPr>
            <w:tcW w:type="dxa" w:w="4968"/>
            <w:vAlign w:val="center"/>
          </w:tcPr>
          <w:p>
            <w:r/>
            <w:r>
              <w:rPr>
                <w:rFonts w:ascii="Times New Roman" w:hAnsi="Times New Roman"/>
                <w:b w:val="0"/>
                <w:sz w:val="36"/>
              </w:rPr>
              <w:t>Plant production, maintenance, energy cost, margin, emissions, and decarbonization targets.</w:t>
            </w:r>
          </w:p>
        </w:tc>
      </w:tr>
    </w:tbl>
    <w:p/>
    <w:p>
      <w:pPr>
        <w:pStyle w:val="Heading1"/>
      </w:pPr>
      <w:r>
        <w:rPr>
          <w:rFonts w:ascii="Times New Roman" w:hAnsi="Times New Roman"/>
          <w:b/>
          <w:sz w:val="44"/>
        </w:rPr>
        <w:t>17. Conclusion</w:t>
      </w:r>
    </w:p>
    <w:p>
      <w:pPr>
        <w:spacing w:after="160"/>
      </w:pPr>
      <w:r>
        <w:rPr>
          <w:rFonts w:ascii="Times New Roman" w:hAnsi="Times New Roman"/>
          <w:b w:val="0"/>
          <w:sz w:val="36"/>
        </w:rPr>
        <w:t>The Shell Upstream Performance &amp; Emissions Command Center is a structured Power BI solution that connects upstream operations, financial performance, environmental performance, and strategic scenario analysis in one interactive report.</w:t>
      </w:r>
    </w:p>
    <w:p>
      <w:pPr>
        <w:spacing w:after="160"/>
      </w:pPr>
      <w:r>
        <w:rPr>
          <w:rFonts w:ascii="Times New Roman" w:hAnsi="Times New Roman"/>
          <w:b w:val="0"/>
          <w:sz w:val="36"/>
        </w:rPr>
        <w:t>The project demonstrates an end-to-end BI workflow involving database organization, ETL/data preparation, data cleaning, DAX measures, data modeling, dashboard design, filters and slicers, visual storytelling, validation, and business insight generation.</w:t>
      </w:r>
    </w:p>
    <w:p>
      <w:pPr>
        <w:spacing w:after="160"/>
      </w:pPr>
      <w:r>
        <w:rPr>
          <w:rFonts w:ascii="Times New Roman" w:hAnsi="Times New Roman"/>
          <w:b w:val="0"/>
          <w:sz w:val="36"/>
        </w:rPr>
        <w:t>The completed dashboard enables management to move from high-level KPIs to operational detail, financial analysis, emissions performance, and forward-looking scenarios. It also provides a foundation for future enhancements such as automated refresh, data-quality monitoring, drill-through analysis, deeper Scope 3 analysis, multi-year emissions target tracking, and side-by-side scenario comparison. fileciteturn0file0L394-L404</w:t>
      </w:r>
    </w:p>
    <w:p>
      <w:pPr>
        <w:pStyle w:val="Heading1"/>
      </w:pPr>
      <w:r>
        <w:rPr>
          <w:rFonts w:ascii="Times New Roman" w:hAnsi="Times New Roman"/>
          <w:b/>
          <w:sz w:val="44"/>
        </w:rPr>
        <w:t>Appendix — Project at a Glance</w:t>
      </w:r>
    </w:p>
    <w:tbl>
      <w:tblPr>
        <w:tblStyle w:val="TableGrid"/>
        <w:tblW w:type="auto" w:w="0"/>
        <w:jc w:val="center"/>
        <w:tblLook w:firstColumn="1" w:firstRow="1" w:lastColumn="0" w:lastRow="0" w:noHBand="0" w:noVBand="1" w:val="04A0"/>
      </w:tblPr>
      <w:tblGrid>
        <w:gridCol w:w="4968"/>
        <w:gridCol w:w="4968"/>
      </w:tblGrid>
      <w:tr>
        <w:tc>
          <w:tcPr>
            <w:tcW w:type="dxa" w:w="4968"/>
            <w:shd w:fill="FFD500"/>
            <w:vAlign w:val="center"/>
          </w:tcPr>
          <w:p>
            <w:r/>
            <w:r>
              <w:rPr>
                <w:rFonts w:ascii="Times New Roman" w:hAnsi="Times New Roman"/>
                <w:b/>
                <w:sz w:val="36"/>
              </w:rPr>
              <w:t>Item</w:t>
            </w:r>
          </w:p>
        </w:tc>
        <w:tc>
          <w:tcPr>
            <w:tcW w:type="dxa" w:w="4968"/>
            <w:shd w:fill="FFD500"/>
            <w:vAlign w:val="center"/>
          </w:tcPr>
          <w:p>
            <w:r/>
            <w:r>
              <w:rPr>
                <w:rFonts w:ascii="Times New Roman" w:hAnsi="Times New Roman"/>
                <w:b/>
                <w:sz w:val="36"/>
              </w:rPr>
              <w:t>Details</w:t>
            </w:r>
          </w:p>
        </w:tc>
      </w:tr>
      <w:tr>
        <w:tc>
          <w:tcPr>
            <w:tcW w:type="dxa" w:w="4968"/>
            <w:vAlign w:val="center"/>
          </w:tcPr>
          <w:p>
            <w:r/>
            <w:r>
              <w:rPr>
                <w:rFonts w:ascii="Times New Roman" w:hAnsi="Times New Roman"/>
                <w:b w:val="0"/>
                <w:sz w:val="36"/>
              </w:rPr>
              <w:t>Project</w:t>
            </w:r>
          </w:p>
        </w:tc>
        <w:tc>
          <w:tcPr>
            <w:tcW w:type="dxa" w:w="4968"/>
            <w:vAlign w:val="center"/>
          </w:tcPr>
          <w:p>
            <w:r/>
            <w:r>
              <w:rPr>
                <w:rFonts w:ascii="Times New Roman" w:hAnsi="Times New Roman"/>
                <w:b w:val="0"/>
                <w:sz w:val="36"/>
              </w:rPr>
              <w:t>Shell Upstream Performance &amp; Emissions Command Center</w:t>
            </w:r>
          </w:p>
        </w:tc>
      </w:tr>
      <w:tr>
        <w:tc>
          <w:tcPr>
            <w:tcW w:type="dxa" w:w="4968"/>
            <w:vAlign w:val="center"/>
          </w:tcPr>
          <w:p>
            <w:r/>
            <w:r>
              <w:rPr>
                <w:rFonts w:ascii="Times New Roman" w:hAnsi="Times New Roman"/>
                <w:b w:val="0"/>
                <w:sz w:val="36"/>
              </w:rPr>
              <w:t>Completed By</w:t>
            </w:r>
          </w:p>
        </w:tc>
        <w:tc>
          <w:tcPr>
            <w:tcW w:type="dxa" w:w="4968"/>
            <w:vAlign w:val="center"/>
          </w:tcPr>
          <w:p>
            <w:r/>
            <w:r>
              <w:rPr>
                <w:rFonts w:ascii="Times New Roman" w:hAnsi="Times New Roman"/>
                <w:b w:val="0"/>
                <w:sz w:val="36"/>
              </w:rPr>
              <w:t>sridhar.P</w:t>
            </w:r>
          </w:p>
        </w:tc>
      </w:tr>
      <w:tr>
        <w:tc>
          <w:tcPr>
            <w:tcW w:type="dxa" w:w="4968"/>
            <w:vAlign w:val="center"/>
          </w:tcPr>
          <w:p>
            <w:r/>
            <w:r>
              <w:rPr>
                <w:rFonts w:ascii="Times New Roman" w:hAnsi="Times New Roman"/>
                <w:b w:val="0"/>
                <w:sz w:val="36"/>
              </w:rPr>
              <w:t>Industry</w:t>
            </w:r>
          </w:p>
        </w:tc>
        <w:tc>
          <w:tcPr>
            <w:tcW w:type="dxa" w:w="4968"/>
            <w:vAlign w:val="center"/>
          </w:tcPr>
          <w:p>
            <w:r/>
            <w:r>
              <w:rPr>
                <w:rFonts w:ascii="Times New Roman" w:hAnsi="Times New Roman"/>
                <w:b w:val="0"/>
                <w:sz w:val="36"/>
              </w:rPr>
              <w:t>Oil &amp; Gas — Upstream</w:t>
            </w:r>
          </w:p>
        </w:tc>
      </w:tr>
      <w:tr>
        <w:tc>
          <w:tcPr>
            <w:tcW w:type="dxa" w:w="4968"/>
            <w:vAlign w:val="center"/>
          </w:tcPr>
          <w:p>
            <w:r/>
            <w:r>
              <w:rPr>
                <w:rFonts w:ascii="Times New Roman" w:hAnsi="Times New Roman"/>
                <w:b w:val="0"/>
                <w:sz w:val="36"/>
              </w:rPr>
              <w:t>BI Platform</w:t>
            </w:r>
          </w:p>
        </w:tc>
        <w:tc>
          <w:tcPr>
            <w:tcW w:type="dxa" w:w="4968"/>
            <w:vAlign w:val="center"/>
          </w:tcPr>
          <w:p>
            <w:r/>
            <w:r>
              <w:rPr>
                <w:rFonts w:ascii="Times New Roman" w:hAnsi="Times New Roman"/>
                <w:b w:val="0"/>
                <w:sz w:val="36"/>
              </w:rPr>
              <w:t>Microsoft Power BI</w:t>
            </w:r>
          </w:p>
        </w:tc>
      </w:tr>
      <w:tr>
        <w:tc>
          <w:tcPr>
            <w:tcW w:type="dxa" w:w="4968"/>
            <w:vAlign w:val="center"/>
          </w:tcPr>
          <w:p>
            <w:r/>
            <w:r>
              <w:rPr>
                <w:rFonts w:ascii="Times New Roman" w:hAnsi="Times New Roman"/>
                <w:b w:val="0"/>
                <w:sz w:val="36"/>
              </w:rPr>
              <w:t>Database Layer</w:t>
            </w:r>
          </w:p>
        </w:tc>
        <w:tc>
          <w:tcPr>
            <w:tcW w:type="dxa" w:w="4968"/>
            <w:vAlign w:val="center"/>
          </w:tcPr>
          <w:p>
            <w:r/>
            <w:r>
              <w:rPr>
                <w:rFonts w:ascii="Times New Roman" w:hAnsi="Times New Roman"/>
                <w:b w:val="0"/>
                <w:sz w:val="36"/>
              </w:rPr>
              <w:t>MySQL</w:t>
            </w:r>
          </w:p>
        </w:tc>
      </w:tr>
      <w:tr>
        <w:tc>
          <w:tcPr>
            <w:tcW w:type="dxa" w:w="4968"/>
            <w:vAlign w:val="center"/>
          </w:tcPr>
          <w:p>
            <w:r/>
            <w:r>
              <w:rPr>
                <w:rFonts w:ascii="Times New Roman" w:hAnsi="Times New Roman"/>
                <w:b w:val="0"/>
                <w:sz w:val="36"/>
              </w:rPr>
              <w:t>ETL / Preparation</w:t>
            </w:r>
          </w:p>
        </w:tc>
        <w:tc>
          <w:tcPr>
            <w:tcW w:type="dxa" w:w="4968"/>
            <w:vAlign w:val="center"/>
          </w:tcPr>
          <w:p>
            <w:r/>
            <w:r>
              <w:rPr>
                <w:rFonts w:ascii="Times New Roman" w:hAnsi="Times New Roman"/>
                <w:b w:val="0"/>
                <w:sz w:val="36"/>
              </w:rPr>
              <w:t>Power Query / Power BI ETL workflow</w:t>
            </w:r>
          </w:p>
        </w:tc>
      </w:tr>
      <w:tr>
        <w:tc>
          <w:tcPr>
            <w:tcW w:type="dxa" w:w="4968"/>
            <w:vAlign w:val="center"/>
          </w:tcPr>
          <w:p>
            <w:r/>
            <w:r>
              <w:rPr>
                <w:rFonts w:ascii="Times New Roman" w:hAnsi="Times New Roman"/>
                <w:b w:val="0"/>
                <w:sz w:val="36"/>
              </w:rPr>
              <w:t>Dashboard Pages</w:t>
            </w:r>
          </w:p>
        </w:tc>
        <w:tc>
          <w:tcPr>
            <w:tcW w:type="dxa" w:w="4968"/>
            <w:vAlign w:val="center"/>
          </w:tcPr>
          <w:p>
            <w:r/>
            <w:r>
              <w:rPr>
                <w:rFonts w:ascii="Times New Roman" w:hAnsi="Times New Roman"/>
                <w:b w:val="0"/>
                <w:sz w:val="36"/>
              </w:rPr>
              <w:t>5</w:t>
            </w:r>
          </w:p>
        </w:tc>
      </w:tr>
      <w:tr>
        <w:tc>
          <w:tcPr>
            <w:tcW w:type="dxa" w:w="4968"/>
            <w:vAlign w:val="center"/>
          </w:tcPr>
          <w:p>
            <w:r/>
            <w:r>
              <w:rPr>
                <w:rFonts w:ascii="Times New Roman" w:hAnsi="Times New Roman"/>
                <w:b w:val="0"/>
                <w:sz w:val="36"/>
              </w:rPr>
              <w:t>Core Domains</w:t>
            </w:r>
          </w:p>
        </w:tc>
        <w:tc>
          <w:tcPr>
            <w:tcW w:type="dxa" w:w="4968"/>
            <w:vAlign w:val="center"/>
          </w:tcPr>
          <w:p>
            <w:r/>
            <w:r>
              <w:rPr>
                <w:rFonts w:ascii="Times New Roman" w:hAnsi="Times New Roman"/>
                <w:b w:val="0"/>
                <w:sz w:val="36"/>
              </w:rPr>
              <w:t>Operations, Finance, Emissions &amp; Decarbonization, Scenario Planning</w:t>
            </w:r>
          </w:p>
        </w:tc>
      </w:tr>
      <w:tr>
        <w:tc>
          <w:tcPr>
            <w:tcW w:type="dxa" w:w="4968"/>
            <w:vAlign w:val="center"/>
          </w:tcPr>
          <w:p>
            <w:r/>
            <w:r>
              <w:rPr>
                <w:rFonts w:ascii="Times New Roman" w:hAnsi="Times New Roman"/>
                <w:b w:val="0"/>
                <w:sz w:val="36"/>
              </w:rPr>
              <w:t>Primary Audience</w:t>
            </w:r>
          </w:p>
        </w:tc>
        <w:tc>
          <w:tcPr>
            <w:tcW w:type="dxa" w:w="4968"/>
            <w:vAlign w:val="center"/>
          </w:tcPr>
          <w:p>
            <w:r/>
            <w:r>
              <w:rPr>
                <w:rFonts w:ascii="Times New Roman" w:hAnsi="Times New Roman"/>
                <w:b w:val="0"/>
                <w:sz w:val="36"/>
              </w:rPr>
              <w:t>Management, operations, finance, sustainability, and planning teams</w:t>
            </w:r>
          </w:p>
        </w:tc>
      </w:tr>
    </w:tbl>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sz w:val="36"/>
      </w:rPr>
      <w:t>Shell Upstream Performance &amp; Emissions Command Center | Completed by sridhar.P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3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