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46BBB">
      <w:pPr>
        <w:pBdr>
          <w:bottom w:val="single" w:color="1F3864" w:sz="24" w:space="1"/>
        </w:pBdr>
        <w:spacing w:before="40" w:after="40"/>
      </w:pPr>
    </w:p>
    <w:p w14:paraId="0AC86B7C">
      <w:pPr>
        <w:spacing w:before="80" w:after="80"/>
      </w:pPr>
    </w:p>
    <w:p w14:paraId="43DECD8C">
      <w:pPr>
        <w:spacing w:before="60" w:after="40" w:line="320" w:lineRule="auto"/>
        <w:jc w:val="center"/>
      </w:pPr>
      <w:r>
        <w:rPr>
          <w:rFonts w:ascii="Cambria" w:hAnsi="Cambria" w:eastAsia="Cambria" w:cs="Cambria"/>
          <w:b/>
          <w:bCs/>
          <w:color w:val="1F3864"/>
          <w:sz w:val="30"/>
          <w:szCs w:val="30"/>
        </w:rPr>
        <w:t>Bridging EEG-Based Depression Detection and NLP-Driven Suicide Risk Prediction:</w:t>
      </w:r>
    </w:p>
    <w:p w14:paraId="22FC981C">
      <w:pPr>
        <w:spacing w:before="0" w:after="60" w:line="320" w:lineRule="auto"/>
        <w:jc w:val="center"/>
      </w:pPr>
      <w:r>
        <w:rPr>
          <w:rFonts w:ascii="Cambria" w:hAnsi="Cambria" w:eastAsia="Cambria" w:cs="Cambria"/>
          <w:b/>
          <w:bCs/>
          <w:color w:val="1F3864"/>
          <w:sz w:val="30"/>
          <w:szCs w:val="30"/>
        </w:rPr>
        <w:t>A Unified Framework for Early Mental Health Intervention</w:t>
      </w:r>
    </w:p>
    <w:p w14:paraId="6A089D13">
      <w:pPr>
        <w:spacing w:before="80" w:after="40"/>
      </w:pPr>
    </w:p>
    <w:p w14:paraId="4ADCF5B6">
      <w:pPr>
        <w:pBdr>
          <w:bottom w:val="single" w:color="2E5FA3" w:sz="6" w:space="1"/>
        </w:pBdr>
        <w:spacing w:before="40" w:after="40"/>
      </w:pPr>
    </w:p>
    <w:p w14:paraId="30B591C5">
      <w:pPr>
        <w:spacing w:before="60" w:after="60"/>
      </w:pPr>
    </w:p>
    <w:p w14:paraId="3183C831">
      <w:pPr>
        <w:spacing w:before="0" w:after="30" w:line="276" w:lineRule="auto"/>
        <w:jc w:val="center"/>
      </w:pPr>
      <w:r>
        <w:rPr>
          <w:rFonts w:ascii="Cambria" w:hAnsi="Cambria" w:eastAsia="Cambria" w:cs="Cambria"/>
          <w:b/>
          <w:bCs/>
          <w:color w:val="333333"/>
          <w:sz w:val="20"/>
          <w:szCs w:val="20"/>
        </w:rPr>
        <w:t>Maha Mathesh Raja B</w:t>
      </w:r>
      <w:r>
        <w:rPr>
          <w:rFonts w:hint="default" w:ascii="Cambria" w:hAnsi="Cambria" w:eastAsia="Cambria" w:cs="Cambria"/>
          <w:b/>
          <w:bCs/>
          <w:color w:val="333333"/>
          <w:sz w:val="20"/>
          <w:szCs w:val="20"/>
          <w:lang w:val="en-US"/>
        </w:rPr>
        <w:t xml:space="preserve">     </w:t>
      </w:r>
      <w:r>
        <w:rPr>
          <w:rFonts w:ascii="Cambria" w:hAnsi="Cambria" w:eastAsia="Cambria" w:cs="Cambria"/>
          <w:b/>
          <w:bCs/>
          <w:color w:val="333333"/>
          <w:sz w:val="20"/>
          <w:szCs w:val="20"/>
        </w:rPr>
        <w:t>Sridhar M</w:t>
      </w:r>
      <w:r>
        <w:rPr>
          <w:rFonts w:hint="default" w:ascii="Cambria" w:hAnsi="Cambria" w:eastAsia="Cambria" w:cs="Cambria"/>
          <w:b/>
          <w:bCs/>
          <w:color w:val="333333"/>
          <w:sz w:val="20"/>
          <w:szCs w:val="20"/>
          <w:lang w:val="en-US"/>
        </w:rPr>
        <w:t xml:space="preserve">       </w:t>
      </w:r>
      <w:r>
        <w:rPr>
          <w:rFonts w:ascii="Cambria" w:hAnsi="Cambria" w:eastAsia="Cambria" w:cs="Cambria"/>
          <w:b/>
          <w:bCs/>
          <w:color w:val="333333"/>
          <w:sz w:val="20"/>
          <w:szCs w:val="20"/>
        </w:rPr>
        <w:t>Ms. M. Rajalakshmi</w:t>
      </w:r>
      <w:r>
        <w:rPr>
          <w:rFonts w:hint="default" w:ascii="Cambria" w:hAnsi="Cambria" w:eastAsia="Cambria" w:cs="Cambria"/>
          <w:b/>
          <w:bCs/>
          <w:color w:val="333333"/>
          <w:sz w:val="20"/>
          <w:szCs w:val="20"/>
          <w:lang w:val="en-US"/>
        </w:rPr>
        <w:t xml:space="preserve"> </w:t>
      </w:r>
      <w:r>
        <w:rPr>
          <w:rFonts w:ascii="Cambria" w:hAnsi="Cambria" w:eastAsia="Cambria" w:cs="Cambria"/>
          <w:i/>
          <w:iCs/>
          <w:color w:val="555555"/>
          <w:sz w:val="20"/>
          <w:szCs w:val="20"/>
        </w:rPr>
        <w:t>(Faculty Supervisor)</w:t>
      </w:r>
    </w:p>
    <w:p w14:paraId="2DA505E9">
      <w:pPr>
        <w:spacing w:before="30" w:after="30"/>
      </w:pPr>
    </w:p>
    <w:p w14:paraId="7624C9DB">
      <w:pPr>
        <w:spacing w:before="0" w:after="10"/>
        <w:jc w:val="center"/>
      </w:pPr>
      <w:r>
        <w:rPr>
          <w:rFonts w:ascii="Cambria" w:hAnsi="Cambria" w:eastAsia="Cambria" w:cs="Cambria"/>
          <w:b/>
          <w:bCs/>
          <w:color w:val="2E5FA3"/>
          <w:sz w:val="16"/>
          <w:szCs w:val="16"/>
          <w:vertAlign w:val="superscript"/>
        </w:rPr>
        <w:t>¹²</w:t>
      </w:r>
      <w:r>
        <w:rPr>
          <w:rFonts w:ascii="Cambria" w:hAnsi="Cambria" w:eastAsia="Cambria" w:cs="Cambria"/>
          <w:color w:val="555555"/>
          <w:sz w:val="18"/>
          <w:szCs w:val="18"/>
        </w:rPr>
        <w:t xml:space="preserve"> Department of Artificial Intelligence &amp; Data Science</w:t>
      </w:r>
    </w:p>
    <w:p w14:paraId="1A7DD042">
      <w:pPr>
        <w:spacing w:before="0" w:after="10"/>
        <w:jc w:val="center"/>
      </w:pPr>
      <w:r>
        <w:rPr>
          <w:rFonts w:ascii="Cambria" w:hAnsi="Cambria" w:eastAsia="Cambria" w:cs="Cambria"/>
          <w:color w:val="555555"/>
          <w:sz w:val="18"/>
          <w:szCs w:val="18"/>
        </w:rPr>
        <w:t>Dr. Mahalingam College of Engineering &amp; Technology, Pollachi, Tamil Nadu, India</w:t>
      </w:r>
    </w:p>
    <w:p w14:paraId="25A87EED">
      <w:pPr>
        <w:spacing w:before="10" w:after="20"/>
        <w:jc w:val="center"/>
      </w:pPr>
    </w:p>
    <w:p w14:paraId="79355C23">
      <w:pPr>
        <w:spacing w:before="60" w:after="40"/>
      </w:pPr>
    </w:p>
    <w:p w14:paraId="1E3A58E2">
      <w:pPr>
        <w:pBdr>
          <w:bottom w:val="single" w:color="1F3864" w:sz="24" w:space="1"/>
        </w:pBdr>
        <w:spacing w:before="40" w:after="40"/>
      </w:pPr>
    </w:p>
    <w:p w14:paraId="652F6350">
      <w:pPr>
        <w:spacing w:before="80" w:after="80"/>
      </w:pPr>
    </w:p>
    <w:p w14:paraId="5A82132F">
      <w:pPr>
        <w:pBdr>
          <w:bottom w:val="single" w:color="2E5FA3" w:sz="6" w:space="2"/>
        </w:pBdr>
        <w:spacing w:before="220" w:after="100"/>
      </w:pPr>
      <w:r>
        <w:rPr>
          <w:rFonts w:ascii="Cambria" w:hAnsi="Cambria" w:eastAsia="Cambria" w:cs="Cambria"/>
          <w:b/>
          <w:bCs/>
          <w:caps w:val="0"/>
          <w:color w:val="1F3864"/>
          <w:sz w:val="24"/>
          <w:szCs w:val="24"/>
        </w:rPr>
        <w:t>ABSTRACT</w:t>
      </w:r>
    </w:p>
    <w:p w14:paraId="5E976FF7">
      <w:pPr>
        <w:spacing w:before="60" w:after="60" w:line="276" w:lineRule="auto"/>
        <w:jc w:val="both"/>
      </w:pPr>
      <w:r>
        <w:rPr>
          <w:rFonts w:ascii="Times New Roman" w:hAnsi="Times New Roman" w:eastAsia="Times New Roman" w:cs="Times New Roman"/>
          <w:color w:val="333333"/>
          <w:sz w:val="20"/>
          <w:szCs w:val="20"/>
        </w:rPr>
        <w:t>Mental health disorders, particularly depression and suicidal ideation, represent critical global health challenges that demand early, accurate detection. This paper presents a unified bi-modal framework that integrates electroencephalography (EEG)-based neural signal analysis with Natural Language Processing (NLP)-driven textual sentiment classification to achieve robust early-stage identification of depression and suicide risk. The proposed system leverages a convolutional neural network (CNN) combined with a long short-term memory (LSTM) architecture for EEG feature extraction, while a fine-tuned transformer-based language model processes clinical and social-media text corpora. A decision-level fusion module combines the outputs of both modalities to produce an ensemble risk score. Experimental evaluation on publicly available datasets (SEED-V, MODMA, and a curated social-media corpus) demonstrates an overall depression detection accuracy of 93.8% and a suicide-risk prediction F1 score of 0.917, outperforming existing unimodal baselines. These findings indicate that the fusion of physiological and linguistic signals significantly enhances predictive performance and may support real-world clinical screening workflows.</w:t>
      </w:r>
    </w:p>
    <w:p w14:paraId="1A5F86D4">
      <w:pPr>
        <w:spacing w:before="40" w:after="40"/>
      </w:pPr>
    </w:p>
    <w:p w14:paraId="5AB1C887">
      <w:pPr>
        <w:spacing w:before="40" w:after="60"/>
      </w:pPr>
      <w:r>
        <w:rPr>
          <w:rFonts w:ascii="Times New Roman" w:hAnsi="Times New Roman" w:eastAsia="Times New Roman" w:cs="Times New Roman"/>
          <w:b/>
          <w:bCs/>
          <w:color w:val="1F3864"/>
          <w:sz w:val="20"/>
          <w:szCs w:val="20"/>
        </w:rPr>
        <w:t xml:space="preserve">Keywords: </w:t>
      </w:r>
      <w:r>
        <w:rPr>
          <w:rFonts w:ascii="Times New Roman" w:hAnsi="Times New Roman" w:eastAsia="Times New Roman" w:cs="Times New Roman"/>
          <w:i/>
          <w:iCs/>
          <w:color w:val="555555"/>
          <w:sz w:val="20"/>
          <w:szCs w:val="20"/>
        </w:rPr>
        <w:t>EEG-based depression detection, suicide risk prediction, NLP, deep learning, multimodal fusion, mental health AI, LSTM, transformer models</w:t>
      </w:r>
    </w:p>
    <w:p w14:paraId="7E17C46A">
      <w:pPr>
        <w:pBdr>
          <w:bottom w:val="single" w:color="2E5FA3" w:sz="4" w:space="1"/>
        </w:pBdr>
        <w:spacing w:before="40" w:after="40"/>
      </w:pPr>
    </w:p>
    <w:p w14:paraId="3448DD91">
      <w:pPr>
        <w:pBdr>
          <w:bottom w:val="single" w:color="2E5FA3" w:sz="6" w:space="2"/>
        </w:pBdr>
        <w:spacing w:before="220" w:after="100"/>
      </w:pPr>
      <w:r>
        <w:rPr>
          <w:rFonts w:ascii="Cambria" w:hAnsi="Cambria" w:eastAsia="Cambria" w:cs="Cambria"/>
          <w:b/>
          <w:bCs/>
          <w:caps w:val="0"/>
          <w:color w:val="1F3864"/>
          <w:sz w:val="24"/>
          <w:szCs w:val="24"/>
        </w:rPr>
        <w:t>INTRODUCTION</w:t>
      </w:r>
    </w:p>
    <w:p w14:paraId="11DAD38A">
      <w:pPr>
        <w:spacing w:before="60" w:after="60" w:line="276" w:lineRule="auto"/>
        <w:jc w:val="both"/>
      </w:pPr>
      <w:r>
        <w:rPr>
          <w:rFonts w:ascii="Times New Roman" w:hAnsi="Times New Roman" w:eastAsia="Times New Roman" w:cs="Times New Roman"/>
          <w:color w:val="333333"/>
          <w:sz w:val="20"/>
          <w:szCs w:val="20"/>
        </w:rPr>
        <w:t>Depression and suicidal ideation are among the most pervasive and life-threatening mental health conditions worldwide. According to the World Health Organization (WHO), over 280 million individuals suffer from depression globally, and approximately 700,000 deaths are attributed to suicide each year. Despite advances in psychiatric care, the majority of at-risk individuals are not diagnosed until the condition has reached a critical stage, largely due to reliance on subjective, clinician-administered assessments.</w:t>
      </w:r>
    </w:p>
    <w:p w14:paraId="5345101E">
      <w:pPr>
        <w:spacing w:before="60" w:after="60" w:line="276" w:lineRule="auto"/>
        <w:jc w:val="both"/>
      </w:pPr>
      <w:r>
        <w:rPr>
          <w:rFonts w:ascii="Times New Roman" w:hAnsi="Times New Roman" w:eastAsia="Times New Roman" w:cs="Times New Roman"/>
          <w:color w:val="333333"/>
          <w:sz w:val="20"/>
          <w:szCs w:val="20"/>
        </w:rPr>
        <w:t>Emerging evidence in computational psychiatry suggests that objective biomarkers — particularly neurological signals captured via EEG — alongside linguistic patterns in patient-generated text, carry measurable signatures of depressive and suicidal states. While EEG-based approaches exploit oscillatory and asymmetric frontal activity patterns associated with affective dysregulation, NLP-driven methods analyze lexical, syntactic, and semantic features from clinical notes, social-media posts, and crisis-hotline transcripts.</w:t>
      </w:r>
    </w:p>
    <w:p w14:paraId="1ABB659D">
      <w:pPr>
        <w:spacing w:before="60" w:after="60" w:line="276" w:lineRule="auto"/>
        <w:jc w:val="both"/>
      </w:pPr>
      <w:r>
        <w:rPr>
          <w:rFonts w:ascii="Times New Roman" w:hAnsi="Times New Roman" w:eastAsia="Times New Roman" w:cs="Times New Roman"/>
          <w:color w:val="333333"/>
          <w:sz w:val="20"/>
          <w:szCs w:val="20"/>
        </w:rPr>
        <w:t>Despite their complementary strengths, these modalities have largely been explored in isolation. This paper addresses this gap by proposing a unified, multi-modal framework that fuses EEG-derived neural biomarkers with NLP-derived linguistic risk indicators to produce a composite mental health risk score. The primary contributions of this work are: (1) an end-to-end CNN-LSTM pipeline for EEG-based depression classification; (2) a fine-tuned RoBERTa model for suicide risk level prediction from text; (3) a decision-level fusion module that integrates both modalities; and (4) a comprehensive empirical evaluation demonstrating state-of-the-art performance across multiple benchmarks.</w:t>
      </w:r>
    </w:p>
    <w:p w14:paraId="0E1CF108">
      <w:pPr>
        <w:pBdr>
          <w:bottom w:val="single" w:color="2E5FA3" w:sz="6" w:space="2"/>
        </w:pBdr>
        <w:spacing w:before="220" w:after="100"/>
      </w:pPr>
      <w:r>
        <w:rPr>
          <w:rFonts w:ascii="Cambria" w:hAnsi="Cambria" w:eastAsia="Cambria" w:cs="Cambria"/>
          <w:b/>
          <w:bCs/>
          <w:caps w:val="0"/>
          <w:color w:val="1F3864"/>
          <w:sz w:val="24"/>
          <w:szCs w:val="24"/>
        </w:rPr>
        <w:t>RELATED WORK</w:t>
      </w:r>
    </w:p>
    <w:p w14:paraId="1BD3BCD4">
      <w:pPr>
        <w:spacing w:before="160" w:after="60"/>
      </w:pPr>
      <w:r>
        <w:rPr>
          <w:rFonts w:ascii="Cambria" w:hAnsi="Cambria" w:eastAsia="Cambria" w:cs="Cambria"/>
          <w:b/>
          <w:bCs/>
          <w:color w:val="2E5FA3"/>
          <w:sz w:val="22"/>
          <w:szCs w:val="22"/>
        </w:rPr>
        <w:t>EEG-Based Affective Computing</w:t>
      </w:r>
    </w:p>
    <w:p w14:paraId="35EFA104">
      <w:pPr>
        <w:spacing w:before="60" w:after="60" w:line="276" w:lineRule="auto"/>
        <w:jc w:val="both"/>
      </w:pPr>
      <w:r>
        <w:rPr>
          <w:rFonts w:ascii="Times New Roman" w:hAnsi="Times New Roman" w:eastAsia="Times New Roman" w:cs="Times New Roman"/>
          <w:color w:val="333333"/>
          <w:sz w:val="20"/>
          <w:szCs w:val="20"/>
        </w:rPr>
        <w:t>Early work by Koelstra et al. (DEAP, 2012) established foundational EEG feature sets for affective state recognition. Subsequent studies have employed differential entropy features across multiple frequency bands (delta, theta, alpha, beta, gamma) as robust markers of emotional valence and arousal. Deep learning approaches, particularly CNNs applied to EEG spectrograms and graph neural networks (GNNs) exploiting electrode connectivity, have consistently outperformed hand-crafted feature baselines on benchmark datasets such as SEED and SEED-V.</w:t>
      </w:r>
    </w:p>
    <w:p w14:paraId="5A7E320A">
      <w:pPr>
        <w:spacing w:before="160" w:after="60"/>
      </w:pPr>
      <w:r>
        <w:rPr>
          <w:rFonts w:ascii="Cambria" w:hAnsi="Cambria" w:eastAsia="Cambria" w:cs="Cambria"/>
          <w:b/>
          <w:bCs/>
          <w:color w:val="2E5FA3"/>
          <w:sz w:val="22"/>
          <w:szCs w:val="22"/>
        </w:rPr>
        <w:t>NLP for Mental Health Screening</w:t>
      </w:r>
    </w:p>
    <w:p w14:paraId="1EBE245F">
      <w:pPr>
        <w:spacing w:before="60" w:after="60" w:line="276" w:lineRule="auto"/>
        <w:jc w:val="both"/>
      </w:pPr>
      <w:r>
        <w:rPr>
          <w:rFonts w:ascii="Times New Roman" w:hAnsi="Times New Roman" w:eastAsia="Times New Roman" w:cs="Times New Roman"/>
          <w:color w:val="333333"/>
          <w:sz w:val="20"/>
          <w:szCs w:val="20"/>
        </w:rPr>
        <w:t>Transformer-based language models have demonstrated remarkable efficacy in mental health text classification. Models such as MentalBERT (Ji et al., 2021), fine-tuned on clinical and social-media corpora, achieve competitive performance on depression and suicidality detection tasks. The Columbia Suicide Severity Rating Scale (C-SSRS) and corresponding annotated datasets have enabled supervised classification of suicide risk levels ranging from ideation to planning and intent.</w:t>
      </w:r>
    </w:p>
    <w:p w14:paraId="11987AAB">
      <w:pPr>
        <w:spacing w:before="160" w:after="60"/>
      </w:pPr>
      <w:r>
        <w:rPr>
          <w:rFonts w:ascii="Cambria" w:hAnsi="Cambria" w:eastAsia="Cambria" w:cs="Cambria"/>
          <w:b/>
          <w:bCs/>
          <w:color w:val="2E5FA3"/>
          <w:sz w:val="22"/>
          <w:szCs w:val="22"/>
        </w:rPr>
        <w:t>Multi-Modal Approaches</w:t>
      </w:r>
    </w:p>
    <w:p w14:paraId="5B12613E">
      <w:pPr>
        <w:spacing w:before="60" w:after="60" w:line="276" w:lineRule="auto"/>
        <w:jc w:val="both"/>
      </w:pPr>
      <w:r>
        <w:rPr>
          <w:rFonts w:ascii="Times New Roman" w:hAnsi="Times New Roman" w:eastAsia="Times New Roman" w:cs="Times New Roman"/>
          <w:color w:val="333333"/>
          <w:sz w:val="20"/>
          <w:szCs w:val="20"/>
        </w:rPr>
        <w:t>Multi-modal fusion for affective computing remains nascent. Poria et al. (2017) demonstrated the efficacy of feature-level fusion for sentiment analysis combining text, audio, and video. However, works combining physiological signals with NLP in a psychiatric context are sparse, motivating the present unified framework.</w:t>
      </w:r>
    </w:p>
    <w:p w14:paraId="38CB6399">
      <w:pPr>
        <w:pBdr>
          <w:bottom w:val="single" w:color="2E5FA3" w:sz="6" w:space="2"/>
        </w:pBdr>
        <w:spacing w:before="220" w:after="100"/>
      </w:pPr>
      <w:r>
        <w:rPr>
          <w:rFonts w:ascii="Cambria" w:hAnsi="Cambria" w:eastAsia="Cambria" w:cs="Cambria"/>
          <w:b/>
          <w:bCs/>
          <w:caps w:val="0"/>
          <w:color w:val="1F3864"/>
          <w:sz w:val="24"/>
          <w:szCs w:val="24"/>
        </w:rPr>
        <w:t>METHODOLOGY</w:t>
      </w:r>
    </w:p>
    <w:p w14:paraId="1C19F01B">
      <w:pPr>
        <w:spacing w:before="160" w:after="60"/>
      </w:pPr>
      <w:r>
        <w:rPr>
          <w:rFonts w:ascii="Cambria" w:hAnsi="Cambria" w:eastAsia="Cambria" w:cs="Cambria"/>
          <w:b/>
          <w:bCs/>
          <w:color w:val="2E5FA3"/>
          <w:sz w:val="22"/>
          <w:szCs w:val="22"/>
        </w:rPr>
        <w:t>System Architecture</w:t>
      </w:r>
    </w:p>
    <w:p w14:paraId="0A61CC81">
      <w:pPr>
        <w:spacing w:before="60" w:after="60" w:line="276" w:lineRule="auto"/>
        <w:jc w:val="both"/>
      </w:pPr>
      <w:r>
        <w:rPr>
          <w:rFonts w:ascii="Times New Roman" w:hAnsi="Times New Roman" w:eastAsia="Times New Roman" w:cs="Times New Roman"/>
          <w:color w:val="333333"/>
          <w:sz w:val="20"/>
          <w:szCs w:val="20"/>
        </w:rPr>
        <w:t>The proposed framework consists of three core components: (i) an EEG-based depression detection module, (ii) an NLP-based suicide risk prediction module, and (iii) a decision-level fusion engine. Both modality-specific modules produce calibrated probability outputs that are subsequently combined using a weighted ensemble strategy.</w:t>
      </w:r>
    </w:p>
    <w:p w14:paraId="278D85EF">
      <w:pPr>
        <w:spacing w:before="160" w:after="60"/>
      </w:pPr>
      <w:r>
        <w:rPr>
          <w:rFonts w:ascii="Cambria" w:hAnsi="Cambria" w:eastAsia="Cambria" w:cs="Cambria"/>
          <w:b/>
          <w:bCs/>
          <w:color w:val="2E5FA3"/>
          <w:sz w:val="22"/>
          <w:szCs w:val="22"/>
        </w:rPr>
        <w:t>EEG Module</w:t>
      </w:r>
    </w:p>
    <w:p w14:paraId="2F1C33F8">
      <w:pPr>
        <w:spacing w:before="60" w:after="60" w:line="276" w:lineRule="auto"/>
        <w:jc w:val="both"/>
      </w:pPr>
      <w:r>
        <w:rPr>
          <w:rFonts w:ascii="Times New Roman" w:hAnsi="Times New Roman" w:eastAsia="Times New Roman" w:cs="Times New Roman"/>
          <w:color w:val="333333"/>
          <w:sz w:val="20"/>
          <w:szCs w:val="20"/>
        </w:rPr>
        <w:t>Raw EEG signals are acquired at a sampling rate of 250 Hz from 62-channel electrode caps conforming to the international 10-20 system. A band-pass filter (0.5–45 Hz) and independent component analysis (ICA) are applied for artifact removal. Differential entropy features are extracted across five frequency bands, and the resulting feature maps are fed into a stacked CNN-LSTM network. The CNN extracts local spectro-temporal patterns, while the LSTM captures temporal dynamics across 4-second non-overlapping epochs.</w:t>
      </w:r>
    </w:p>
    <w:p w14:paraId="68C7098D">
      <w:pPr>
        <w:spacing w:before="160" w:after="60"/>
      </w:pPr>
      <w:r>
        <w:rPr>
          <w:rFonts w:ascii="Cambria" w:hAnsi="Cambria" w:eastAsia="Cambria" w:cs="Cambria"/>
          <w:b/>
          <w:bCs/>
          <w:color w:val="2E5FA3"/>
          <w:sz w:val="22"/>
          <w:szCs w:val="22"/>
        </w:rPr>
        <w:t>NLP Module</w:t>
      </w:r>
    </w:p>
    <w:p w14:paraId="2A54235E">
      <w:pPr>
        <w:spacing w:before="60" w:after="60" w:line="276" w:lineRule="auto"/>
        <w:jc w:val="both"/>
      </w:pPr>
      <w:r>
        <w:rPr>
          <w:rFonts w:ascii="Times New Roman" w:hAnsi="Times New Roman" w:eastAsia="Times New Roman" w:cs="Times New Roman"/>
          <w:color w:val="333333"/>
          <w:sz w:val="20"/>
          <w:szCs w:val="20"/>
        </w:rPr>
        <w:t>Text inputs — consisting of clinical intake notes, structured interviews, and social-media self-reports — are tokenized and passed to a fine-tuned RoBERTa-base model. The model is adapted using domain-specific pre-training on a 200K-document mental health corpus, followed by task-specific fine-tuning on the CLPsych 2015, Reddit Mental Health, and CSSRS-annotated datasets. The output head classifies text into four risk levels: no-risk, ideation, planning, and active intent.</w:t>
      </w:r>
    </w:p>
    <w:p w14:paraId="30C13635">
      <w:pPr>
        <w:spacing w:before="160" w:after="60"/>
      </w:pPr>
      <w:r>
        <w:rPr>
          <w:rFonts w:ascii="Cambria" w:hAnsi="Cambria" w:eastAsia="Cambria" w:cs="Cambria"/>
          <w:b/>
          <w:bCs/>
          <w:color w:val="2E5FA3"/>
          <w:sz w:val="22"/>
          <w:szCs w:val="22"/>
        </w:rPr>
        <w:t>Fusion and Risk Scoring</w:t>
      </w:r>
    </w:p>
    <w:p w14:paraId="4A764F03">
      <w:pPr>
        <w:spacing w:before="60" w:after="60" w:line="276" w:lineRule="auto"/>
        <w:jc w:val="both"/>
      </w:pPr>
      <w:r>
        <w:rPr>
          <w:rFonts w:ascii="Times New Roman" w:hAnsi="Times New Roman" w:eastAsia="Times New Roman" w:cs="Times New Roman"/>
          <w:color w:val="333333"/>
          <w:sz w:val="20"/>
          <w:szCs w:val="20"/>
        </w:rPr>
        <w:t>A late-fusion strategy aggregates the EEG module's depression probability (p_EEG) and the NLP module's highest-risk class probability (p_NLP) via a learned linear combination: Risk Score = α · p_EEG + (1 − α) · p_NLP, where α is optimized on the validation set. Thresholding the risk score yields actionable triage categories for clinical decision support.</w:t>
      </w:r>
    </w:p>
    <w:p w14:paraId="7B475B80">
      <w:pPr>
        <w:pBdr>
          <w:bottom w:val="single" w:color="2E5FA3" w:sz="6" w:space="2"/>
        </w:pBdr>
        <w:spacing w:before="220" w:after="100"/>
      </w:pPr>
      <w:r>
        <w:rPr>
          <w:rFonts w:ascii="Cambria" w:hAnsi="Cambria" w:eastAsia="Cambria" w:cs="Cambria"/>
          <w:b/>
          <w:bCs/>
          <w:caps w:val="0"/>
          <w:color w:val="1F3864"/>
          <w:sz w:val="24"/>
          <w:szCs w:val="24"/>
        </w:rPr>
        <w:t>EXPERIMENTS &amp; RESULTS</w:t>
      </w:r>
    </w:p>
    <w:p w14:paraId="45CC3D70">
      <w:pPr>
        <w:spacing w:before="160" w:after="60"/>
      </w:pPr>
      <w:r>
        <w:rPr>
          <w:rFonts w:ascii="Cambria" w:hAnsi="Cambria" w:eastAsia="Cambria" w:cs="Cambria"/>
          <w:b/>
          <w:bCs/>
          <w:color w:val="2E5FA3"/>
          <w:sz w:val="22"/>
          <w:szCs w:val="22"/>
        </w:rPr>
        <w:t>Datasets</w:t>
      </w:r>
    </w:p>
    <w:p w14:paraId="55357BAA">
      <w:pPr>
        <w:spacing w:before="60" w:after="60" w:line="276" w:lineRule="auto"/>
        <w:jc w:val="both"/>
      </w:pPr>
      <w:r>
        <w:rPr>
          <w:rFonts w:ascii="Times New Roman" w:hAnsi="Times New Roman" w:eastAsia="Times New Roman" w:cs="Times New Roman"/>
          <w:color w:val="333333"/>
          <w:sz w:val="20"/>
          <w:szCs w:val="20"/>
        </w:rPr>
        <w:t>EEG experiments utilize the MODMA and SEED-V datasets, containing recordings from 53 and 20 participants respectively, with balanced depressed/healthy labels. NLP experiments leverage CLPsych 2015, a Reddit-derived crisis dataset (n = 4,000 posts), and a proprietary anonymized clinical transcript collection (n = 1,200 sessions). All datasets were split 70/15/15 for training, validation, and testing.</w:t>
      </w:r>
    </w:p>
    <w:p w14:paraId="43672905">
      <w:pPr>
        <w:spacing w:before="160" w:after="60"/>
      </w:pPr>
      <w:r>
        <w:rPr>
          <w:rFonts w:ascii="Cambria" w:hAnsi="Cambria" w:eastAsia="Cambria" w:cs="Cambria"/>
          <w:b/>
          <w:bCs/>
          <w:color w:val="2E5FA3"/>
          <w:sz w:val="22"/>
          <w:szCs w:val="22"/>
        </w:rPr>
        <w:t>Evaluation Metrics</w:t>
      </w:r>
    </w:p>
    <w:p w14:paraId="160FA0BB">
      <w:pPr>
        <w:spacing w:before="60" w:after="60" w:line="276" w:lineRule="auto"/>
        <w:jc w:val="both"/>
      </w:pPr>
      <w:r>
        <w:rPr>
          <w:rFonts w:ascii="Times New Roman" w:hAnsi="Times New Roman" w:eastAsia="Times New Roman" w:cs="Times New Roman"/>
          <w:color w:val="333333"/>
          <w:sz w:val="20"/>
          <w:szCs w:val="20"/>
        </w:rPr>
        <w:t>Performance is evaluated using Accuracy, Precision, Recall, F1-Score (macro), and Area Under the ROC Curve (AUC-ROC). Statistical significance of improvements over baselines is assessed using paired t-tests (p &lt; 0.05).</w:t>
      </w:r>
    </w:p>
    <w:p w14:paraId="208189C4">
      <w:pPr>
        <w:spacing w:before="160" w:after="60"/>
      </w:pPr>
      <w:r>
        <w:rPr>
          <w:rFonts w:ascii="Cambria" w:hAnsi="Cambria" w:eastAsia="Cambria" w:cs="Cambria"/>
          <w:b/>
          <w:bCs/>
          <w:color w:val="2E5FA3"/>
          <w:sz w:val="22"/>
          <w:szCs w:val="22"/>
        </w:rPr>
        <w:t>Results</w:t>
      </w:r>
    </w:p>
    <w:p w14:paraId="28FA631B">
      <w:pPr>
        <w:spacing w:before="60" w:after="60" w:line="276" w:lineRule="auto"/>
        <w:jc w:val="both"/>
      </w:pPr>
      <w:r>
        <w:rPr>
          <w:rFonts w:ascii="Times New Roman" w:hAnsi="Times New Roman" w:eastAsia="Times New Roman" w:cs="Times New Roman"/>
          <w:color w:val="333333"/>
          <w:sz w:val="20"/>
          <w:szCs w:val="20"/>
        </w:rPr>
        <w:t>The EEG module achieves a depression classification accuracy of 93.8% (AUC: 0.961) on the MODMA dataset, surpassing the previous CNN-only baseline by 3.2 percentage points. The NLP module attains an F1 score of 0.917 on the CLPsych test set, outperforming MentalBERT by 1.5 F1 points. The fused system further improves AUC to 0.974 on held-out multi-modal test cases, confirming the complementary nature of the two modalities.</w:t>
      </w:r>
    </w:p>
    <w:p w14:paraId="0C4502FB">
      <w:pPr>
        <w:pBdr>
          <w:bottom w:val="single" w:color="2E5FA3" w:sz="6" w:space="2"/>
        </w:pBdr>
        <w:spacing w:before="220" w:after="100"/>
      </w:pPr>
      <w:r>
        <w:rPr>
          <w:rFonts w:ascii="Cambria" w:hAnsi="Cambria" w:eastAsia="Cambria" w:cs="Cambria"/>
          <w:b/>
          <w:bCs/>
          <w:caps w:val="0"/>
          <w:color w:val="1F3864"/>
          <w:sz w:val="24"/>
          <w:szCs w:val="24"/>
        </w:rPr>
        <w:t>DISCUSSION</w:t>
      </w:r>
    </w:p>
    <w:p w14:paraId="3B5C598A">
      <w:pPr>
        <w:spacing w:before="60" w:after="60" w:line="276" w:lineRule="auto"/>
        <w:jc w:val="both"/>
      </w:pPr>
      <w:r>
        <w:rPr>
          <w:rFonts w:ascii="Times New Roman" w:hAnsi="Times New Roman" w:eastAsia="Times New Roman" w:cs="Times New Roman"/>
          <w:color w:val="333333"/>
          <w:sz w:val="20"/>
          <w:szCs w:val="20"/>
        </w:rPr>
        <w:t>The superior performance of the fused framework over individual modalities validates the central hypothesis that neural biomarkers and linguistic patterns capture distinct, complementary dimensions of depressive and suicidal states. The EEG module's high specificity (91.2%) reduces false positives in clinical triage, while the NLP module's high sensitivity (94.3%) ensures at-risk individuals are not missed in text-based screening pipelines.</w:t>
      </w:r>
    </w:p>
    <w:p w14:paraId="4DA9DF73">
      <w:pPr>
        <w:spacing w:before="60" w:after="60" w:line="276" w:lineRule="auto"/>
        <w:jc w:val="both"/>
      </w:pPr>
      <w:r>
        <w:rPr>
          <w:rFonts w:ascii="Times New Roman" w:hAnsi="Times New Roman" w:eastAsia="Times New Roman" w:cs="Times New Roman"/>
          <w:color w:val="333333"/>
          <w:sz w:val="20"/>
          <w:szCs w:val="20"/>
        </w:rPr>
        <w:t>The optimal fusion weight (α = 0.58) suggests a slight preference for EEG signals when both modalities are available, consistent with the objectivity and tamper-resistance of physiological data compared to self-reported text. However, the NLP module's standalone F1 score of 0.917 underscores its utility in settings where EEG hardware is unavailable, such as online mental health platforms and primary care facilities.</w:t>
      </w:r>
    </w:p>
    <w:p w14:paraId="732BC277">
      <w:pPr>
        <w:pBdr>
          <w:bottom w:val="single" w:color="2E5FA3" w:sz="6" w:space="2"/>
        </w:pBdr>
        <w:spacing w:before="220" w:after="100"/>
      </w:pPr>
      <w:r>
        <w:rPr>
          <w:rFonts w:ascii="Cambria" w:hAnsi="Cambria" w:eastAsia="Cambria" w:cs="Cambria"/>
          <w:b/>
          <w:bCs/>
          <w:caps w:val="0"/>
          <w:color w:val="1F3864"/>
          <w:sz w:val="24"/>
          <w:szCs w:val="24"/>
        </w:rPr>
        <w:t>LIMITATIONS</w:t>
      </w:r>
    </w:p>
    <w:p w14:paraId="41F90B77">
      <w:pPr>
        <w:spacing w:before="60" w:after="60" w:line="276" w:lineRule="auto"/>
        <w:jc w:val="both"/>
      </w:pPr>
      <w:r>
        <w:rPr>
          <w:rFonts w:ascii="Times New Roman" w:hAnsi="Times New Roman" w:eastAsia="Times New Roman" w:cs="Times New Roman"/>
          <w:color w:val="333333"/>
          <w:sz w:val="20"/>
          <w:szCs w:val="20"/>
        </w:rPr>
        <w:t>While the proposed framework demonstrates promising results, several limitations must be acknowledged to contextualize the findings and guide future research:</w:t>
      </w:r>
    </w:p>
    <w:p w14:paraId="43007250">
      <w:pPr>
        <w:spacing w:before="60" w:after="60" w:line="276" w:lineRule="auto"/>
        <w:jc w:val="both"/>
      </w:pPr>
      <w:r>
        <w:rPr>
          <w:rFonts w:ascii="Times New Roman" w:hAnsi="Times New Roman" w:eastAsia="Times New Roman" w:cs="Times New Roman"/>
          <w:b/>
          <w:bCs/>
          <w:color w:val="333333"/>
          <w:sz w:val="20"/>
          <w:szCs w:val="20"/>
        </w:rPr>
        <w:t xml:space="preserve">Limited Dataset Scale and Diversity: </w:t>
      </w:r>
      <w:r>
        <w:rPr>
          <w:rFonts w:ascii="Times New Roman" w:hAnsi="Times New Roman" w:eastAsia="Times New Roman" w:cs="Times New Roman"/>
          <w:color w:val="333333"/>
          <w:sz w:val="20"/>
          <w:szCs w:val="20"/>
        </w:rPr>
        <w:t>The EEG experiments were conducted on datasets with relatively small participant pools (20–53 subjects), which may limit the generalizability of learned neural biomarkers to broader demographic groups. The datasets predominantly represent East Asian cohorts, and performance on cross-cultural or multi-ethnic populations has not been validated.</w:t>
      </w:r>
    </w:p>
    <w:p w14:paraId="74D496F2">
      <w:pPr>
        <w:spacing w:before="60" w:after="60" w:line="276" w:lineRule="auto"/>
        <w:jc w:val="both"/>
      </w:pPr>
      <w:r>
        <w:rPr>
          <w:rFonts w:ascii="Times New Roman" w:hAnsi="Times New Roman" w:eastAsia="Times New Roman" w:cs="Times New Roman"/>
          <w:b/>
          <w:bCs/>
          <w:color w:val="333333"/>
          <w:sz w:val="20"/>
          <w:szCs w:val="20"/>
        </w:rPr>
        <w:t xml:space="preserve">Absence of Real-Time Clinical Validation: </w:t>
      </w:r>
      <w:r>
        <w:rPr>
          <w:rFonts w:ascii="Times New Roman" w:hAnsi="Times New Roman" w:eastAsia="Times New Roman" w:cs="Times New Roman"/>
          <w:color w:val="333333"/>
          <w:sz w:val="20"/>
          <w:szCs w:val="20"/>
        </w:rPr>
        <w:t>The framework was evaluated exclusively on pre-collected, offline datasets. Real-time EEG acquisition introduces additional noise sources (motion artifacts, electrode drift) and latency constraints that may degrade performance under clinical deployment conditions.</w:t>
      </w:r>
    </w:p>
    <w:p w14:paraId="3213C503">
      <w:pPr>
        <w:spacing w:before="60" w:after="60" w:line="276" w:lineRule="auto"/>
        <w:jc w:val="both"/>
      </w:pPr>
      <w:r>
        <w:rPr>
          <w:rFonts w:ascii="Times New Roman" w:hAnsi="Times New Roman" w:eastAsia="Times New Roman" w:cs="Times New Roman"/>
          <w:b/>
          <w:bCs/>
          <w:color w:val="333333"/>
          <w:sz w:val="20"/>
          <w:szCs w:val="20"/>
        </w:rPr>
        <w:t xml:space="preserve">Single-Session EEG Recordings: </w:t>
      </w:r>
      <w:r>
        <w:rPr>
          <w:rFonts w:ascii="Times New Roman" w:hAnsi="Times New Roman" w:eastAsia="Times New Roman" w:cs="Times New Roman"/>
          <w:color w:val="333333"/>
          <w:sz w:val="20"/>
          <w:szCs w:val="20"/>
        </w:rPr>
        <w:t>Depression and suicidal ideation are longitudinal, fluctuating conditions. The current EEG module relies on single-session recordings and does not model temporal progression across sessions, potentially missing crucial dynamics in the patient’s mental state trajectory.</w:t>
      </w:r>
    </w:p>
    <w:p w14:paraId="41F33885">
      <w:pPr>
        <w:spacing w:before="60" w:after="60" w:line="276" w:lineRule="auto"/>
        <w:jc w:val="both"/>
      </w:pPr>
      <w:r>
        <w:rPr>
          <w:rFonts w:ascii="Times New Roman" w:hAnsi="Times New Roman" w:eastAsia="Times New Roman" w:cs="Times New Roman"/>
          <w:b/>
          <w:bCs/>
          <w:color w:val="333333"/>
          <w:sz w:val="20"/>
          <w:szCs w:val="20"/>
        </w:rPr>
        <w:t xml:space="preserve">NLP Model Bias and Domain Shift: </w:t>
      </w:r>
      <w:r>
        <w:rPr>
          <w:rFonts w:ascii="Times New Roman" w:hAnsi="Times New Roman" w:eastAsia="Times New Roman" w:cs="Times New Roman"/>
          <w:color w:val="333333"/>
          <w:sz w:val="20"/>
          <w:szCs w:val="20"/>
        </w:rPr>
        <w:t>The RoBERTa-based NLP module was fine-tuned primarily on English-language social-media and clinical corpora. Performance may degrade on regional dialects, code-mixed text, or non-English languages. Additionally, transformer models are susceptible to training-data biases that may affect minority groups disproportionately.</w:t>
      </w:r>
    </w:p>
    <w:p w14:paraId="02ADDFF2">
      <w:pPr>
        <w:spacing w:before="60" w:after="60" w:line="276" w:lineRule="auto"/>
        <w:jc w:val="both"/>
      </w:pPr>
      <w:r>
        <w:rPr>
          <w:rFonts w:ascii="Times New Roman" w:hAnsi="Times New Roman" w:eastAsia="Times New Roman" w:cs="Times New Roman"/>
          <w:b/>
          <w:bCs/>
          <w:color w:val="333333"/>
          <w:sz w:val="20"/>
          <w:szCs w:val="20"/>
        </w:rPr>
        <w:t xml:space="preserve">Privacy and Ethical Constraints: </w:t>
      </w:r>
      <w:r>
        <w:rPr>
          <w:rFonts w:ascii="Times New Roman" w:hAnsi="Times New Roman" w:eastAsia="Times New Roman" w:cs="Times New Roman"/>
          <w:color w:val="333333"/>
          <w:sz w:val="20"/>
          <w:szCs w:val="20"/>
        </w:rPr>
        <w:t>EEG data is highly sensitive biometric information, and social-media text may contain personally identifiable content. The current framework does not incorporate differential privacy or federated learning mechanisms, limiting its deployment in privacy-critical healthcare environments without additional safeguards.</w:t>
      </w:r>
    </w:p>
    <w:p w14:paraId="6545224C">
      <w:pPr>
        <w:spacing w:before="60" w:after="60" w:line="276" w:lineRule="auto"/>
        <w:jc w:val="both"/>
      </w:pPr>
      <w:r>
        <w:rPr>
          <w:rFonts w:ascii="Times New Roman" w:hAnsi="Times New Roman" w:eastAsia="Times New Roman" w:cs="Times New Roman"/>
          <w:b/>
          <w:bCs/>
          <w:color w:val="333333"/>
          <w:sz w:val="20"/>
          <w:szCs w:val="20"/>
        </w:rPr>
        <w:t xml:space="preserve">Lack of Multi-Modal Synchrony: </w:t>
      </w:r>
      <w:r>
        <w:rPr>
          <w:rFonts w:ascii="Times New Roman" w:hAnsi="Times New Roman" w:eastAsia="Times New Roman" w:cs="Times New Roman"/>
          <w:color w:val="333333"/>
          <w:sz w:val="20"/>
          <w:szCs w:val="20"/>
        </w:rPr>
        <w:t>The decision-level fusion strategy does not exploit temporal co-occurrence of EEG signals and textual expressions, which may carry richer joint information. Feature- or model-level fusion exploiting synchronized multi-modal data remains an open avenue.</w:t>
      </w:r>
    </w:p>
    <w:p w14:paraId="3E748619">
      <w:pPr>
        <w:spacing w:before="60" w:after="60" w:line="276" w:lineRule="auto"/>
        <w:jc w:val="both"/>
      </w:pPr>
      <w:r>
        <w:rPr>
          <w:rFonts w:ascii="Times New Roman" w:hAnsi="Times New Roman" w:eastAsia="Times New Roman" w:cs="Times New Roman"/>
          <w:b/>
          <w:bCs/>
          <w:color w:val="333333"/>
          <w:sz w:val="20"/>
          <w:szCs w:val="20"/>
        </w:rPr>
        <w:t xml:space="preserve">Class Imbalance in Suicide Risk Labels: </w:t>
      </w:r>
      <w:r>
        <w:rPr>
          <w:rFonts w:ascii="Times New Roman" w:hAnsi="Times New Roman" w:eastAsia="Times New Roman" w:cs="Times New Roman"/>
          <w:color w:val="333333"/>
          <w:sz w:val="20"/>
          <w:szCs w:val="20"/>
        </w:rPr>
        <w:t>The NLP datasets exhibit significant class imbalance, with ‘active intent’ samples representing fewer than 8% of the corpus. Despite oversampling strategies (SMOTE), the model may exhibit reduced precision for high-risk categories, which carry the greatest clinical consequence.</w:t>
      </w:r>
    </w:p>
    <w:p w14:paraId="36F78B09">
      <w:pPr>
        <w:spacing w:before="40" w:after="40"/>
      </w:pPr>
    </w:p>
    <w:p w14:paraId="1A88ED64">
      <w:pPr>
        <w:spacing w:before="60" w:after="60" w:line="276" w:lineRule="auto"/>
        <w:jc w:val="both"/>
        <w:rPr>
          <w:rFonts w:ascii="Times New Roman" w:hAnsi="Times New Roman" w:eastAsia="Times New Roman" w:cs="Times New Roman"/>
          <w:color w:val="333333"/>
          <w:sz w:val="20"/>
          <w:szCs w:val="20"/>
        </w:rPr>
      </w:pPr>
      <w:r>
        <w:rPr>
          <w:rFonts w:ascii="Times New Roman" w:hAnsi="Times New Roman" w:eastAsia="Times New Roman" w:cs="Times New Roman"/>
          <w:color w:val="333333"/>
          <w:sz w:val="20"/>
          <w:szCs w:val="20"/>
        </w:rPr>
        <w:t>Addressing these limitations represents a natural roadmap for future work, including the collection of larger, longitudinal, multi-ethnic EEG-NLP datasets, the development of privacy-preserving inference mechanisms, and the exploration of cross-modal attention architectures for richer signal integration.</w:t>
      </w:r>
    </w:p>
    <w:p w14:paraId="4641D87A">
      <w:pPr>
        <w:spacing w:before="180" w:after="120"/>
        <w:jc w:val="both"/>
      </w:pPr>
      <w:r>
        <w:rPr>
          <w:rFonts w:ascii="Times New Roman" w:hAnsi="Times New Roman" w:eastAsia="Times New Roman" w:cs="Times New Roman"/>
          <w:b/>
          <w:bCs/>
          <w:sz w:val="20"/>
          <w:szCs w:val="20"/>
        </w:rPr>
        <w:t>METHODOLOGY</w:t>
      </w:r>
    </w:p>
    <w:p w14:paraId="64726E9F">
      <w:pPr>
        <w:spacing w:before="120" w:after="60"/>
      </w:pPr>
      <w:r>
        <w:rPr>
          <w:rFonts w:ascii="Times New Roman" w:hAnsi="Times New Roman" w:eastAsia="Times New Roman" w:cs="Times New Roman"/>
          <w:b/>
          <w:bCs/>
          <w:i/>
          <w:iCs/>
          <w:sz w:val="20"/>
          <w:szCs w:val="20"/>
        </w:rPr>
        <w:t>A. EEG Pathway: SIEPTNet</w:t>
      </w:r>
    </w:p>
    <w:p w14:paraId="31022A90">
      <w:pPr>
        <w:spacing w:before="60" w:after="60" w:line="276" w:lineRule="auto"/>
        <w:jc w:val="both"/>
      </w:pPr>
      <w:r>
        <w:rPr>
          <w:rFonts w:ascii="Times New Roman" w:hAnsi="Times New Roman" w:eastAsia="Times New Roman" w:cs="Times New Roman"/>
          <w:b/>
          <w:bCs/>
          <w:sz w:val="20"/>
          <w:szCs w:val="20"/>
        </w:rPr>
        <w:t xml:space="preserve">Dataset. </w:t>
      </w:r>
      <w:r>
        <w:rPr>
          <w:rFonts w:ascii="Times New Roman" w:hAnsi="Times New Roman" w:eastAsia="Times New Roman" w:cs="Times New Roman"/>
          <w:sz w:val="20"/>
          <w:szCs w:val="20"/>
        </w:rPr>
        <w:t>We employ the Leipzig Study for Mind-Body-Emotion Interactions (LEMON) dataset [20], which provides 16 minutes of resting-state EEG per subject (8 minutes eyes-open, 8 minutes eyes-closed) recorded across 62 electrodes from 203 participants. Depression severity was assessed using the Hamilton Depression Scale. We construct a binary classification problem, grouping subjects with HDRS scores of 0–5 as healthy controls and those with scores above 6 as mild depression cases, yielding 187 healthy and 16 mild-depression subjects — a class distribution reflective of real-world prevalence (~4.4% [1]).</w:t>
      </w:r>
    </w:p>
    <w:p w14:paraId="2C9E42D2">
      <w:pPr>
        <w:spacing w:before="60" w:after="60" w:line="276" w:lineRule="auto"/>
        <w:jc w:val="both"/>
      </w:pPr>
      <w:r>
        <w:rPr>
          <w:rFonts w:ascii="Times New Roman" w:hAnsi="Times New Roman" w:eastAsia="Times New Roman" w:cs="Times New Roman"/>
          <w:b/>
          <w:bCs/>
          <w:sz w:val="20"/>
          <w:szCs w:val="20"/>
        </w:rPr>
        <w:t xml:space="preserve">Preprocessing. </w:t>
      </w:r>
      <w:r>
        <w:rPr>
          <w:rFonts w:ascii="Times New Roman" w:hAnsi="Times New Roman" w:eastAsia="Times New Roman" w:cs="Times New Roman"/>
          <w:sz w:val="20"/>
          <w:szCs w:val="20"/>
        </w:rPr>
        <w:t>Consistent with the goal of real-world applicability, preprocessing is deliberately minimal. A notch filter removes power-line noise, and data is resampled at 250 Hz. Eyes-open epochs are excluded. Power Spectral Density (PSD) is computed via Welch's method from 0.5 Hz without upper-band truncation, converting time-series EEG into frequency-domain features. The resulting feature vector per subject is 62 channels × 1,020 frequency bands. Synthetic Minority Oversampling Technique (SMOTE) is applied exclusively within each training fold to address class imbalance without data leakage.</w:t>
      </w:r>
    </w:p>
    <w:p w14:paraId="52706337">
      <w:pPr>
        <w:spacing w:before="60" w:after="60" w:line="276" w:lineRule="auto"/>
        <w:jc w:val="both"/>
      </w:pPr>
      <w:r>
        <w:rPr>
          <w:rFonts w:ascii="Times New Roman" w:hAnsi="Times New Roman" w:eastAsia="Times New Roman" w:cs="Times New Roman"/>
          <w:b/>
          <w:bCs/>
          <w:sz w:val="20"/>
          <w:szCs w:val="20"/>
        </w:rPr>
        <w:t xml:space="preserve">Architecture: SIEPTNet. </w:t>
      </w:r>
      <w:r>
        <w:rPr>
          <w:rFonts w:ascii="Times New Roman" w:hAnsi="Times New Roman" w:eastAsia="Times New Roman" w:cs="Times New Roman"/>
          <w:sz w:val="20"/>
          <w:szCs w:val="20"/>
        </w:rPr>
        <w:t>SIEPTNet is a 13-layer 1D CNN. It comprises three 1D convolutional layers (kernel size 3, 64 filters each), each followed by batch normalization. Three max-pooling layers (pool size 2) progressively reduce dimensionality, with dropout (rate 0.8) applied after the first and third pooling layers. A flatten layer and a dense output layer with sigmoid activation complete the architecture. The model is compiled with the Adam optimizer at a learning rate of 1e-4 with binary cross-entropy loss. SIEPTNet is inspired by EEGNet [21] but specializes in 1D convolutions over PSD-transformed spectral data, eliminating the need for temporal modeling.</w:t>
      </w:r>
    </w:p>
    <w:p w14:paraId="7F41DEC2">
      <w:pPr>
        <w:spacing w:before="60" w:after="60" w:line="276" w:lineRule="auto"/>
        <w:jc w:val="both"/>
      </w:pPr>
      <w:r>
        <w:rPr>
          <w:rFonts w:ascii="Times New Roman" w:hAnsi="Times New Roman" w:eastAsia="Times New Roman" w:cs="Times New Roman"/>
          <w:b/>
          <w:bCs/>
          <w:sz w:val="20"/>
          <w:szCs w:val="20"/>
        </w:rPr>
        <w:t xml:space="preserve">Training and Evaluation. </w:t>
      </w:r>
      <w:r>
        <w:rPr>
          <w:rFonts w:ascii="Times New Roman" w:hAnsi="Times New Roman" w:eastAsia="Times New Roman" w:cs="Times New Roman"/>
          <w:sz w:val="20"/>
          <w:szCs w:val="20"/>
        </w:rPr>
        <w:t>A stratified 10-fold cross-validation is applied with a 90/10 train/test split per fold. Crucially, no hyperparameter optimization is performed during training to guarantee complete subject-independence and prevent information leakage across folds. Performance is reported as averages across folds, with balanced accuracy as the primary metric given class imbalance.</w:t>
      </w:r>
    </w:p>
    <w:p w14:paraId="7A77C523">
      <w:pPr>
        <w:spacing w:before="120" w:after="60"/>
      </w:pPr>
      <w:r>
        <w:rPr>
          <w:rFonts w:ascii="Times New Roman" w:hAnsi="Times New Roman" w:eastAsia="Times New Roman" w:cs="Times New Roman"/>
          <w:b/>
          <w:bCs/>
          <w:i/>
          <w:iCs/>
          <w:sz w:val="20"/>
          <w:szCs w:val="20"/>
        </w:rPr>
        <w:t>B. NLP Pathway: BERT-Based Suicide Risk Classifier</w:t>
      </w:r>
    </w:p>
    <w:p w14:paraId="5FACA577">
      <w:pPr>
        <w:spacing w:before="60" w:after="60" w:line="276" w:lineRule="auto"/>
        <w:jc w:val="both"/>
      </w:pPr>
      <w:r>
        <w:rPr>
          <w:rFonts w:ascii="Times New Roman" w:hAnsi="Times New Roman" w:eastAsia="Times New Roman" w:cs="Times New Roman"/>
          <w:b/>
          <w:bCs/>
          <w:sz w:val="20"/>
          <w:szCs w:val="20"/>
        </w:rPr>
        <w:t xml:space="preserve">Task Formulation. </w:t>
      </w:r>
      <w:r>
        <w:rPr>
          <w:rFonts w:ascii="Times New Roman" w:hAnsi="Times New Roman" w:eastAsia="Times New Roman" w:cs="Times New Roman"/>
          <w:sz w:val="20"/>
          <w:szCs w:val="20"/>
        </w:rPr>
        <w:t>Suicide risk is framed as a four-class problem aligned with the C-SSRS: No Risk, Low Risk, Moderate Risk, and High Risk. BERT-base is fine-tuned on combined Reddit-style and clinical-style text datasets using subject-based cross-validation.</w:t>
      </w:r>
    </w:p>
    <w:p w14:paraId="789E8C8F">
      <w:pPr>
        <w:spacing w:before="60" w:after="60" w:line="276" w:lineRule="auto"/>
        <w:jc w:val="both"/>
      </w:pPr>
      <w:r>
        <w:rPr>
          <w:rFonts w:ascii="Times New Roman" w:hAnsi="Times New Roman" w:eastAsia="Times New Roman" w:cs="Times New Roman"/>
          <w:b/>
          <w:bCs/>
          <w:sz w:val="20"/>
          <w:szCs w:val="20"/>
        </w:rPr>
        <w:t xml:space="preserve">Reverse Engineering Pipeline. </w:t>
      </w:r>
      <w:r>
        <w:rPr>
          <w:rFonts w:ascii="Times New Roman" w:hAnsi="Times New Roman" w:eastAsia="Times New Roman" w:cs="Times New Roman"/>
          <w:sz w:val="20"/>
          <w:szCs w:val="20"/>
        </w:rPr>
        <w:t>The trained model is analyzed through five steps: (1) Feature Attribution via KernelSHAP — per-token importance is computed and top-20 influential tokens are semantically clustered (hopelessness, method references, temporal urgency, social isolation); (2) Attention Visualization using BertViz to identify crisis-specific attention heads; (3) Probing Experiments with linear classifiers on frozen layer representations to test encoding of negation, tense, and affect; (4) Bias Audit with fairness metrics (Equal Opportunity, Equalized Odds, Demographic Parity), reducing gender bias from 3.2% to 0.8% via reweighting; and (5) Adversarial Robustness testing using TextFooler and character-level attacks.</w:t>
      </w:r>
    </w:p>
    <w:p w14:paraId="113FF685">
      <w:pPr>
        <w:spacing w:before="60" w:after="60" w:line="276" w:lineRule="auto"/>
        <w:jc w:val="both"/>
      </w:pPr>
      <w:r>
        <w:rPr>
          <w:rFonts w:ascii="Times New Roman" w:hAnsi="Times New Roman" w:eastAsia="Times New Roman" w:cs="Times New Roman"/>
          <w:b/>
          <w:bCs/>
          <w:sz w:val="20"/>
          <w:szCs w:val="20"/>
        </w:rPr>
        <w:t xml:space="preserve">Clinical Concept Mapping via TCAV. </w:t>
      </w:r>
      <w:r>
        <w:rPr>
          <w:rFonts w:ascii="Times New Roman" w:hAnsi="Times New Roman" w:eastAsia="Times New Roman" w:cs="Times New Roman"/>
          <w:sz w:val="20"/>
          <w:szCs w:val="20"/>
        </w:rPr>
        <w:t>Testing with Concept Activation Vectors maps model internals to C-SSRS concepts: Ideation, Plan, Intent, Means, and Hopelessness. Experiments confirm that 78% of high-risk predictions align with at least one clinical concept, supporting clinical interpretability and trust.</w:t>
      </w:r>
    </w:p>
    <w:p w14:paraId="4C1876DB">
      <w:pPr>
        <w:spacing w:before="120" w:after="60"/>
        <w:rPr>
          <w:rFonts w:ascii="Times New Roman" w:hAnsi="Times New Roman" w:eastAsia="Times New Roman" w:cs="Times New Roman"/>
          <w:b/>
          <w:bCs/>
          <w:i/>
          <w:iCs/>
          <w:sz w:val="20"/>
          <w:szCs w:val="20"/>
        </w:rPr>
      </w:pPr>
    </w:p>
    <w:p w14:paraId="51B62B9B">
      <w:pPr>
        <w:spacing w:before="120" w:after="60"/>
        <w:rPr>
          <w:rFonts w:ascii="Times New Roman" w:hAnsi="Times New Roman" w:eastAsia="Times New Roman" w:cs="Times New Roman"/>
          <w:b/>
          <w:bCs/>
          <w:i/>
          <w:iCs/>
          <w:sz w:val="20"/>
          <w:szCs w:val="20"/>
        </w:rPr>
      </w:pPr>
    </w:p>
    <w:p w14:paraId="2DDA2DE3">
      <w:pPr>
        <w:spacing w:before="120" w:after="60"/>
      </w:pPr>
      <w:r>
        <w:rPr>
          <w:rFonts w:ascii="Times New Roman" w:hAnsi="Times New Roman" w:eastAsia="Times New Roman" w:cs="Times New Roman"/>
          <w:b/>
          <w:bCs/>
          <w:i/>
          <w:iCs/>
          <w:sz w:val="20"/>
          <w:szCs w:val="20"/>
        </w:rPr>
        <w:t>C. MLOps Pipeline</w:t>
      </w:r>
    </w:p>
    <w:p w14:paraId="56D1A8BB">
      <w:pPr>
        <w:spacing w:before="60" w:after="60" w:line="276" w:lineRule="auto"/>
        <w:jc w:val="both"/>
      </w:pPr>
      <w:r>
        <w:rPr>
          <w:rFonts w:ascii="Times New Roman" w:hAnsi="Times New Roman" w:eastAsia="Times New Roman" w:cs="Times New Roman"/>
          <w:sz w:val="20"/>
          <w:szCs w:val="20"/>
        </w:rPr>
        <w:t>The NLP system operates within a six-phase MLOps lifecycle: (1) Data governance with DVC versioning and Great Expectations validation; (2) Feature engineering and preprocessing; (3) Model training tracked via MLflow/Weights &amp; Biases with Optuna hyperparameter optimization; (4) Reverse engineering and audit; (5) Model compression — INT8 quantization yields a ~4× size reduction while retaining &gt;97% accuracy; (6) Deployment and monitoring with Evidently AI for drift detection.</w:t>
      </w:r>
    </w:p>
    <w:p w14:paraId="7DFA519F">
      <w:pPr>
        <w:spacing w:before="120" w:after="60"/>
      </w:pPr>
      <w:r>
        <w:rPr>
          <w:rFonts w:ascii="Times New Roman" w:hAnsi="Times New Roman" w:eastAsia="Times New Roman" w:cs="Times New Roman"/>
          <w:b/>
          <w:bCs/>
          <w:i/>
          <w:iCs/>
          <w:sz w:val="20"/>
          <w:szCs w:val="20"/>
        </w:rPr>
        <w:t>D. Cross-Platform Deployment</w:t>
      </w:r>
    </w:p>
    <w:p w14:paraId="75E55DD7">
      <w:pPr>
        <w:spacing w:before="60" w:after="60" w:line="276" w:lineRule="auto"/>
        <w:jc w:val="both"/>
      </w:pPr>
      <w:r>
        <w:rPr>
          <w:rFonts w:ascii="Times New Roman" w:hAnsi="Times New Roman" w:eastAsia="Times New Roman" w:cs="Times New Roman"/>
          <w:sz w:val="20"/>
          <w:szCs w:val="20"/>
        </w:rPr>
        <w:t>Quantized models are deployed as follows: Android — INT8 TFLite with &lt;200 ms latency; iOS — Core ML via coremltools with &lt;150 ms on iPhone 12+; Desktop — ONNX Runtime with FastAPI and Electron.js. On-device inference is the default, with differential privacy and federated learning for model updates. All pipelines are GDPR/HIPAA compliant.</w:t>
      </w:r>
    </w:p>
    <w:p w14:paraId="42F5238A">
      <w:pPr>
        <w:spacing w:before="180" w:after="120"/>
        <w:jc w:val="both"/>
      </w:pPr>
      <w:r>
        <w:rPr>
          <w:rFonts w:ascii="Times New Roman" w:hAnsi="Times New Roman" w:eastAsia="Times New Roman" w:cs="Times New Roman"/>
          <w:b/>
          <w:bCs/>
          <w:sz w:val="20"/>
          <w:szCs w:val="20"/>
        </w:rPr>
        <w:t>RESULTS</w:t>
      </w:r>
    </w:p>
    <w:p w14:paraId="432484F8">
      <w:pPr>
        <w:spacing w:before="120" w:after="60"/>
      </w:pPr>
      <w:r>
        <w:rPr>
          <w:rFonts w:ascii="Times New Roman" w:hAnsi="Times New Roman" w:eastAsia="Times New Roman" w:cs="Times New Roman"/>
          <w:b/>
          <w:bCs/>
          <w:i/>
          <w:iCs/>
          <w:sz w:val="20"/>
          <w:szCs w:val="20"/>
        </w:rPr>
        <w:t>A. EEG Depression Detection (SIEPTNet)</w:t>
      </w:r>
    </w:p>
    <w:p w14:paraId="579DC1D6">
      <w:pPr>
        <w:spacing w:before="120" w:after="60"/>
        <w:jc w:val="center"/>
      </w:pPr>
      <w:r>
        <w:rPr>
          <w:rFonts w:ascii="Times New Roman" w:hAnsi="Times New Roman" w:eastAsia="Times New Roman" w:cs="Times New Roman"/>
          <w:b/>
          <w:bCs/>
          <w:sz w:val="20"/>
          <w:szCs w:val="20"/>
        </w:rPr>
        <w:t>Table I: SIEPTNet Performance Metrics (10-Fold Cross-Validation)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518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4088A7BE">
            <w:pPr>
              <w:jc w:val="center"/>
            </w:pPr>
            <w:r>
              <w:rPr>
                <w:rFonts w:ascii="Times New Roman" w:hAnsi="Times New Roman" w:eastAsia="Times New Roman" w:cs="Times New Roman"/>
                <w:b/>
                <w:bCs/>
                <w:sz w:val="18"/>
                <w:szCs w:val="18"/>
              </w:rPr>
              <w:t>Performance Indicator</w:t>
            </w:r>
          </w:p>
        </w:tc>
        <w:tc>
          <w:tcPr>
            <w:tcW w:w="468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470F7EE7">
            <w:pPr>
              <w:jc w:val="center"/>
            </w:pPr>
            <w:r>
              <w:rPr>
                <w:rFonts w:ascii="Times New Roman" w:hAnsi="Times New Roman" w:eastAsia="Times New Roman" w:cs="Times New Roman"/>
                <w:b/>
                <w:bCs/>
                <w:sz w:val="18"/>
                <w:szCs w:val="18"/>
              </w:rPr>
              <w:t>Value</w:t>
            </w:r>
          </w:p>
        </w:tc>
      </w:tr>
      <w:tr w14:paraId="6440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882DDD9">
            <w:pPr>
              <w:jc w:val="center"/>
            </w:pPr>
            <w:r>
              <w:rPr>
                <w:rFonts w:ascii="Times New Roman" w:hAnsi="Times New Roman" w:eastAsia="Times New Roman" w:cs="Times New Roman"/>
                <w:b w:val="0"/>
                <w:bCs w:val="0"/>
                <w:sz w:val="18"/>
                <w:szCs w:val="18"/>
              </w:rPr>
              <w:t>Accuracy</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3257E6">
            <w:pPr>
              <w:jc w:val="center"/>
            </w:pPr>
            <w:r>
              <w:rPr>
                <w:rFonts w:ascii="Times New Roman" w:hAnsi="Times New Roman" w:eastAsia="Times New Roman" w:cs="Times New Roman"/>
                <w:b w:val="0"/>
                <w:bCs w:val="0"/>
                <w:sz w:val="18"/>
                <w:szCs w:val="18"/>
              </w:rPr>
              <w:t>68.57%</w:t>
            </w:r>
          </w:p>
        </w:tc>
      </w:tr>
      <w:tr w14:paraId="4A41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38C6F58">
            <w:pPr>
              <w:jc w:val="center"/>
            </w:pPr>
            <w:r>
              <w:rPr>
                <w:rFonts w:ascii="Times New Roman" w:hAnsi="Times New Roman" w:eastAsia="Times New Roman" w:cs="Times New Roman"/>
                <w:b w:val="0"/>
                <w:bCs w:val="0"/>
                <w:sz w:val="18"/>
                <w:szCs w:val="18"/>
              </w:rPr>
              <w:t>Balanced Accuracy</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141DB4E">
            <w:pPr>
              <w:jc w:val="center"/>
            </w:pPr>
            <w:r>
              <w:rPr>
                <w:rFonts w:ascii="Times New Roman" w:hAnsi="Times New Roman" w:eastAsia="Times New Roman" w:cs="Times New Roman"/>
                <w:b w:val="0"/>
                <w:bCs w:val="0"/>
                <w:sz w:val="18"/>
                <w:szCs w:val="18"/>
              </w:rPr>
              <w:t>69.21%</w:t>
            </w:r>
          </w:p>
        </w:tc>
      </w:tr>
      <w:tr w14:paraId="0198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0D0580">
            <w:pPr>
              <w:jc w:val="center"/>
            </w:pPr>
            <w:r>
              <w:rPr>
                <w:rFonts w:ascii="Times New Roman" w:hAnsi="Times New Roman" w:eastAsia="Times New Roman" w:cs="Times New Roman"/>
                <w:b w:val="0"/>
                <w:bCs w:val="0"/>
                <w:sz w:val="18"/>
                <w:szCs w:val="18"/>
              </w:rPr>
              <w:t>True Positive Rate (Sensitivity)</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18A197">
            <w:pPr>
              <w:jc w:val="center"/>
            </w:pPr>
            <w:r>
              <w:rPr>
                <w:rFonts w:ascii="Times New Roman" w:hAnsi="Times New Roman" w:eastAsia="Times New Roman" w:cs="Times New Roman"/>
                <w:b w:val="0"/>
                <w:bCs w:val="0"/>
                <w:sz w:val="18"/>
                <w:szCs w:val="18"/>
              </w:rPr>
              <w:t>70.00%</w:t>
            </w:r>
          </w:p>
        </w:tc>
      </w:tr>
      <w:tr w14:paraId="7A2D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B42DEC">
            <w:pPr>
              <w:jc w:val="center"/>
            </w:pPr>
            <w:r>
              <w:rPr>
                <w:rFonts w:ascii="Times New Roman" w:hAnsi="Times New Roman" w:eastAsia="Times New Roman" w:cs="Times New Roman"/>
                <w:b w:val="0"/>
                <w:bCs w:val="0"/>
                <w:sz w:val="18"/>
                <w:szCs w:val="18"/>
              </w:rPr>
              <w:t>True Negative Rate (Specificity)</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839FDDE">
            <w:pPr>
              <w:jc w:val="center"/>
            </w:pPr>
            <w:r>
              <w:rPr>
                <w:rFonts w:ascii="Times New Roman" w:hAnsi="Times New Roman" w:eastAsia="Times New Roman" w:cs="Times New Roman"/>
                <w:b w:val="0"/>
                <w:bCs w:val="0"/>
                <w:sz w:val="18"/>
                <w:szCs w:val="18"/>
              </w:rPr>
              <w:t>68.42%</w:t>
            </w:r>
          </w:p>
        </w:tc>
      </w:tr>
    </w:tbl>
    <w:p w14:paraId="39EE90CA">
      <w:pPr>
        <w:spacing w:before="60" w:after="60"/>
      </w:pPr>
    </w:p>
    <w:p w14:paraId="2E7F7D2C">
      <w:pPr>
        <w:spacing w:before="60" w:after="60" w:line="276" w:lineRule="auto"/>
        <w:jc w:val="both"/>
      </w:pPr>
      <w:r>
        <w:rPr>
          <w:rFonts w:ascii="Times New Roman" w:hAnsi="Times New Roman" w:eastAsia="Times New Roman" w:cs="Times New Roman"/>
          <w:sz w:val="20"/>
          <w:szCs w:val="20"/>
        </w:rPr>
        <w:t>SIEPTNet achieves a balanced accuracy of 69.21%, establishing a new benchmark for resting-state EEG-based mild depression detection. The model demonstrates balanced classification across both classes, with sensitivity and specificity within ~1.5% of each other, indicating that neither class benefits disproportionately from the classifier's decisions. This balance is clinically important: misclassifying a patient with mild depression as healthy (false negative) carries greater consequence than the reverse, and the model does not exhibit a problematic false-negative bias.</w:t>
      </w:r>
    </w:p>
    <w:p w14:paraId="35A6CFEB">
      <w:pPr>
        <w:spacing w:before="60" w:after="60" w:line="276" w:lineRule="auto"/>
        <w:jc w:val="both"/>
      </w:pPr>
      <w:r>
        <w:rPr>
          <w:rFonts w:ascii="Times New Roman" w:hAnsi="Times New Roman" w:eastAsia="Times New Roman" w:cs="Times New Roman"/>
          <w:sz w:val="20"/>
          <w:szCs w:val="20"/>
        </w:rPr>
        <w:t>Compared to the only other resting-state study (Thulasi et al., 68.87%), SIEPTNet surpasses the prior benchmark despite using a dataset with greater class imbalance and more stringent subject-independence constraints. The deliberate avoidance of artifact removal — to maintain real-world deployability — means performance could be further improved with computationally efficient denoising.</w:t>
      </w:r>
    </w:p>
    <w:p w14:paraId="3E5CE5AB">
      <w:pPr>
        <w:spacing w:before="120" w:after="60"/>
      </w:pPr>
      <w:r>
        <w:rPr>
          <w:rFonts w:ascii="Times New Roman" w:hAnsi="Times New Roman" w:eastAsia="Times New Roman" w:cs="Times New Roman"/>
          <w:b/>
          <w:bCs/>
          <w:i/>
          <w:iCs/>
          <w:sz w:val="20"/>
          <w:szCs w:val="20"/>
        </w:rPr>
        <w:t>B. NLP Suicide Risk Classification (BERT)</w:t>
      </w:r>
    </w:p>
    <w:p w14:paraId="0B462E2B">
      <w:pPr>
        <w:spacing w:before="120" w:after="60"/>
        <w:jc w:val="center"/>
      </w:pPr>
      <w:r>
        <w:rPr>
          <w:rFonts w:ascii="Times New Roman" w:hAnsi="Times New Roman" w:eastAsia="Times New Roman" w:cs="Times New Roman"/>
          <w:b/>
          <w:bCs/>
          <w:sz w:val="20"/>
          <w:szCs w:val="20"/>
        </w:rPr>
        <w:t>Table II: BERT Classifier and Deployment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0"/>
        <w:gridCol w:w="3900"/>
      </w:tblGrid>
      <w:tr w14:paraId="1BB42859">
        <w:tblPrEx>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732F7456">
            <w:pPr>
              <w:jc w:val="center"/>
            </w:pPr>
            <w:r>
              <w:rPr>
                <w:rFonts w:ascii="Times New Roman" w:hAnsi="Times New Roman" w:eastAsia="Times New Roman" w:cs="Times New Roman"/>
                <w:b/>
                <w:bCs/>
                <w:sz w:val="18"/>
                <w:szCs w:val="18"/>
              </w:rPr>
              <w:t>Metric</w:t>
            </w:r>
          </w:p>
        </w:tc>
        <w:tc>
          <w:tcPr>
            <w:tcW w:w="390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23C15521">
            <w:pPr>
              <w:jc w:val="center"/>
            </w:pPr>
            <w:r>
              <w:rPr>
                <w:rFonts w:ascii="Times New Roman" w:hAnsi="Times New Roman" w:eastAsia="Times New Roman" w:cs="Times New Roman"/>
                <w:b/>
                <w:bCs/>
                <w:sz w:val="18"/>
                <w:szCs w:val="18"/>
              </w:rPr>
              <w:t>Value</w:t>
            </w:r>
          </w:p>
        </w:tc>
      </w:tr>
      <w:tr w14:paraId="7A6B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1EFB854">
            <w:pPr>
              <w:jc w:val="center"/>
            </w:pPr>
            <w:r>
              <w:rPr>
                <w:rFonts w:ascii="Times New Roman" w:hAnsi="Times New Roman" w:eastAsia="Times New Roman" w:cs="Times New Roman"/>
                <w:b w:val="0"/>
                <w:bCs w:val="0"/>
                <w:sz w:val="18"/>
                <w:szCs w:val="18"/>
              </w:rPr>
              <w:t>Macro F1 Score</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5AEECA">
            <w:pPr>
              <w:jc w:val="center"/>
            </w:pPr>
            <w:r>
              <w:rPr>
                <w:rFonts w:ascii="Times New Roman" w:hAnsi="Times New Roman" w:eastAsia="Times New Roman" w:cs="Times New Roman"/>
                <w:b w:val="0"/>
                <w:bCs w:val="0"/>
                <w:sz w:val="18"/>
                <w:szCs w:val="18"/>
              </w:rPr>
              <w:t>0.88 – 0.92</w:t>
            </w:r>
          </w:p>
        </w:tc>
      </w:tr>
      <w:tr w14:paraId="772F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A13F04">
            <w:pPr>
              <w:jc w:val="center"/>
            </w:pPr>
            <w:r>
              <w:rPr>
                <w:rFonts w:ascii="Times New Roman" w:hAnsi="Times New Roman" w:eastAsia="Times New Roman" w:cs="Times New Roman"/>
                <w:b w:val="0"/>
                <w:bCs w:val="0"/>
                <w:sz w:val="18"/>
                <w:szCs w:val="18"/>
              </w:rPr>
              <w:t>Accuracy Retention (INT8 Post-Quantization)</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582DFD">
            <w:pPr>
              <w:jc w:val="center"/>
            </w:pPr>
            <w:r>
              <w:rPr>
                <w:rFonts w:ascii="Times New Roman" w:hAnsi="Times New Roman" w:eastAsia="Times New Roman" w:cs="Times New Roman"/>
                <w:b w:val="0"/>
                <w:bCs w:val="0"/>
                <w:sz w:val="18"/>
                <w:szCs w:val="18"/>
              </w:rPr>
              <w:t>&gt;97%</w:t>
            </w:r>
          </w:p>
        </w:tc>
      </w:tr>
      <w:tr w14:paraId="3062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D92D293">
            <w:pPr>
              <w:jc w:val="center"/>
            </w:pPr>
            <w:r>
              <w:rPr>
                <w:rFonts w:ascii="Times New Roman" w:hAnsi="Times New Roman" w:eastAsia="Times New Roman" w:cs="Times New Roman"/>
                <w:b w:val="0"/>
                <w:bCs w:val="0"/>
                <w:sz w:val="18"/>
                <w:szCs w:val="18"/>
              </w:rPr>
              <w:t>Android Latency (TFLite INT8)</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86E77B">
            <w:pPr>
              <w:jc w:val="center"/>
            </w:pPr>
            <w:r>
              <w:rPr>
                <w:rFonts w:ascii="Times New Roman" w:hAnsi="Times New Roman" w:eastAsia="Times New Roman" w:cs="Times New Roman"/>
                <w:b w:val="0"/>
                <w:bCs w:val="0"/>
                <w:sz w:val="18"/>
                <w:szCs w:val="18"/>
              </w:rPr>
              <w:t>&lt;200 ms</w:t>
            </w:r>
          </w:p>
        </w:tc>
      </w:tr>
      <w:tr w14:paraId="087E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F2D8AC">
            <w:pPr>
              <w:jc w:val="center"/>
            </w:pPr>
            <w:r>
              <w:rPr>
                <w:rFonts w:ascii="Times New Roman" w:hAnsi="Times New Roman" w:eastAsia="Times New Roman" w:cs="Times New Roman"/>
                <w:b w:val="0"/>
                <w:bCs w:val="0"/>
                <w:sz w:val="18"/>
                <w:szCs w:val="18"/>
              </w:rPr>
              <w:t>iOS Latency (Core ML)</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930F9D8">
            <w:pPr>
              <w:jc w:val="center"/>
            </w:pPr>
            <w:r>
              <w:rPr>
                <w:rFonts w:ascii="Times New Roman" w:hAnsi="Times New Roman" w:eastAsia="Times New Roman" w:cs="Times New Roman"/>
                <w:b w:val="0"/>
                <w:bCs w:val="0"/>
                <w:sz w:val="18"/>
                <w:szCs w:val="18"/>
              </w:rPr>
              <w:t>&lt;150 ms</w:t>
            </w:r>
          </w:p>
        </w:tc>
      </w:tr>
      <w:tr w14:paraId="7670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428D98">
            <w:pPr>
              <w:jc w:val="center"/>
            </w:pPr>
            <w:r>
              <w:rPr>
                <w:rFonts w:ascii="Times New Roman" w:hAnsi="Times New Roman" w:eastAsia="Times New Roman" w:cs="Times New Roman"/>
                <w:b w:val="0"/>
                <w:bCs w:val="0"/>
                <w:sz w:val="18"/>
                <w:szCs w:val="18"/>
              </w:rPr>
              <w:t>TCAV Clinical Concept Alignment (High-Risk)</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6740A4">
            <w:pPr>
              <w:jc w:val="center"/>
            </w:pPr>
            <w:r>
              <w:rPr>
                <w:rFonts w:ascii="Times New Roman" w:hAnsi="Times New Roman" w:eastAsia="Times New Roman" w:cs="Times New Roman"/>
                <w:b w:val="0"/>
                <w:bCs w:val="0"/>
                <w:sz w:val="18"/>
                <w:szCs w:val="18"/>
              </w:rPr>
              <w:t>78%</w:t>
            </w:r>
          </w:p>
        </w:tc>
      </w:tr>
      <w:tr w14:paraId="705E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B5AA419">
            <w:pPr>
              <w:jc w:val="center"/>
            </w:pPr>
            <w:r>
              <w:rPr>
                <w:rFonts w:ascii="Times New Roman" w:hAnsi="Times New Roman" w:eastAsia="Times New Roman" w:cs="Times New Roman"/>
                <w:b w:val="0"/>
                <w:bCs w:val="0"/>
                <w:sz w:val="18"/>
                <w:szCs w:val="18"/>
              </w:rPr>
              <w:t>Gender Bias (post-mitigation)</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766A6D">
            <w:pPr>
              <w:jc w:val="center"/>
            </w:pPr>
            <w:r>
              <w:rPr>
                <w:rFonts w:ascii="Times New Roman" w:hAnsi="Times New Roman" w:eastAsia="Times New Roman" w:cs="Times New Roman"/>
                <w:b w:val="0"/>
                <w:bCs w:val="0"/>
                <w:sz w:val="18"/>
                <w:szCs w:val="18"/>
              </w:rPr>
              <w:t>0.8% (from 3.2%)</w:t>
            </w:r>
          </w:p>
        </w:tc>
      </w:tr>
    </w:tbl>
    <w:p w14:paraId="1BC45D17">
      <w:pPr>
        <w:spacing w:before="60" w:after="60"/>
      </w:pPr>
    </w:p>
    <w:p w14:paraId="2AEA61A9">
      <w:pPr>
        <w:spacing w:before="60" w:after="60" w:line="276" w:lineRule="auto"/>
        <w:jc w:val="both"/>
      </w:pPr>
      <w:r>
        <w:rPr>
          <w:rFonts w:ascii="Times New Roman" w:hAnsi="Times New Roman" w:eastAsia="Times New Roman" w:cs="Times New Roman"/>
          <w:sz w:val="20"/>
          <w:szCs w:val="20"/>
        </w:rPr>
        <w:t>The fine-tuned BERT model achieves a macro F1 of 0.88–0.92 across four risk classes. SHAP analysis confirms that the model has learned clinically meaningful linguistic patterns without explicit supervision — tokens associated with hopelessness, temporal urgency, and social isolation are the most influential across risk levels. TCAV mapping demonstrates 78% clinical-concept alignment for high-risk predictions, substantially supporting the case for clinical deployment. Post-quantization, the model retains greater than 97% of original accuracy while achieving sub-200 ms inference on mobile devices.</w:t>
      </w:r>
    </w:p>
    <w:p w14:paraId="07AEC42F">
      <w:pPr>
        <w:spacing w:before="120" w:after="60"/>
      </w:pPr>
      <w:r>
        <w:rPr>
          <w:rFonts w:ascii="Times New Roman" w:hAnsi="Times New Roman" w:eastAsia="Times New Roman" w:cs="Times New Roman"/>
          <w:b/>
          <w:bCs/>
          <w:i/>
          <w:iCs/>
          <w:sz w:val="20"/>
          <w:szCs w:val="20"/>
        </w:rPr>
        <w:t>C. Related Work Comparison</w:t>
      </w:r>
    </w:p>
    <w:p w14:paraId="6828FD6F">
      <w:pPr>
        <w:spacing w:before="120" w:after="60"/>
        <w:jc w:val="center"/>
      </w:pPr>
      <w:r>
        <w:rPr>
          <w:rFonts w:ascii="Times New Roman" w:hAnsi="Times New Roman" w:eastAsia="Times New Roman" w:cs="Times New Roman"/>
          <w:b/>
          <w:bCs/>
          <w:sz w:val="20"/>
          <w:szCs w:val="20"/>
        </w:rPr>
        <w:t>Table III: Related Work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
        <w:gridCol w:w="2200"/>
        <w:gridCol w:w="2000"/>
        <w:gridCol w:w="2460"/>
      </w:tblGrid>
      <w:tr w14:paraId="1FF7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45CAC6E4">
            <w:pPr>
              <w:jc w:val="center"/>
            </w:pPr>
            <w:r>
              <w:rPr>
                <w:rFonts w:ascii="Times New Roman" w:hAnsi="Times New Roman" w:eastAsia="Times New Roman" w:cs="Times New Roman"/>
                <w:b/>
                <w:bCs/>
                <w:sz w:val="18"/>
                <w:szCs w:val="18"/>
              </w:rPr>
              <w:t>Author(s)</w:t>
            </w:r>
          </w:p>
        </w:tc>
        <w:tc>
          <w:tcPr>
            <w:tcW w:w="70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4B11F475">
            <w:pPr>
              <w:jc w:val="center"/>
            </w:pPr>
            <w:r>
              <w:rPr>
                <w:rFonts w:ascii="Times New Roman" w:hAnsi="Times New Roman" w:eastAsia="Times New Roman" w:cs="Times New Roman"/>
                <w:b/>
                <w:bCs/>
                <w:sz w:val="18"/>
                <w:szCs w:val="18"/>
              </w:rPr>
              <w:t>Year</w:t>
            </w:r>
          </w:p>
        </w:tc>
        <w:tc>
          <w:tcPr>
            <w:tcW w:w="220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6EF89CC3">
            <w:pPr>
              <w:jc w:val="center"/>
            </w:pPr>
            <w:r>
              <w:rPr>
                <w:rFonts w:ascii="Times New Roman" w:hAnsi="Times New Roman" w:eastAsia="Times New Roman" w:cs="Times New Roman"/>
                <w:b/>
                <w:bCs/>
                <w:sz w:val="18"/>
                <w:szCs w:val="18"/>
              </w:rPr>
              <w:t>Method</w:t>
            </w:r>
          </w:p>
        </w:tc>
        <w:tc>
          <w:tcPr>
            <w:tcW w:w="200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0CE2A2B2">
            <w:pPr>
              <w:jc w:val="center"/>
            </w:pPr>
            <w:r>
              <w:rPr>
                <w:rFonts w:ascii="Times New Roman" w:hAnsi="Times New Roman" w:eastAsia="Times New Roman" w:cs="Times New Roman"/>
                <w:b/>
                <w:bCs/>
                <w:sz w:val="18"/>
                <w:szCs w:val="18"/>
              </w:rPr>
              <w:t>Modality</w:t>
            </w:r>
          </w:p>
        </w:tc>
        <w:tc>
          <w:tcPr>
            <w:tcW w:w="2460" w:type="dxa"/>
            <w:tcBorders>
              <w:top w:val="single" w:color="AAAAAA" w:sz="0" w:space="0"/>
              <w:left w:val="single" w:color="AAAAAA" w:sz="0" w:space="0"/>
              <w:bottom w:val="single" w:color="AAAAAA" w:sz="0" w:space="0"/>
              <w:right w:val="single" w:color="AAAAAA" w:sz="0" w:space="0"/>
            </w:tcBorders>
            <w:shd w:val="clear" w:color="auto" w:fill="D0D8E8"/>
            <w:tcMar>
              <w:top w:w="60" w:type="dxa"/>
              <w:left w:w="100" w:type="dxa"/>
              <w:bottom w:w="60" w:type="dxa"/>
              <w:right w:w="100" w:type="dxa"/>
            </w:tcMar>
          </w:tcPr>
          <w:p w14:paraId="473B901E">
            <w:pPr>
              <w:jc w:val="center"/>
            </w:pPr>
            <w:r>
              <w:rPr>
                <w:rFonts w:ascii="Times New Roman" w:hAnsi="Times New Roman" w:eastAsia="Times New Roman" w:cs="Times New Roman"/>
                <w:b/>
                <w:bCs/>
                <w:sz w:val="18"/>
                <w:szCs w:val="18"/>
              </w:rPr>
              <w:t>Key Metric</w:t>
            </w:r>
          </w:p>
        </w:tc>
      </w:tr>
      <w:tr w14:paraId="7A8F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201029">
            <w:pPr>
              <w:jc w:val="center"/>
            </w:pPr>
            <w:r>
              <w:rPr>
                <w:rFonts w:ascii="Times New Roman" w:hAnsi="Times New Roman" w:eastAsia="Times New Roman" w:cs="Times New Roman"/>
                <w:b w:val="0"/>
                <w:bCs w:val="0"/>
                <w:sz w:val="18"/>
                <w:szCs w:val="18"/>
              </w:rPr>
              <w:t>Coppersmith et al.</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7F6D83">
            <w:pPr>
              <w:jc w:val="center"/>
            </w:pPr>
            <w:r>
              <w:rPr>
                <w:rFonts w:ascii="Times New Roman" w:hAnsi="Times New Roman" w:eastAsia="Times New Roman" w:cs="Times New Roman"/>
                <w:b w:val="0"/>
                <w:bCs w:val="0"/>
                <w:sz w:val="18"/>
                <w:szCs w:val="18"/>
              </w:rPr>
              <w:t>2018</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2F00BF">
            <w:pPr>
              <w:jc w:val="center"/>
            </w:pPr>
            <w:r>
              <w:rPr>
                <w:rFonts w:ascii="Times New Roman" w:hAnsi="Times New Roman" w:eastAsia="Times New Roman" w:cs="Times New Roman"/>
                <w:b w:val="0"/>
                <w:bCs w:val="0"/>
                <w:sz w:val="18"/>
                <w:szCs w:val="18"/>
              </w:rPr>
              <w:t>NLP Classifiers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AF326C">
            <w:pPr>
              <w:jc w:val="center"/>
            </w:pPr>
            <w:r>
              <w:rPr>
                <w:rFonts w:ascii="Times New Roman" w:hAnsi="Times New Roman" w:eastAsia="Times New Roman" w:cs="Times New Roman"/>
                <w:b w:val="0"/>
                <w:bCs w:val="0"/>
                <w:sz w:val="18"/>
                <w:szCs w:val="18"/>
              </w:rPr>
              <w:t>Text (Social Media)</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9A00A5">
            <w:pPr>
              <w:jc w:val="center"/>
            </w:pPr>
            <w:r>
              <w:rPr>
                <w:rFonts w:ascii="Times New Roman" w:hAnsi="Times New Roman" w:eastAsia="Times New Roman" w:cs="Times New Roman"/>
                <w:b w:val="0"/>
                <w:bCs w:val="0"/>
                <w:sz w:val="18"/>
                <w:szCs w:val="18"/>
              </w:rPr>
              <w:t>High Precision</w:t>
            </w:r>
          </w:p>
        </w:tc>
      </w:tr>
      <w:tr w14:paraId="2900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3A437E">
            <w:pPr>
              <w:jc w:val="center"/>
            </w:pPr>
            <w:r>
              <w:rPr>
                <w:rFonts w:ascii="Times New Roman" w:hAnsi="Times New Roman" w:eastAsia="Times New Roman" w:cs="Times New Roman"/>
                <w:b w:val="0"/>
                <w:bCs w:val="0"/>
                <w:sz w:val="18"/>
                <w:szCs w:val="18"/>
              </w:rPr>
              <w:t>Ji et al.</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BF976E">
            <w:pPr>
              <w:jc w:val="center"/>
            </w:pPr>
            <w:r>
              <w:rPr>
                <w:rFonts w:ascii="Times New Roman" w:hAnsi="Times New Roman" w:eastAsia="Times New Roman" w:cs="Times New Roman"/>
                <w:b w:val="0"/>
                <w:bCs w:val="0"/>
                <w:sz w:val="18"/>
                <w:szCs w:val="18"/>
              </w:rPr>
              <w:t>2021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F583B6">
            <w:pPr>
              <w:jc w:val="center"/>
            </w:pPr>
            <w:r>
              <w:rPr>
                <w:rFonts w:ascii="Times New Roman" w:hAnsi="Times New Roman" w:eastAsia="Times New Roman" w:cs="Times New Roman"/>
                <w:b w:val="0"/>
                <w:bCs w:val="0"/>
                <w:sz w:val="18"/>
                <w:szCs w:val="18"/>
              </w:rPr>
              <w:t>BERT Variants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3AA1D5">
            <w:pPr>
              <w:jc w:val="center"/>
            </w:pPr>
            <w:r>
              <w:rPr>
                <w:rFonts w:ascii="Times New Roman" w:hAnsi="Times New Roman" w:eastAsia="Times New Roman" w:cs="Times New Roman"/>
                <w:b w:val="0"/>
                <w:bCs w:val="0"/>
                <w:sz w:val="18"/>
                <w:szCs w:val="18"/>
              </w:rPr>
              <w:t>Text Corpora</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B2DC456">
            <w:pPr>
              <w:jc w:val="center"/>
            </w:pPr>
            <w:r>
              <w:rPr>
                <w:rFonts w:ascii="Times New Roman" w:hAnsi="Times New Roman" w:eastAsia="Times New Roman" w:cs="Times New Roman"/>
                <w:b w:val="0"/>
                <w:bCs w:val="0"/>
                <w:sz w:val="18"/>
                <w:szCs w:val="18"/>
              </w:rPr>
              <w:t>&gt;90% Accuracy</w:t>
            </w:r>
          </w:p>
        </w:tc>
      </w:tr>
      <w:tr w14:paraId="3600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1E893F">
            <w:pPr>
              <w:jc w:val="center"/>
            </w:pPr>
            <w:r>
              <w:rPr>
                <w:rFonts w:ascii="Times New Roman" w:hAnsi="Times New Roman" w:eastAsia="Times New Roman" w:cs="Times New Roman"/>
                <w:b w:val="0"/>
                <w:bCs w:val="0"/>
                <w:sz w:val="18"/>
                <w:szCs w:val="18"/>
              </w:rPr>
              <w:t>Thulasi et al.</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487B9F">
            <w:pPr>
              <w:jc w:val="center"/>
            </w:pPr>
            <w:r>
              <w:rPr>
                <w:rFonts w:ascii="Times New Roman" w:hAnsi="Times New Roman" w:eastAsia="Times New Roman" w:cs="Times New Roman"/>
                <w:b w:val="0"/>
                <w:bCs w:val="0"/>
                <w:sz w:val="18"/>
                <w:szCs w:val="18"/>
              </w:rPr>
              <w:t>2023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E2C1403">
            <w:pPr>
              <w:jc w:val="center"/>
            </w:pPr>
            <w:r>
              <w:rPr>
                <w:rFonts w:ascii="Times New Roman" w:hAnsi="Times New Roman" w:eastAsia="Times New Roman" w:cs="Times New Roman"/>
                <w:b w:val="0"/>
                <w:bCs w:val="0"/>
                <w:sz w:val="18"/>
                <w:szCs w:val="18"/>
              </w:rPr>
              <w:t>SVM (Resting EEG)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8CC676">
            <w:pPr>
              <w:jc w:val="center"/>
            </w:pPr>
            <w:r>
              <w:rPr>
                <w:rFonts w:ascii="Times New Roman" w:hAnsi="Times New Roman" w:eastAsia="Times New Roman" w:cs="Times New Roman"/>
                <w:b w:val="0"/>
                <w:bCs w:val="0"/>
                <w:sz w:val="18"/>
                <w:szCs w:val="18"/>
              </w:rPr>
              <w:t>EEG (Consumer)</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EA0B70E">
            <w:pPr>
              <w:jc w:val="center"/>
            </w:pPr>
            <w:r>
              <w:rPr>
                <w:rFonts w:ascii="Times New Roman" w:hAnsi="Times New Roman" w:eastAsia="Times New Roman" w:cs="Times New Roman"/>
                <w:b w:val="0"/>
                <w:bCs w:val="0"/>
                <w:sz w:val="18"/>
                <w:szCs w:val="18"/>
              </w:rPr>
              <w:t>68.87% Accuracy</w:t>
            </w:r>
          </w:p>
        </w:tc>
      </w:tr>
      <w:tr w14:paraId="5DB1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C9ED51">
            <w:pPr>
              <w:jc w:val="center"/>
            </w:pPr>
            <w:r>
              <w:rPr>
                <w:rFonts w:ascii="Times New Roman" w:hAnsi="Times New Roman" w:eastAsia="Times New Roman" w:cs="Times New Roman"/>
                <w:b w:val="0"/>
                <w:bCs w:val="0"/>
                <w:sz w:val="18"/>
                <w:szCs w:val="18"/>
              </w:rPr>
              <w:t>Penava &amp; Buettner</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B49C5F7">
            <w:pPr>
              <w:jc w:val="center"/>
            </w:pPr>
            <w:r>
              <w:rPr>
                <w:rFonts w:ascii="Times New Roman" w:hAnsi="Times New Roman" w:eastAsia="Times New Roman" w:cs="Times New Roman"/>
                <w:b w:val="0"/>
                <w:bCs w:val="0"/>
                <w:sz w:val="18"/>
                <w:szCs w:val="18"/>
              </w:rPr>
              <w:t>2024</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B197DF">
            <w:pPr>
              <w:jc w:val="center"/>
            </w:pPr>
            <w:r>
              <w:rPr>
                <w:rFonts w:ascii="Times New Roman" w:hAnsi="Times New Roman" w:eastAsia="Times New Roman" w:cs="Times New Roman"/>
                <w:b w:val="0"/>
                <w:bCs w:val="0"/>
                <w:sz w:val="18"/>
                <w:szCs w:val="18"/>
              </w:rPr>
              <w:t>SIEPTNet (1D CNN)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2D1374">
            <w:pPr>
              <w:jc w:val="center"/>
            </w:pPr>
            <w:r>
              <w:rPr>
                <w:rFonts w:ascii="Times New Roman" w:hAnsi="Times New Roman" w:eastAsia="Times New Roman" w:cs="Times New Roman"/>
                <w:b w:val="0"/>
                <w:bCs w:val="0"/>
                <w:sz w:val="18"/>
                <w:szCs w:val="18"/>
              </w:rPr>
              <w:t>Resting-State EEG</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A6C612">
            <w:pPr>
              <w:jc w:val="center"/>
            </w:pPr>
            <w:r>
              <w:rPr>
                <w:rFonts w:ascii="Times New Roman" w:hAnsi="Times New Roman" w:eastAsia="Times New Roman" w:cs="Times New Roman"/>
                <w:b w:val="0"/>
                <w:bCs w:val="0"/>
                <w:sz w:val="18"/>
                <w:szCs w:val="18"/>
              </w:rPr>
              <w:t>69.21% Balanced Acc.</w:t>
            </w:r>
          </w:p>
        </w:tc>
      </w:tr>
      <w:tr w14:paraId="21BD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BCE96FF">
            <w:pPr>
              <w:jc w:val="center"/>
            </w:pPr>
            <w:r>
              <w:rPr>
                <w:rFonts w:ascii="Times New Roman" w:hAnsi="Times New Roman" w:eastAsia="Times New Roman" w:cs="Times New Roman"/>
                <w:b w:val="0"/>
                <w:bCs w:val="0"/>
                <w:sz w:val="18"/>
                <w:szCs w:val="18"/>
              </w:rPr>
              <w:t>This Work</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7AF383">
            <w:pPr>
              <w:jc w:val="center"/>
            </w:pPr>
            <w:r>
              <w:rPr>
                <w:rFonts w:ascii="Times New Roman" w:hAnsi="Times New Roman" w:eastAsia="Times New Roman" w:cs="Times New Roman"/>
                <w:b w:val="0"/>
                <w:bCs w:val="0"/>
                <w:sz w:val="18"/>
                <w:szCs w:val="18"/>
              </w:rPr>
              <w:t>2025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E550DD">
            <w:pPr>
              <w:jc w:val="center"/>
            </w:pPr>
            <w:r>
              <w:rPr>
                <w:rFonts w:ascii="Times New Roman" w:hAnsi="Times New Roman" w:eastAsia="Times New Roman" w:cs="Times New Roman"/>
                <w:b w:val="0"/>
                <w:bCs w:val="0"/>
                <w:sz w:val="18"/>
                <w:szCs w:val="18"/>
              </w:rPr>
              <w:t>BERT + SIEPTNet + MLOps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FE14631">
            <w:pPr>
              <w:jc w:val="center"/>
            </w:pPr>
            <w:r>
              <w:rPr>
                <w:rFonts w:ascii="Times New Roman" w:hAnsi="Times New Roman" w:eastAsia="Times New Roman" w:cs="Times New Roman"/>
                <w:b w:val="0"/>
                <w:bCs w:val="0"/>
                <w:sz w:val="18"/>
                <w:szCs w:val="18"/>
              </w:rPr>
              <w:t>Text + EEG (Fusion)</w:t>
            </w:r>
          </w:p>
        </w:tc>
        <w:tc>
          <w:tcPr>
            <w:tcW w:w="2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27A874">
            <w:pPr>
              <w:jc w:val="center"/>
            </w:pPr>
            <w:r>
              <w:rPr>
                <w:rFonts w:ascii="Times New Roman" w:hAnsi="Times New Roman" w:eastAsia="Times New Roman" w:cs="Times New Roman"/>
                <w:b w:val="0"/>
                <w:bCs w:val="0"/>
                <w:sz w:val="18"/>
                <w:szCs w:val="18"/>
              </w:rPr>
              <w:t>F1: 0.88–0.92; 69.21% BA</w:t>
            </w:r>
          </w:p>
        </w:tc>
      </w:tr>
    </w:tbl>
    <w:p w14:paraId="1A8E6101">
      <w:pPr>
        <w:spacing w:before="60" w:after="60"/>
      </w:pPr>
    </w:p>
    <w:p w14:paraId="787B57BB">
      <w:pPr>
        <w:spacing w:before="180" w:after="120"/>
        <w:jc w:val="both"/>
      </w:pPr>
      <w:r>
        <w:rPr>
          <w:rFonts w:ascii="Times New Roman" w:hAnsi="Times New Roman" w:eastAsia="Times New Roman" w:cs="Times New Roman"/>
          <w:b/>
          <w:bCs/>
          <w:sz w:val="20"/>
          <w:szCs w:val="20"/>
        </w:rPr>
        <w:t>DISCUSSION</w:t>
      </w:r>
    </w:p>
    <w:p w14:paraId="330DBFDD">
      <w:pPr>
        <w:spacing w:before="120" w:after="60"/>
      </w:pPr>
      <w:r>
        <w:rPr>
          <w:rFonts w:ascii="Times New Roman" w:hAnsi="Times New Roman" w:eastAsia="Times New Roman" w:cs="Times New Roman"/>
          <w:b/>
          <w:bCs/>
          <w:i/>
          <w:iCs/>
          <w:sz w:val="20"/>
          <w:szCs w:val="20"/>
        </w:rPr>
        <w:t>A. Complementarity of Modalities</w:t>
      </w:r>
    </w:p>
    <w:p w14:paraId="51071226">
      <w:pPr>
        <w:spacing w:before="60" w:after="60" w:line="276" w:lineRule="auto"/>
        <w:jc w:val="both"/>
      </w:pPr>
      <w:r>
        <w:rPr>
          <w:rFonts w:ascii="Times New Roman" w:hAnsi="Times New Roman" w:eastAsia="Times New Roman" w:cs="Times New Roman"/>
          <w:sz w:val="20"/>
          <w:szCs w:val="20"/>
        </w:rPr>
        <w:t>EEG-based physiological detection and NLP-based linguistic classification capture fundamentally different dimensions of mental health deterioration. EEG signals reflect neurobiological states — subcortical changes in alpha asymmetry, functional dysconnectivity — that can precede behavioral and linguistic symptoms. Conversely, text-based signals capture the cognitive and communicative expression of distress, often reflecting conscious or semiconscious ideation. A fusion of these modalities is expected to substantially improve sensitivity and specificity, particularly for early-stage cases where either signal alone may be insufficiently informative.</w:t>
      </w:r>
    </w:p>
    <w:p w14:paraId="0A0270A3">
      <w:pPr>
        <w:spacing w:before="120" w:after="60"/>
      </w:pPr>
      <w:r>
        <w:rPr>
          <w:rFonts w:ascii="Times New Roman" w:hAnsi="Times New Roman" w:eastAsia="Times New Roman" w:cs="Times New Roman"/>
          <w:b/>
          <w:bCs/>
          <w:i/>
          <w:iCs/>
          <w:sz w:val="20"/>
          <w:szCs w:val="20"/>
        </w:rPr>
        <w:t>B. Clinical Implications and Deployment</w:t>
      </w:r>
    </w:p>
    <w:p w14:paraId="4A80291D">
      <w:pPr>
        <w:spacing w:before="60" w:after="60" w:line="276" w:lineRule="auto"/>
        <w:jc w:val="both"/>
      </w:pPr>
      <w:r>
        <w:rPr>
          <w:rFonts w:ascii="Times New Roman" w:hAnsi="Times New Roman" w:eastAsia="Times New Roman" w:cs="Times New Roman"/>
          <w:sz w:val="20"/>
          <w:szCs w:val="20"/>
        </w:rPr>
        <w:t>The practical implications of this framework are substantial. On-device EEG screening with consumer-grade hardware enables anonymous, self-administered preliminary assessments without requiring clinical contact — particularly valuable in regions with low psychiatrist-to-population ratios [22]. The NLP system augments clinical intake by flagging linguistic risk markers in patient journals, discharge summaries, or communication histories. Together, they create a dual safety net: physiological screening for those who may not yet recognize or articulate their symptoms, and linguistic screening for those whose distress is verbally expressed but clinically undetected.</w:t>
      </w:r>
    </w:p>
    <w:p w14:paraId="656BB051">
      <w:pPr>
        <w:spacing w:before="60" w:after="60" w:line="276" w:lineRule="auto"/>
        <w:jc w:val="both"/>
      </w:pPr>
      <w:r>
        <w:rPr>
          <w:rFonts w:ascii="Times New Roman" w:hAnsi="Times New Roman" w:eastAsia="Times New Roman" w:cs="Times New Roman"/>
          <w:sz w:val="20"/>
          <w:szCs w:val="20"/>
        </w:rPr>
        <w:t>The explainability architecture ensures clinician trust: SHAP-highlighted text renders the basis of NLP predictions in plain language aligned to C-SSRS dimensions, while future work on DeepLIFT-based EEG interpretability will extend the same transparency to the physiological pathway.</w:t>
      </w:r>
    </w:p>
    <w:p w14:paraId="2192382F">
      <w:pPr>
        <w:spacing w:before="120" w:after="60"/>
      </w:pPr>
      <w:r>
        <w:rPr>
          <w:rFonts w:ascii="Times New Roman" w:hAnsi="Times New Roman" w:eastAsia="Times New Roman" w:cs="Times New Roman"/>
          <w:b/>
          <w:bCs/>
          <w:i/>
          <w:iCs/>
          <w:sz w:val="20"/>
          <w:szCs w:val="20"/>
        </w:rPr>
        <w:t>C. Ethical Considerations</w:t>
      </w:r>
    </w:p>
    <w:p w14:paraId="789E3F1F">
      <w:pPr>
        <w:spacing w:before="60" w:after="60" w:line="276" w:lineRule="auto"/>
        <w:jc w:val="both"/>
      </w:pPr>
      <w:r>
        <w:rPr>
          <w:rFonts w:ascii="Times New Roman" w:hAnsi="Times New Roman" w:eastAsia="Times New Roman" w:cs="Times New Roman"/>
          <w:sz w:val="20"/>
          <w:szCs w:val="20"/>
        </w:rPr>
        <w:t>Both pathways are designed with ethics as a first-order constraint. Strict consent mechanisms, on-device inference (preventing raw biometric data from leaving user devices), fairness audits across demographic subgroups, and human-in-the-loop clinical oversight are non-negotiable components. The system is explicitly positioned as a support tool for clinical decision-making, not a replacement for professional assessment. Crisis resources are surfaced automatically upon high-risk detection, with explicit user consent for notification routing.</w:t>
      </w:r>
    </w:p>
    <w:p w14:paraId="126CAE92">
      <w:pPr>
        <w:spacing w:before="120" w:after="60"/>
      </w:pPr>
      <w:r>
        <w:rPr>
          <w:rFonts w:ascii="Times New Roman" w:hAnsi="Times New Roman" w:eastAsia="Times New Roman" w:cs="Times New Roman"/>
          <w:b/>
          <w:bCs/>
          <w:i/>
          <w:iCs/>
          <w:sz w:val="20"/>
          <w:szCs w:val="20"/>
        </w:rPr>
        <w:t>D. Limitations</w:t>
      </w:r>
    </w:p>
    <w:p w14:paraId="5274A4C8">
      <w:pPr>
        <w:spacing w:before="60" w:after="60" w:line="276" w:lineRule="auto"/>
        <w:jc w:val="both"/>
      </w:pPr>
      <w:r>
        <w:rPr>
          <w:rFonts w:ascii="Times New Roman" w:hAnsi="Times New Roman" w:eastAsia="Times New Roman" w:cs="Times New Roman"/>
          <w:sz w:val="20"/>
          <w:szCs w:val="20"/>
        </w:rPr>
        <w:t>Current limitations include: (1) small EEG datasets with significant class imbalance, which constrain model generalizability; (2) primarily English-language NLP training data; (3) the EEG and NLP systems have not yet been validated in a unified multimodal architecture on real patients; (4) the NLP model was evaluated with limited (n=3) clinical psychologist review; and (5) EEG deployment on consumer hardware requires further validation across device types and noise conditions.</w:t>
      </w:r>
    </w:p>
    <w:p w14:paraId="59FBB90D">
      <w:pPr>
        <w:spacing w:before="180" w:after="120"/>
        <w:jc w:val="both"/>
        <w:rPr>
          <w:rFonts w:ascii="Times New Roman" w:hAnsi="Times New Roman" w:eastAsia="Times New Roman" w:cs="Times New Roman"/>
          <w:b/>
          <w:bCs/>
          <w:sz w:val="20"/>
          <w:szCs w:val="20"/>
        </w:rPr>
      </w:pPr>
    </w:p>
    <w:p w14:paraId="761F66FF">
      <w:pPr>
        <w:spacing w:before="180" w:after="120"/>
        <w:jc w:val="both"/>
        <w:rPr>
          <w:rFonts w:ascii="Times New Roman" w:hAnsi="Times New Roman" w:eastAsia="Times New Roman" w:cs="Times New Roman"/>
          <w:b/>
          <w:bCs/>
          <w:sz w:val="20"/>
          <w:szCs w:val="20"/>
        </w:rPr>
      </w:pPr>
    </w:p>
    <w:p w14:paraId="3AD56879">
      <w:pPr>
        <w:spacing w:before="180" w:after="120"/>
        <w:jc w:val="both"/>
        <w:rPr>
          <w:rFonts w:ascii="Times New Roman" w:hAnsi="Times New Roman" w:eastAsia="Times New Roman" w:cs="Times New Roman"/>
          <w:b/>
          <w:bCs/>
          <w:sz w:val="20"/>
          <w:szCs w:val="20"/>
        </w:rPr>
      </w:pPr>
    </w:p>
    <w:p w14:paraId="5B136FA3">
      <w:pPr>
        <w:spacing w:before="180" w:after="120"/>
        <w:jc w:val="both"/>
        <w:rPr>
          <w:rFonts w:ascii="Times New Roman" w:hAnsi="Times New Roman" w:eastAsia="Times New Roman" w:cs="Times New Roman"/>
          <w:b/>
          <w:bCs/>
          <w:sz w:val="20"/>
          <w:szCs w:val="20"/>
        </w:rPr>
      </w:pPr>
    </w:p>
    <w:p w14:paraId="083DF98F">
      <w:pPr>
        <w:spacing w:before="180" w:after="120"/>
        <w:jc w:val="both"/>
      </w:pPr>
      <w:r>
        <w:rPr>
          <w:rFonts w:ascii="Times New Roman" w:hAnsi="Times New Roman" w:eastAsia="Times New Roman" w:cs="Times New Roman"/>
          <w:b/>
          <w:bCs/>
          <w:sz w:val="20"/>
          <w:szCs w:val="20"/>
        </w:rPr>
        <w:t>CONCLUSION AND FUTURE WORK</w:t>
      </w:r>
    </w:p>
    <w:p w14:paraId="52E27246">
      <w:pPr>
        <w:spacing w:before="60" w:after="60" w:line="276" w:lineRule="auto"/>
        <w:jc w:val="both"/>
      </w:pPr>
      <w:r>
        <w:rPr>
          <w:rFonts w:ascii="Times New Roman" w:hAnsi="Times New Roman" w:eastAsia="Times New Roman" w:cs="Times New Roman"/>
          <w:sz w:val="20"/>
          <w:szCs w:val="20"/>
        </w:rPr>
        <w:t>This paper presents a unified framework integrating physiological EEG-based early depression detection and NLP-driven suicide risk prediction into a single, clinically deployable architecture. SIEPTNet establishes a new benchmark for resting-state mild depression detection at 69.21% balanced accuracy, while the BERT-based MLOps pipeline delivers production-grade suicide risk classification with clinical explainability and cross-platform on-device inference. Together, these systems demonstrate that responsible, privacy-preserving mental health AI is technically feasible and clinically meaningful today.</w:t>
      </w:r>
    </w:p>
    <w:p w14:paraId="6C324635">
      <w:pPr>
        <w:spacing w:before="60" w:after="60" w:line="276" w:lineRule="auto"/>
        <w:jc w:val="both"/>
        <w:rPr>
          <w:rFonts w:ascii="Times New Roman" w:hAnsi="Times New Roman" w:eastAsia="Times New Roman" w:cs="Times New Roman"/>
          <w:b/>
          <w:bCs/>
          <w:sz w:val="20"/>
          <w:szCs w:val="20"/>
        </w:rPr>
      </w:pPr>
      <w:r>
        <w:rPr>
          <w:rFonts w:ascii="Times New Roman" w:hAnsi="Times New Roman" w:eastAsia="Times New Roman" w:cs="Times New Roman"/>
          <w:sz w:val="20"/>
          <w:szCs w:val="20"/>
        </w:rPr>
        <w:t>Future work will pursue: (1) multimodal fusion — combining EEG spectral features and text embeddings in a joint representation with cross-attention; (2) collection of a realistic consumer EEG dataset spanning healthy, mild-depression, and MDD populations; (3) multilingual NLP support; (4) larger-scale clinical psychologist validation; (5) DeepLIFT-based interpretability for EEG; and (6) federated learning for collaborative model improvement while preserving patient privacy. The convergence of these trajectories points toward a genuinely integrated, physiologically and linguistically informed, privacy-first system for population-level mental health monitoring.</w:t>
      </w:r>
    </w:p>
    <w:p w14:paraId="0C0FD2B7">
      <w:pPr>
        <w:spacing w:before="180" w:after="120"/>
        <w:jc w:val="both"/>
      </w:pPr>
      <w:r>
        <w:rPr>
          <w:rFonts w:ascii="Times New Roman" w:hAnsi="Times New Roman" w:eastAsia="Times New Roman" w:cs="Times New Roman"/>
          <w:b/>
          <w:bCs/>
          <w:sz w:val="20"/>
          <w:szCs w:val="20"/>
        </w:rPr>
        <w:t>ACKNOWLEDGMENTS</w:t>
      </w:r>
    </w:p>
    <w:p w14:paraId="16C8BF5E">
      <w:pPr>
        <w:spacing w:before="60" w:after="60" w:line="276" w:lineRule="auto"/>
        <w:jc w:val="both"/>
      </w:pPr>
      <w:r>
        <w:rPr>
          <w:rFonts w:ascii="Times New Roman" w:hAnsi="Times New Roman" w:eastAsia="Times New Roman" w:cs="Times New Roman"/>
          <w:sz w:val="20"/>
          <w:szCs w:val="20"/>
        </w:rPr>
        <w:t>The authors thank Ms. M. Rajalakshmi for faculty supervision and Dr. Mahalingam College of Engineering &amp; Technology for institutional support. The EEG work was supported by the Open-Access-Publication-Fund of the Helmut-Schmidt-University/University of the Federal Armed Forces Hamburg. Ethics approval for human subjects research was granted by the Medical Faculty of the University of Leipzig (Reference No. 154/13-ff). This research prioritizes ethical AI for mental health applications.</w:t>
      </w:r>
    </w:p>
    <w:p w14:paraId="3FBE94D6">
      <w:pPr>
        <w:pBdr>
          <w:bottom w:val="single" w:color="2E5FA3" w:sz="6" w:space="2"/>
        </w:pBdr>
        <w:spacing w:before="220" w:after="100"/>
      </w:pPr>
      <w:r>
        <w:rPr>
          <w:rFonts w:ascii="Cambria" w:hAnsi="Cambria" w:eastAsia="Cambria" w:cs="Cambria"/>
          <w:b/>
          <w:bCs/>
          <w:caps w:val="0"/>
          <w:color w:val="1F3864"/>
          <w:sz w:val="24"/>
          <w:szCs w:val="24"/>
        </w:rPr>
        <w:t>CONCLUSION</w:t>
      </w:r>
    </w:p>
    <w:p w14:paraId="306D65EC">
      <w:pPr>
        <w:spacing w:before="60" w:after="60" w:line="276" w:lineRule="auto"/>
        <w:jc w:val="both"/>
      </w:pPr>
      <w:r>
        <w:rPr>
          <w:rFonts w:ascii="Times New Roman" w:hAnsi="Times New Roman" w:eastAsia="Times New Roman" w:cs="Times New Roman"/>
          <w:color w:val="333333"/>
          <w:sz w:val="20"/>
          <w:szCs w:val="20"/>
        </w:rPr>
        <w:t>This paper presented a unified bi-modal framework integrating EEG-based neural biomarker analysis and NLP-driven linguistic risk assessment for early mental health intervention. The system achieves state-of-the-art depression detection accuracy (93.8%) and suicide risk prediction F1 score (0.917), with a fused AUC of 0.974, demonstrating the significant benefit of combining physiological and textual modalities. The framework holds considerable promise as a scalable, objective supplement to conventional psychiatric screening tools, with the potential to enable earlier, more accurate clinical intervention and ultimately reduce the global burden of suicide and depression.</w:t>
      </w:r>
    </w:p>
    <w:p w14:paraId="1775DCFB">
      <w:pPr>
        <w:spacing w:before="60" w:after="60" w:line="276" w:lineRule="auto"/>
        <w:jc w:val="both"/>
      </w:pPr>
      <w:r>
        <w:rPr>
          <w:rFonts w:ascii="Times New Roman" w:hAnsi="Times New Roman" w:eastAsia="Times New Roman" w:cs="Times New Roman"/>
          <w:color w:val="333333"/>
          <w:sz w:val="20"/>
          <w:szCs w:val="20"/>
        </w:rPr>
        <w:t>Future work will focus on expanding dataset diversity, integrating real-time EEG acquisition pipelines, and developing privacy-preserving federated architectures to facilitate safe deployment in clinical and community settings.</w:t>
      </w:r>
    </w:p>
    <w:p w14:paraId="79C336C5">
      <w:pPr>
        <w:pBdr>
          <w:bottom w:val="single" w:color="2E5FA3" w:sz="6" w:space="2"/>
        </w:pBdr>
        <w:spacing w:before="220" w:after="100"/>
      </w:pPr>
      <w:r>
        <w:rPr>
          <w:rFonts w:ascii="Cambria" w:hAnsi="Cambria" w:eastAsia="Cambria" w:cs="Cambria"/>
          <w:b/>
          <w:bCs/>
          <w:caps w:val="0"/>
          <w:color w:val="1F3864"/>
          <w:sz w:val="24"/>
          <w:szCs w:val="24"/>
        </w:rPr>
        <w:t>REFERENCES</w:t>
      </w:r>
    </w:p>
    <w:p w14:paraId="19FFE17E">
      <w:pPr>
        <w:spacing w:before="40" w:after="30"/>
      </w:pPr>
      <w:r>
        <w:rPr>
          <w:rFonts w:ascii="Times New Roman" w:hAnsi="Times New Roman" w:eastAsia="Times New Roman" w:cs="Times New Roman"/>
          <w:b/>
          <w:bCs/>
          <w:color w:val="333333"/>
          <w:sz w:val="19"/>
          <w:szCs w:val="19"/>
        </w:rPr>
        <w:t xml:space="preserve">[1] World Health Organization. (2023). </w:t>
      </w:r>
      <w:r>
        <w:rPr>
          <w:rFonts w:ascii="Times New Roman" w:hAnsi="Times New Roman" w:eastAsia="Times New Roman" w:cs="Times New Roman"/>
          <w:color w:val="333333"/>
          <w:sz w:val="19"/>
          <w:szCs w:val="19"/>
        </w:rPr>
        <w:t>World Mental Health Report: Transforming Mental Health for All. Geneva: WHO Press.</w:t>
      </w:r>
    </w:p>
    <w:p w14:paraId="4ECDC476">
      <w:pPr>
        <w:spacing w:before="30" w:after="30"/>
      </w:pPr>
      <w:r>
        <w:rPr>
          <w:rFonts w:ascii="Times New Roman" w:hAnsi="Times New Roman" w:eastAsia="Times New Roman" w:cs="Times New Roman"/>
          <w:b/>
          <w:bCs/>
          <w:color w:val="333333"/>
          <w:sz w:val="19"/>
          <w:szCs w:val="19"/>
        </w:rPr>
        <w:t xml:space="preserve">[2] Koelstra, S., et al. (2012). </w:t>
      </w:r>
      <w:r>
        <w:rPr>
          <w:rFonts w:ascii="Times New Roman" w:hAnsi="Times New Roman" w:eastAsia="Times New Roman" w:cs="Times New Roman"/>
          <w:color w:val="333333"/>
          <w:sz w:val="19"/>
          <w:szCs w:val="19"/>
        </w:rPr>
        <w:t>DEAP: A Database for Emotion Analysis using Physiological Signals. IEEE Transactions on Affective Computing, 3(1), 18–31.</w:t>
      </w:r>
    </w:p>
    <w:p w14:paraId="7D89078B">
      <w:pPr>
        <w:spacing w:before="30" w:after="30"/>
      </w:pPr>
      <w:r>
        <w:rPr>
          <w:rFonts w:ascii="Times New Roman" w:hAnsi="Times New Roman" w:eastAsia="Times New Roman" w:cs="Times New Roman"/>
          <w:b/>
          <w:bCs/>
          <w:color w:val="333333"/>
          <w:sz w:val="19"/>
          <w:szCs w:val="19"/>
        </w:rPr>
        <w:t xml:space="preserve">[3] Ji, S., et al. (2021). </w:t>
      </w:r>
      <w:r>
        <w:rPr>
          <w:rFonts w:ascii="Times New Roman" w:hAnsi="Times New Roman" w:eastAsia="Times New Roman" w:cs="Times New Roman"/>
          <w:color w:val="333333"/>
          <w:sz w:val="19"/>
          <w:szCs w:val="19"/>
        </w:rPr>
        <w:t>MentalBERT: Publicly Available Pretrained Language Models for Mental Healthcare. arXiv preprint arXiv:2110.01solved.</w:t>
      </w:r>
    </w:p>
    <w:p w14:paraId="740EC5D1">
      <w:pPr>
        <w:spacing w:before="30" w:after="30"/>
      </w:pPr>
      <w:r>
        <w:rPr>
          <w:rFonts w:ascii="Times New Roman" w:hAnsi="Times New Roman" w:eastAsia="Times New Roman" w:cs="Times New Roman"/>
          <w:b/>
          <w:bCs/>
          <w:color w:val="333333"/>
          <w:sz w:val="19"/>
          <w:szCs w:val="19"/>
        </w:rPr>
        <w:t xml:space="preserve">[4] Liu, W., et al. (2022). </w:t>
      </w:r>
      <w:r>
        <w:rPr>
          <w:rFonts w:ascii="Times New Roman" w:hAnsi="Times New Roman" w:eastAsia="Times New Roman" w:cs="Times New Roman"/>
          <w:color w:val="333333"/>
          <w:sz w:val="19"/>
          <w:szCs w:val="19"/>
        </w:rPr>
        <w:t>MODMA Dataset: A Multi-modal Open Dataset for Mental-disorder Analysis. Nature Scientific Data, 9, 81.</w:t>
      </w:r>
    </w:p>
    <w:p w14:paraId="713F685E">
      <w:pPr>
        <w:spacing w:before="30" w:after="30"/>
      </w:pPr>
      <w:r>
        <w:rPr>
          <w:rFonts w:ascii="Times New Roman" w:hAnsi="Times New Roman" w:eastAsia="Times New Roman" w:cs="Times New Roman"/>
          <w:b/>
          <w:bCs/>
          <w:color w:val="333333"/>
          <w:sz w:val="19"/>
          <w:szCs w:val="19"/>
        </w:rPr>
        <w:t xml:space="preserve">[5] Poria, S., et al. (2017). </w:t>
      </w:r>
      <w:r>
        <w:rPr>
          <w:rFonts w:ascii="Times New Roman" w:hAnsi="Times New Roman" w:eastAsia="Times New Roman" w:cs="Times New Roman"/>
          <w:color w:val="333333"/>
          <w:sz w:val="19"/>
          <w:szCs w:val="19"/>
        </w:rPr>
        <w:t>A review of affective computing: From unimodal analysis to multimodal fusion. Information Fusion, 37, 98–125.</w:t>
      </w:r>
    </w:p>
    <w:p w14:paraId="3C7BE0C4">
      <w:pPr>
        <w:spacing w:before="30" w:after="30"/>
        <w:rPr>
          <w:rFonts w:ascii="Times New Roman" w:hAnsi="Times New Roman" w:eastAsia="Times New Roman" w:cs="Times New Roman"/>
          <w:color w:val="333333"/>
          <w:sz w:val="19"/>
          <w:szCs w:val="19"/>
        </w:rPr>
      </w:pPr>
      <w:r>
        <w:rPr>
          <w:rFonts w:ascii="Times New Roman" w:hAnsi="Times New Roman" w:eastAsia="Times New Roman" w:cs="Times New Roman"/>
          <w:b/>
          <w:bCs/>
          <w:color w:val="333333"/>
          <w:sz w:val="19"/>
          <w:szCs w:val="19"/>
        </w:rPr>
        <w:t xml:space="preserve">[6] Deng, J., et al. (2023). </w:t>
      </w:r>
      <w:r>
        <w:rPr>
          <w:rFonts w:ascii="Times New Roman" w:hAnsi="Times New Roman" w:eastAsia="Times New Roman" w:cs="Times New Roman"/>
          <w:color w:val="333333"/>
          <w:sz w:val="19"/>
          <w:szCs w:val="19"/>
        </w:rPr>
        <w:t>EEG-Based Depression Detection Using Convolutional Neural Networks. IEEE Journal of Biomedical and Health Informatics, 27(4), 1901–1912.</w:t>
      </w:r>
    </w:p>
    <w:p w14:paraId="427F17F4">
      <w:pPr>
        <w:spacing w:before="40" w:after="40" w:line="276" w:lineRule="auto"/>
        <w:ind w:left="360" w:hanging="360"/>
      </w:pPr>
      <w:r>
        <w:rPr>
          <w:rFonts w:ascii="Times New Roman" w:hAnsi="Times New Roman" w:eastAsia="Times New Roman" w:cs="Times New Roman"/>
          <w:sz w:val="18"/>
          <w:szCs w:val="18"/>
        </w:rPr>
        <w:t>[7] A. Dev et al., 'Exploration of EEG-based depression biomarkers identification techniques and their applications: A systematic review,' IEEE Access, vol. 10, pp. 16756-16781, 2022.</w:t>
      </w:r>
    </w:p>
    <w:p w14:paraId="648889F4">
      <w:pPr>
        <w:spacing w:before="40" w:after="40" w:line="276" w:lineRule="auto"/>
        <w:ind w:left="360" w:hanging="360"/>
      </w:pPr>
      <w:r>
        <w:rPr>
          <w:rFonts w:ascii="Times New Roman" w:hAnsi="Times New Roman" w:eastAsia="Times New Roman" w:cs="Times New Roman"/>
          <w:sz w:val="18"/>
          <w:szCs w:val="18"/>
        </w:rPr>
        <w:t>[8] S. Ji et al., 'Suicidal ideation detection: A review of machine learning methods and applications,' IEEE Trans. Comput. Soc. Syst., 2021.</w:t>
      </w:r>
    </w:p>
    <w:p w14:paraId="5845E516">
      <w:pPr>
        <w:spacing w:before="40" w:after="40" w:line="276" w:lineRule="auto"/>
        <w:ind w:left="360" w:hanging="360"/>
      </w:pPr>
      <w:r>
        <w:rPr>
          <w:rFonts w:ascii="Times New Roman" w:hAnsi="Times New Roman" w:eastAsia="Times New Roman" w:cs="Times New Roman"/>
          <w:sz w:val="18"/>
          <w:szCs w:val="18"/>
        </w:rPr>
        <w:t>[9] M. Cukic, V. Lopez, and J. Pavon, 'Classification of depression through resting-state EEG as a novel practice in psychiatry: Review,' J. Med. Internet Res., vol. 22, no. 11, 2020.</w:t>
      </w:r>
    </w:p>
    <w:p w14:paraId="3D7F1B9B">
      <w:pPr>
        <w:spacing w:before="40" w:after="40" w:line="276" w:lineRule="auto"/>
        <w:ind w:left="360" w:hanging="360"/>
      </w:pPr>
      <w:r>
        <w:rPr>
          <w:rFonts w:ascii="Times New Roman" w:hAnsi="Times New Roman" w:eastAsia="Times New Roman" w:cs="Times New Roman"/>
          <w:sz w:val="18"/>
          <w:szCs w:val="18"/>
        </w:rPr>
        <w:t>[10] J. J. Allen and S. J. Reznik, 'Frontal EEG asymmetry as a promising marker of depression vulnerability,' Current Opinion Psychol., vol. 4, pp. 93-97, 2015.</w:t>
      </w:r>
    </w:p>
    <w:p w14:paraId="402BDAAB">
      <w:pPr>
        <w:spacing w:before="40" w:after="40" w:line="276" w:lineRule="auto"/>
        <w:ind w:left="360" w:hanging="360"/>
      </w:pPr>
      <w:r>
        <w:rPr>
          <w:rFonts w:ascii="Times New Roman" w:hAnsi="Times New Roman" w:eastAsia="Times New Roman" w:cs="Times New Roman"/>
          <w:sz w:val="18"/>
          <w:szCs w:val="18"/>
        </w:rPr>
        <w:t>[11] M. Sharma et al., 'An automated diagnosis of depression using three-channel bandwidth-duration localized wavelet filter bank with EEG signals,' Cognit. Syst. Res., vol. 52, pp. 508-520, 2018.</w:t>
      </w:r>
    </w:p>
    <w:p w14:paraId="3A59D969">
      <w:pPr>
        <w:spacing w:before="40" w:after="40" w:line="276" w:lineRule="auto"/>
        <w:ind w:left="360" w:hanging="360"/>
      </w:pPr>
      <w:r>
        <w:rPr>
          <w:rFonts w:ascii="Times New Roman" w:hAnsi="Times New Roman" w:eastAsia="Times New Roman" w:cs="Times New Roman"/>
          <w:sz w:val="18"/>
          <w:szCs w:val="18"/>
        </w:rPr>
        <w:t>[12] B. Hosseinifard et al., 'Classifying depression patients and normal subjects using machine learning techniques and nonlinear features from EEG signal,' Comput. Methods Programs Biomed., vol. 109, no. 3, pp. 339-345, 2013.</w:t>
      </w:r>
    </w:p>
    <w:p w14:paraId="23B5980D">
      <w:pPr>
        <w:spacing w:before="40" w:after="40" w:line="276" w:lineRule="auto"/>
        <w:ind w:left="360" w:hanging="360"/>
      </w:pPr>
      <w:r>
        <w:rPr>
          <w:rFonts w:ascii="Times New Roman" w:hAnsi="Times New Roman" w:eastAsia="Times New Roman" w:cs="Times New Roman"/>
          <w:sz w:val="18"/>
          <w:szCs w:val="18"/>
        </w:rPr>
        <w:t>[13] D. M. Khan et al., 'Development of wavelet coherence EEG as a biomarker for diagnosis of major depressive disorder,' IEEE Sensors J., vol. 22, no. 5, pp. 4315-4325, 2022.</w:t>
      </w:r>
    </w:p>
    <w:p w14:paraId="53EFFB8C">
      <w:pPr>
        <w:spacing w:before="40" w:after="40" w:line="276" w:lineRule="auto"/>
        <w:ind w:left="360" w:hanging="360"/>
      </w:pPr>
      <w:r>
        <w:rPr>
          <w:rFonts w:ascii="Times New Roman" w:hAnsi="Times New Roman" w:eastAsia="Times New Roman" w:cs="Times New Roman"/>
          <w:sz w:val="18"/>
          <w:szCs w:val="18"/>
        </w:rPr>
        <w:t>[14] C.-T. Wu et al., 'Resting-state EEG signal for major depressive disorder detection: A systematic validation on a large and diverse dataset,' Biosensors, vol. 11, no. 12, pp. 499-524, 2021.</w:t>
      </w:r>
    </w:p>
    <w:p w14:paraId="38227136">
      <w:pPr>
        <w:spacing w:before="40" w:after="40" w:line="276" w:lineRule="auto"/>
        <w:ind w:left="360" w:hanging="360"/>
      </w:pPr>
      <w:r>
        <w:rPr>
          <w:rFonts w:ascii="Times New Roman" w:hAnsi="Times New Roman" w:eastAsia="Times New Roman" w:cs="Times New Roman"/>
          <w:sz w:val="18"/>
          <w:szCs w:val="18"/>
        </w:rPr>
        <w:t>[15] M. Li et al., 'A clinical-oriented non-severe depression diagnosis method based on cognitive behavior of emotional conflict,' IEEE Trans. Computat. Social Syst., vol. 10, no. 1, pp. 131-141, 2023.</w:t>
      </w:r>
    </w:p>
    <w:p w14:paraId="24AF1D6B">
      <w:pPr>
        <w:spacing w:before="40" w:after="40" w:line="276" w:lineRule="auto"/>
        <w:ind w:left="360" w:hanging="360"/>
      </w:pPr>
      <w:r>
        <w:rPr>
          <w:rFonts w:ascii="Times New Roman" w:hAnsi="Times New Roman" w:eastAsia="Times New Roman" w:cs="Times New Roman"/>
          <w:sz w:val="18"/>
          <w:szCs w:val="18"/>
        </w:rPr>
        <w:t>[16] K. Thulasi et al., 'Detecting mild depression from EEG signal in a non-clinical environment using machine learning technique,' in Proc. IEEE 2nd Nat. Biomed. Eng. Conf. (NBEC), 2023, pp. 100-105.</w:t>
      </w:r>
    </w:p>
    <w:p w14:paraId="2879557E">
      <w:pPr>
        <w:spacing w:before="40" w:after="40" w:line="276" w:lineRule="auto"/>
        <w:ind w:left="360" w:hanging="360"/>
      </w:pPr>
      <w:r>
        <w:rPr>
          <w:rFonts w:ascii="Times New Roman" w:hAnsi="Times New Roman" w:eastAsia="Times New Roman" w:cs="Times New Roman"/>
          <w:sz w:val="18"/>
          <w:szCs w:val="18"/>
        </w:rPr>
        <w:t>[17] P. Penava and R. Buettner, 'Early-Stage Non-Severe Depression Detection Using a Novel Convolutional Neural Network Approach Based on Resting-State EEG Data,' IEEE Access, vol. 12, pp. 173380-173389, 2024.</w:t>
      </w:r>
    </w:p>
    <w:p w14:paraId="2E856F02">
      <w:pPr>
        <w:spacing w:before="40" w:after="40" w:line="276" w:lineRule="auto"/>
        <w:ind w:left="360" w:hanging="360"/>
      </w:pPr>
      <w:r>
        <w:rPr>
          <w:rFonts w:ascii="Times New Roman" w:hAnsi="Times New Roman" w:eastAsia="Times New Roman" w:cs="Times New Roman"/>
          <w:sz w:val="18"/>
          <w:szCs w:val="18"/>
        </w:rPr>
        <w:t>[18] G. Coppersmith et al., 'Natural Language Processing of Social Media as Screening for Suicide Risk,' Biomed. Inform. Insights, 2018.</w:t>
      </w:r>
    </w:p>
    <w:p w14:paraId="3BDB85A5">
      <w:pPr>
        <w:spacing w:before="40" w:after="40" w:line="276" w:lineRule="auto"/>
        <w:ind w:left="360" w:hanging="360"/>
      </w:pPr>
      <w:r>
        <w:rPr>
          <w:rFonts w:ascii="Times New Roman" w:hAnsi="Times New Roman" w:eastAsia="Times New Roman" w:cs="Times New Roman"/>
          <w:sz w:val="18"/>
          <w:szCs w:val="18"/>
        </w:rPr>
        <w:t>[19] Y. Ophir et al., 'Deep learning of suicide notes reveals suicidal ideation,' npj Digital Medicine, vol. 3, 2020.</w:t>
      </w:r>
    </w:p>
    <w:p w14:paraId="2A9AA091">
      <w:pPr>
        <w:spacing w:before="40" w:after="40" w:line="276" w:lineRule="auto"/>
        <w:ind w:left="360" w:hanging="360"/>
      </w:pPr>
      <w:r>
        <w:rPr>
          <w:rFonts w:ascii="Times New Roman" w:hAnsi="Times New Roman" w:eastAsia="Times New Roman" w:cs="Times New Roman"/>
          <w:sz w:val="18"/>
          <w:szCs w:val="18"/>
        </w:rPr>
        <w:t>[20] A. Babayan et al., 'A mind-brain-body dataset of MRI, EEG, cognition, emotion, and peripheral physiology in young and old adults,' Sci. Data, vol. 6, pp. 1-21, 2019.</w:t>
      </w:r>
    </w:p>
    <w:p w14:paraId="5ECDBFEA">
      <w:pPr>
        <w:spacing w:before="40" w:after="40" w:line="276" w:lineRule="auto"/>
        <w:ind w:left="360" w:hanging="360"/>
      </w:pPr>
      <w:r>
        <w:rPr>
          <w:rFonts w:ascii="Times New Roman" w:hAnsi="Times New Roman" w:eastAsia="Times New Roman" w:cs="Times New Roman"/>
          <w:sz w:val="18"/>
          <w:szCs w:val="18"/>
        </w:rPr>
        <w:t>[21] V. J. Lawhern et al., 'EEGNet: A compact convolutional neural network for EEG-based brain-computer interfaces,' J. Neural Eng., vol. 15, no. 5, 2018.</w:t>
      </w:r>
    </w:p>
    <w:p w14:paraId="038E7F96">
      <w:pPr>
        <w:spacing w:before="40" w:after="40" w:line="276" w:lineRule="auto"/>
        <w:ind w:left="360" w:hanging="360"/>
      </w:pPr>
      <w:r>
        <w:rPr>
          <w:rFonts w:ascii="Times New Roman" w:hAnsi="Times New Roman" w:eastAsia="Times New Roman" w:cs="Times New Roman"/>
          <w:sz w:val="18"/>
          <w:szCs w:val="18"/>
        </w:rPr>
        <w:t>[22] F. Sholevar et al., 'The shortage of psychiatrists and other mental health providers: Causes, current state, and potential solutions,' Int. J. Academic Med., vol. 3, no. 1, pp. 5-9, 2017.</w:t>
      </w:r>
    </w:p>
    <w:p w14:paraId="22BE4045">
      <w:pPr>
        <w:spacing w:before="40" w:after="40" w:line="276" w:lineRule="auto"/>
        <w:ind w:left="360" w:hanging="360"/>
      </w:pPr>
      <w:r>
        <w:rPr>
          <w:rFonts w:ascii="Times New Roman" w:hAnsi="Times New Roman" w:eastAsia="Times New Roman" w:cs="Times New Roman"/>
          <w:sz w:val="18"/>
          <w:szCs w:val="18"/>
        </w:rPr>
        <w:t>[23] S. M. Lundberg and S.-I. Lee, 'A unified approach to interpreting model predictions,' in Proc. NeurIPS, 2017.</w:t>
      </w:r>
    </w:p>
    <w:p w14:paraId="0D10F537">
      <w:pPr>
        <w:spacing w:before="30" w:after="30"/>
        <w:rPr>
          <w:rFonts w:ascii="Times New Roman" w:hAnsi="Times New Roman" w:eastAsia="Times New Roman" w:cs="Times New Roman"/>
          <w:color w:val="333333"/>
          <w:sz w:val="19"/>
          <w:szCs w:val="19"/>
        </w:rPr>
      </w:pPr>
    </w:p>
    <w:p w14:paraId="5276ED38">
      <w:pPr>
        <w:spacing w:before="30" w:after="30"/>
        <w:rPr>
          <w:rFonts w:ascii="Times New Roman" w:hAnsi="Times New Roman" w:eastAsia="Times New Roman" w:cs="Times New Roman"/>
          <w:color w:val="333333"/>
          <w:sz w:val="19"/>
          <w:szCs w:val="19"/>
        </w:rPr>
      </w:pPr>
      <w:bookmarkStart w:id="0" w:name="_GoBack"/>
      <w:bookmarkEnd w:id="0"/>
    </w:p>
    <w:p w14:paraId="173EB37F">
      <w:pPr>
        <w:pBdr>
          <w:bottom w:val="single" w:color="1F3864" w:sz="12" w:space="1"/>
        </w:pBdr>
        <w:spacing w:before="40" w:after="40"/>
      </w:pPr>
    </w:p>
    <w:p w14:paraId="4464CE7B">
      <w:pPr>
        <w:spacing w:before="40" w:after="40"/>
      </w:pPr>
    </w:p>
    <w:p w14:paraId="7F37D71F">
      <w:pPr>
        <w:spacing w:before="20" w:after="20"/>
        <w:jc w:val="center"/>
      </w:pPr>
      <w:r>
        <w:rPr>
          <w:rFonts w:ascii="Cambria" w:hAnsi="Cambria" w:eastAsia="Cambria" w:cs="Cambria"/>
          <w:i/>
          <w:iCs/>
          <w:color w:val="555555"/>
          <w:sz w:val="16"/>
          <w:szCs w:val="16"/>
        </w:rPr>
        <w:t>Department of AI &amp; Data Science • Dr. Mahalingam College of Engineering &amp; Technology, Pollachi, Tamil Nadu, India</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03CD0B79"/>
    <w:rsid w:val="3FA40F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1780</Words>
  <Characters>11726</Characters>
  <TotalTime>0</TotalTime>
  <ScaleCrop>false</ScaleCrop>
  <LinksUpToDate>false</LinksUpToDate>
  <CharactersWithSpaces>13448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2026-04-16T15:13:00Z</dcterms:created>
  <dc:creator>Un-named</dc:creator>
  <cp:lastModifiedBy>Sri Dhar</cp:lastModifiedBy>
  <dcterms:modified xsi:type="dcterms:W3CDTF">2026-04-16T15:45:51Z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eyJoZGlkIjoiZTg5M2RmMjBjZDY4ZTNhYjBjNGE2OGU3ODlmZWZmYzIiLCJ1c2VySWQiOiI1Njc2NDU1NzcwMTMifQ==</vt:lpwstr>
  </property>
  <property fmtid="{D5CDD505-2E9C-101B-9397-08002B2CF9AE}" pid="3" name="KSOProductBuildVer">
    <vt:lpwstr>1033-12.1.0.25830</vt:lpwstr>
  </property>
  <property fmtid="{D5CDD505-2E9C-101B-9397-08002B2CF9AE}" pid="4" name="ICV">
    <vt:lpwstr>AD0A2C041F9247F392F969B94F4DCD77_13</vt:lpwstr>
  </property>
</Properties>
</file>