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pPr>
        <w:pStyle w:val="Heading2"/>
      </w:pPr>
      <w:r>
        <w:t>System Architecture</w:t>
      </w:r>
    </w:p>
    <w:p>
      <w:r>
        <w:t>Browser frontend → FastAPI backend → feature module → Gemini client → Google Gemini service → generated response to the frontend.</w:t>
      </w:r>
    </w:p>
    <w:p>
      <w:pPr>
        <w:pStyle w:val="Heading2"/>
      </w:pPr>
      <w:r>
        <w:t>Main Components</w:t>
      </w:r>
    </w:p>
    <w:p>
      <w:r>
        <w:t>Frontend, FastAPI application, schemas, feature modules, Gemini client, configuration, and tests.</w:t>
      </w:r>
    </w:p>
    <w:p>
      <w:pPr>
        <w:pStyle w:val="Heading2"/>
      </w:pPr>
      <w:r>
        <w:t>API Design</w:t>
      </w:r>
    </w:p>
    <w:p>
      <w:r>
        <w:t>/qa for Q&amp;A; /explain for explanations; /quiz for quizzes; /summarize for summaries; /learn/recommendations for learning recommendations.</w:t>
      </w:r>
    </w:p>
    <w:p>
      <w:pPr>
        <w:pStyle w:val="Heading2"/>
      </w:pPr>
      <w:r>
        <w:t>Data Flow</w:t>
      </w:r>
    </w:p>
    <w:p>
      <w:r>
        <w:t>The user submits a learning request, the backend processes it through the appropriate module, the Gemini client generates the response, and the result is returned to the interface.</w:t>
      </w:r>
    </w:p>
    <w:p>
      <w:pPr>
        <w:pStyle w:val="Heading2"/>
      </w:pPr>
      <w:r>
        <w:t>Security Design</w:t>
      </w:r>
    </w:p>
    <w:p>
      <w:r>
        <w:t>API credentials are stored outside source code and .env is excluded using .gitignore.</w:t>
      </w:r>
    </w:p>
    <w:p>
      <w:pPr>
        <w:pStyle w:val="Heading2"/>
      </w:pPr>
      <w:r>
        <w:t>Conclusion</w:t>
      </w:r>
    </w:p>
    <w:p>
      <w:r>
        <w:t>The modular design keeps the application clear, maintainable, and suitable for future enhancement.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