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65" w:rsidRPr="00F12565" w:rsidRDefault="00F12565" w:rsidP="00F12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8620"/>
        <w:gridCol w:w="344"/>
        <w:gridCol w:w="20"/>
      </w:tblGrid>
      <w:tr w:rsidR="00F12565" w:rsidRPr="00F12565" w:rsidTr="00F12565">
        <w:trPr>
          <w:trHeight w:val="342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497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bookmarkStart w:id="0" w:name="_GoBack"/>
            <w:r w:rsidRPr="00F12565">
              <w:rPr>
                <w:rFonts w:ascii="Trebuchet MS" w:eastAsia="Times New Roman" w:hAnsi="Trebuchet MS" w:cs="Helvetica"/>
                <w:color w:val="FFFFFF"/>
                <w:sz w:val="24"/>
                <w:szCs w:val="24"/>
              </w:rPr>
              <w:t>A</w:t>
            </w:r>
          </w:p>
        </w:tc>
        <w:tc>
          <w:tcPr>
            <w:tcW w:w="86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Core Skills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86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1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222222"/>
                <w:sz w:val="24"/>
                <w:szCs w:val="24"/>
              </w:rPr>
              <w:t>Programming, MCQ score, domain exercise all combined score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GOF design Pattern application, standard solution with details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2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Language fundamentals, Collections and Data Structure, basic Internals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Adv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collection internals , Solid Principles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3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Generics,Lambda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expr, Functional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Interface,streams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, predicate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Completable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future, Parallel and Serial Stream, Lazy streams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4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Any one type GOF Design Patterns creational/structural/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behavioural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)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Awareness to more than one design pattern categories listed above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5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Rest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principles,OAS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consumer, versioning, pagination, Mocking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Contract 1st OAS, Best practices, Code generation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6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Cloud Deployment, basic cloud set up,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Serverless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and storage services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Provison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with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Terrform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/ARM , Application architecture over cloud and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adv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svc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75"/>
        </w:trPr>
        <w:tc>
          <w:tcPr>
            <w:tcW w:w="10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 xml:space="preserve">This is Mandatory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Section</w:t>
            </w:r>
            <w:proofErr w:type="gramStart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!Is</w:t>
            </w:r>
            <w:proofErr w:type="spellEnd"/>
            <w:proofErr w:type="gramEnd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 xml:space="preserve"> the candidate good with coding skills to execute Simple to Medium Complexity code? 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497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FFFFFF"/>
                <w:sz w:val="24"/>
                <w:szCs w:val="24"/>
              </w:rPr>
              <w:t>B</w:t>
            </w:r>
          </w:p>
        </w:tc>
        <w:tc>
          <w:tcPr>
            <w:tcW w:w="8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Advance Design &amp; Development skills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8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1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Database RDBMS/No SQL (SQL, Joins, Indexing) ORM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Entity Modeling, Aggregate functions, CDC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2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Multithreading: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Deadloack,Fork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&amp;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Join,Sync,TLP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Concurrent Collection, Lock Internals , Thread local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3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Messaging (pub-sub/queue, durability, tracing) , Schema, AMQP/IIOT/JMS, Kafka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Broker internals ,scaling, event based programming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4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Ent.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Librabry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, Unity Containers or caching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Distributed Caching, distributed transactions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5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Profiler, finalize, garbage collection basics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GC Dump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Analysis,GC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algos</w:t>
            </w:r>
            <w:proofErr w:type="spellEnd"/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90"/>
        </w:trPr>
        <w:tc>
          <w:tcPr>
            <w:tcW w:w="10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222222"/>
                <w:sz w:val="24"/>
                <w:szCs w:val="24"/>
              </w:rPr>
              <w:t> </w:t>
            </w: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Is the candidate ready for Advance .NET implementations to execute with Simple to Medium Complexity?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75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FFFFFF"/>
                <w:sz w:val="24"/>
                <w:szCs w:val="24"/>
              </w:rPr>
              <w:t>C</w:t>
            </w:r>
          </w:p>
        </w:tc>
        <w:tc>
          <w:tcPr>
            <w:tcW w:w="8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Tooling &amp; Framework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75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497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 </w:t>
            </w:r>
          </w:p>
        </w:tc>
        <w:tc>
          <w:tcPr>
            <w:tcW w:w="8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1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Advance Topics: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Grpc,Service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mesh, Graph QL</w:t>
            </w: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br/>
              <w:t>or Data Processing technologies (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SSIS,spark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flink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)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2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Web (Sockets/Html/JS</w:t>
            </w:r>
            <w:proofErr w:type="gram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,UI</w:t>
            </w:r>
            <w:proofErr w:type="gram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etc.)(Full Stack?)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Adv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React, Angular, design, SPA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3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TDD,Unit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Testing, Functional Testing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,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BDD,Tooling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overall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lastRenderedPageBreak/>
              <w:t>4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Devops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(CI,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MSBuild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, Jenkins, Quality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plugins,Docker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kubernetes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Pipeline,Chef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/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Ansible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, Branching Merging, Multi Geography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5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Log export and </w:t>
            </w:r>
            <w:proofErr w:type="gram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Monitoring(</w:t>
            </w:r>
            <w:proofErr w:type="gram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exporting and usage of log tools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. </w:t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Configuration in any of  ELK,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Grafana,COTS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tools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FFFFFF"/>
                <w:sz w:val="24"/>
                <w:szCs w:val="24"/>
              </w:rPr>
              <w:t>D</w:t>
            </w:r>
          </w:p>
        </w:tc>
        <w:tc>
          <w:tcPr>
            <w:tcW w:w="86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 xml:space="preserve">APIs, Cloud &amp;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Microservices</w:t>
            </w:r>
            <w:proofErr w:type="spellEnd"/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86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1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MS Patterns for Orchestration Patterns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Choreography Patterns and Command Pattern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2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Bounded Context, Domain model(Fat Domain 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Aneamic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Domain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) ,</w:t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</w:rPr>
              <w:t> </w:t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Transaction (Cancel, Rollback, compensating), Aggregates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3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CQRS Patterns (Database Model, API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Impl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and deployment</w:t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Event sourcing in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Microservices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, Choice of DB, Same DB strategy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4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API Security Basic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Auth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, Client Credential, JWT usage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Authcode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Flow, Open IDC, IAM integration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A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5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API Gateway policy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Implemenmtation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security , traffic,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Devportal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API Gateway Architecture (Commercial API Gateways) &amp;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Config</w:t>
            </w:r>
            <w:proofErr w:type="spellEnd"/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90"/>
        </w:trPr>
        <w:tc>
          <w:tcPr>
            <w:tcW w:w="10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 xml:space="preserve">Is the candidate ready for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microservices</w:t>
            </w:r>
            <w:proofErr w:type="spellEnd"/>
            <w:proofErr w:type="gramStart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  and</w:t>
            </w:r>
            <w:proofErr w:type="gramEnd"/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 xml:space="preserve"> Core .NET to execute with Simple to Medium Complexity??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6933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FFFFFF"/>
                <w:sz w:val="24"/>
                <w:szCs w:val="24"/>
              </w:rPr>
              <w:t>E</w:t>
            </w:r>
          </w:p>
        </w:tc>
        <w:tc>
          <w:tcPr>
            <w:tcW w:w="8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1F497D"/>
                <w:sz w:val="24"/>
                <w:szCs w:val="24"/>
              </w:rPr>
              <w:t>Solution &amp; Architecture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4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8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1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Logical views, sequence views , Application Layering , SCD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BCD,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SCD,Technology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and solution detailing, end to end view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DFE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2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NFR (Data at REST / Motion / In use)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Multi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tenent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, multi geography/Brand, Scale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3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Integration Patterns and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Integrtation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exp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with any enterprise systems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Enterprise Service Bus e.g. Mule, Camel, public Cloud based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4</w:t>
            </w:r>
          </w:p>
        </w:tc>
        <w:tc>
          <w:tcPr>
            <w:tcW w:w="8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Production deployment </w:t>
            </w:r>
            <w:proofErr w:type="spellStart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checklist,operational</w:t>
            </w:r>
            <w:proofErr w:type="spellEnd"/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 xml:space="preserve"> steps , Canary release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Automation testing (SIT, Security, prod)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F12565" w:rsidRPr="00F12565" w:rsidTr="00F12565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t>5</w:t>
            </w:r>
          </w:p>
        </w:tc>
        <w:tc>
          <w:tcPr>
            <w:tcW w:w="8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12565">
              <w:rPr>
                <w:rFonts w:ascii="Trebuchet MS" w:eastAsia="Times New Roman" w:hAnsi="Trebuchet MS" w:cs="Helvetica"/>
                <w:b/>
                <w:bCs/>
                <w:color w:val="31869B"/>
                <w:sz w:val="24"/>
                <w:szCs w:val="24"/>
              </w:rPr>
              <w:t>POC,  certifications, IC, execute Application end to end</w:t>
            </w:r>
            <w:r w:rsidRPr="00F12565">
              <w:rPr>
                <w:rFonts w:ascii="Trebuchet MS" w:eastAsia="Times New Roman" w:hAnsi="Trebuchet MS" w:cs="Helvetica"/>
                <w:color w:val="31869B"/>
                <w:sz w:val="24"/>
                <w:szCs w:val="24"/>
              </w:rPr>
              <w:br/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Req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 xml:space="preserve"> </w:t>
            </w:r>
            <w:proofErr w:type="spellStart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gatethering</w:t>
            </w:r>
            <w:proofErr w:type="spellEnd"/>
            <w:r w:rsidRPr="00F12565">
              <w:rPr>
                <w:rFonts w:ascii="Trebuchet MS" w:eastAsia="Times New Roman" w:hAnsi="Trebuchet MS" w:cs="Helvetica"/>
                <w:color w:val="FF0000"/>
                <w:sz w:val="24"/>
                <w:szCs w:val="24"/>
                <w:shd w:val="clear" w:color="auto" w:fill="FFFF00"/>
              </w:rPr>
              <w:t>, Estimate (Track level), Lead &amp; Mentor</w:t>
            </w:r>
          </w:p>
        </w:tc>
        <w:tc>
          <w:tcPr>
            <w:tcW w:w="360" w:type="dxa"/>
            <w:gridSpan w:val="2"/>
            <w:shd w:val="clear" w:color="auto" w:fill="FFFFFF"/>
            <w:vAlign w:val="center"/>
            <w:hideMark/>
          </w:tcPr>
          <w:p w:rsidR="00F12565" w:rsidRPr="00F12565" w:rsidRDefault="00F12565" w:rsidP="00F1256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bookmarkEnd w:id="0"/>
    <w:p w:rsidR="00F12565" w:rsidRPr="00F12565" w:rsidRDefault="00F12565" w:rsidP="00F125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2565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</w:p>
    <w:p w:rsidR="00F12565" w:rsidRPr="00F12565" w:rsidRDefault="00F12565" w:rsidP="00F125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2565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</w:p>
    <w:p w:rsidR="009B1E68" w:rsidRDefault="009B1E68"/>
    <w:sectPr w:rsidR="009B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20"/>
    <w:rsid w:val="00586720"/>
    <w:rsid w:val="009B1E68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2519-601D-435B-BEF8-FEC3DD17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azureuser</dc:creator>
  <cp:keywords/>
  <dc:description/>
  <cp:lastModifiedBy>azureuser</cp:lastModifiedBy>
  <cp:revision>3</cp:revision>
  <dcterms:created xsi:type="dcterms:W3CDTF">2020-10-26T15:56:00Z</dcterms:created>
  <dcterms:modified xsi:type="dcterms:W3CDTF">2020-10-26T15:57:00Z</dcterms:modified>
</cp:coreProperties>
</file>