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PeerBridge The Hero Network</w:t>
      </w:r>
    </w:p>
    <w:p>
      <w:pPr>
        <w:pStyle w:val="Subtitle"/>
      </w:pPr>
      <w:r>
        <w:t>2026 Congressional App Challenge</w:t>
      </w:r>
    </w:p>
    <w:p>
      <w:r>
        <w:t>Project outline and implementation brief for Codex</w:t>
      </w:r>
    </w:p>
    <w:p>
      <w:r>
        <w:t>Every hero has a strength. Every hero needs a team.</w:t>
      </w:r>
    </w:p>
    <w:p>
      <w:pPr>
        <w:pStyle w:val="Heading1"/>
      </w:pPr>
      <w:r>
        <w:t>Project vision</w:t>
      </w:r>
    </w:p>
    <w:p>
      <w:r>
        <w:t>Build a superhero-themed student support web app where students ask for help through pseudonymous hero profiles and offer their own strengths to others. Start with fictional middle-school and high-school scenarios inspired by the Folsom Cordova community. This document gives Codex the scope, architecture, matching logic, and acceptance criteria for a working competition prototype.</w:t>
      </w:r>
    </w:p>
    <w:p>
      <w:pPr>
        <w:pStyle w:val="Heading1"/>
      </w:pPr>
      <w:r>
        <w:t>Clear goals</w:t>
      </w:r>
    </w:p>
    <w:p>
      <w:pPr>
        <w:pStyle w:val="ListBullet"/>
      </w:pPr>
      <w:r>
        <w:t>Make asking for academic or school-related help less embarrassing through publicly hidden identities.</w:t>
      </w:r>
    </w:p>
    <w:p>
      <w:pPr>
        <w:pStyle w:val="ListBullet"/>
      </w:pPr>
      <w:r>
        <w:t>Connect students to suitable peers using topic relevance, availability, and mentor capacity.</w:t>
      </w:r>
    </w:p>
    <w:p>
      <w:pPr>
        <w:pStyle w:val="ListBullet"/>
      </w:pPr>
      <w:r>
        <w:t>Recommend curated free resources alongside peer support.</w:t>
      </w:r>
    </w:p>
    <w:p>
      <w:pPr>
        <w:pStyle w:val="ListBullet"/>
      </w:pPr>
      <w:r>
        <w:t>Let every student give and receive help without requiring an exchange.</w:t>
      </w:r>
    </w:p>
    <w:p>
      <w:pPr>
        <w:pStyle w:val="ListBullet"/>
      </w:pPr>
      <w:r>
        <w:t>Route sensitive concerns toward trusted adult support and keep them off the public mission board.</w:t>
      </w:r>
    </w:p>
    <w:p>
      <w:pPr>
        <w:pStyle w:val="Heading1"/>
      </w:pPr>
      <w:r>
        <w:t>Prototype scope</w:t>
      </w:r>
    </w:p>
    <w:p>
      <w:r>
        <w:t>Deliver three complete experiences: create a hero profile, post a mission, and receive explainable mentor and resource recommendations. Include a Give and Get view showing both strengths and support needs. Use fictional profiles and label all demonstration data clearly.</w:t>
      </w:r>
    </w:p>
    <w:p>
      <w:r>
        <w:t>Keep live student registration, unrestricted private messaging, notifications, and real school integrations outside the first version. The prototype must not imply district endorsement or that an adult has been contacted.</w:t>
      </w:r>
    </w:p>
    <w:p>
      <w:r>
        <w:br w:type="page"/>
      </w:r>
    </w:p>
    <w:p>
      <w:pPr>
        <w:pStyle w:val="Heading1"/>
      </w:pPr>
      <w:r>
        <w:t>Hero identities and example journeys</w:t>
      </w:r>
    </w:p>
    <w:p>
      <w:r>
        <w:t>Use original comic-book identities, avatars, and artwork with an energetic blue and purple interface. Do not use official Marvel characters or logos. Keep forms readable, keyboard accessible, and usable without animation.</w:t>
      </w:r>
    </w:p>
    <w:tbl>
      <w:tblPr>
        <w:tblW w:type="auto" w:w="0"/>
        <w:tblLayout w:type="fixed"/>
        <w:tblLook w:firstColumn="1" w:firstRow="1" w:lastColumn="0" w:lastRow="0" w:noHBand="0" w:noVBand="1" w:val="04A0"/>
      </w:tblPr>
      <w:tblGrid>
        <w:gridCol w:w="3312"/>
        <w:gridCol w:w="3312"/>
        <w:gridCol w:w="3312"/>
      </w:tblGrid>
      <w:tr>
        <w:tc>
          <w:tcPr>
            <w:tcW w:type="dxa" w:w="3312"/>
            <w:tcBorders>
              <w:top w:val="single" w:sz="4" w:color="D9D9D9"/>
              <w:left w:val="single" w:sz="4" w:color="D9D9D9"/>
              <w:bottom w:val="single" w:sz="4" w:color="D9D9D9"/>
              <w:right w:val="single" w:sz="4" w:color="D9D9D9"/>
            </w:tcBorders>
            <w:shd w:fill="E8EDF3"/>
          </w:tcPr>
          <w:p>
            <w:pPr>
              <w:spacing w:after="120" w:before="120"/>
            </w:pPr>
            <w:r>
              <w:rPr>
                <w:b/>
                <w:sz w:val="20"/>
              </w:rPr>
              <w:t>Hero alias</w:t>
            </w:r>
          </w:p>
        </w:tc>
        <w:tc>
          <w:tcPr>
            <w:tcW w:type="dxa" w:w="3312"/>
            <w:tcBorders>
              <w:top w:val="single" w:sz="4" w:color="D9D9D9"/>
              <w:left w:val="single" w:sz="4" w:color="D9D9D9"/>
              <w:bottom w:val="single" w:sz="4" w:color="D9D9D9"/>
              <w:right w:val="single" w:sz="4" w:color="D9D9D9"/>
            </w:tcBorders>
            <w:shd w:fill="E8EDF3"/>
          </w:tcPr>
          <w:p>
            <w:pPr>
              <w:spacing w:after="120" w:before="120"/>
            </w:pPr>
            <w:r>
              <w:rPr>
                <w:b/>
                <w:sz w:val="20"/>
              </w:rPr>
              <w:t>Can help with</w:t>
            </w:r>
          </w:p>
        </w:tc>
        <w:tc>
          <w:tcPr>
            <w:tcW w:type="dxa" w:w="3312"/>
            <w:tcBorders>
              <w:top w:val="single" w:sz="4" w:color="D9D9D9"/>
              <w:left w:val="single" w:sz="4" w:color="D9D9D9"/>
              <w:bottom w:val="single" w:sz="4" w:color="D9D9D9"/>
              <w:right w:val="single" w:sz="4" w:color="D9D9D9"/>
            </w:tcBorders>
            <w:shd w:fill="E8EDF3"/>
          </w:tcPr>
          <w:p>
            <w:pPr>
              <w:spacing w:after="120" w:before="120"/>
            </w:pPr>
            <w:r>
              <w:rPr>
                <w:b/>
                <w:sz w:val="20"/>
              </w:rPr>
              <w:t>Needs help with</w:t>
            </w:r>
          </w:p>
        </w:tc>
      </w:tr>
      <w:tr>
        <w:tc>
          <w:tcPr>
            <w:tcW w:type="dxa" w:w="3312"/>
            <w:tcBorders>
              <w:top w:val="single" w:sz="4" w:color="D9D9D9"/>
              <w:left w:val="single" w:sz="4" w:color="D9D9D9"/>
              <w:bottom w:val="single" w:sz="4" w:color="D9D9D9"/>
              <w:right w:val="single" w:sz="4" w:color="D9D9D9"/>
            </w:tcBorders>
            <w:shd w:fill="FFFFFF"/>
          </w:tcPr>
          <w:p>
            <w:pPr>
              <w:spacing w:after="120" w:before="120"/>
            </w:pPr>
            <w:r>
              <w:rPr>
                <w:b w:val="0"/>
                <w:sz w:val="20"/>
              </w:rPr>
              <w:t>QuantumSpark</w:t>
            </w:r>
          </w:p>
        </w:tc>
        <w:tc>
          <w:tcPr>
            <w:tcW w:type="dxa" w:w="3312"/>
            <w:tcBorders>
              <w:top w:val="single" w:sz="4" w:color="D9D9D9"/>
              <w:left w:val="single" w:sz="4" w:color="D9D9D9"/>
              <w:bottom w:val="single" w:sz="4" w:color="D9D9D9"/>
              <w:right w:val="single" w:sz="4" w:color="D9D9D9"/>
            </w:tcBorders>
            <w:shd w:fill="FFFFFF"/>
          </w:tcPr>
          <w:p>
            <w:pPr>
              <w:spacing w:after="120" w:before="120"/>
            </w:pPr>
            <w:r>
              <w:rPr>
                <w:b w:val="0"/>
                <w:sz w:val="20"/>
              </w:rPr>
              <w:t>Python, robotics, algebra</w:t>
            </w:r>
          </w:p>
        </w:tc>
        <w:tc>
          <w:tcPr>
            <w:tcW w:type="dxa" w:w="3312"/>
            <w:tcBorders>
              <w:top w:val="single" w:sz="4" w:color="D9D9D9"/>
              <w:left w:val="single" w:sz="4" w:color="D9D9D9"/>
              <w:bottom w:val="single" w:sz="4" w:color="D9D9D9"/>
              <w:right w:val="single" w:sz="4" w:color="D9D9D9"/>
            </w:tcBorders>
            <w:shd w:fill="FFFFFF"/>
          </w:tcPr>
          <w:p>
            <w:pPr>
              <w:spacing w:after="120" w:before="120"/>
            </w:pPr>
            <w:r>
              <w:rPr>
                <w:b w:val="0"/>
                <w:sz w:val="20"/>
              </w:rPr>
              <w:t>Public speaking</w:t>
            </w:r>
          </w:p>
        </w:tc>
      </w:tr>
      <w:tr>
        <w:tc>
          <w:tcPr>
            <w:tcW w:type="dxa" w:w="3312"/>
            <w:tcBorders>
              <w:top w:val="single" w:sz="4" w:color="D9D9D9"/>
              <w:left w:val="single" w:sz="4" w:color="D9D9D9"/>
              <w:bottom w:val="single" w:sz="4" w:color="D9D9D9"/>
              <w:right w:val="single" w:sz="4" w:color="D9D9D9"/>
            </w:tcBorders>
            <w:shd w:fill="F5F7F9"/>
          </w:tcPr>
          <w:p>
            <w:pPr>
              <w:spacing w:after="120" w:before="120"/>
            </w:pPr>
            <w:r>
              <w:rPr>
                <w:b w:val="0"/>
                <w:sz w:val="20"/>
              </w:rPr>
              <w:t>NovaMind</w:t>
            </w:r>
          </w:p>
        </w:tc>
        <w:tc>
          <w:tcPr>
            <w:tcW w:type="dxa" w:w="3312"/>
            <w:tcBorders>
              <w:top w:val="single" w:sz="4" w:color="D9D9D9"/>
              <w:left w:val="single" w:sz="4" w:color="D9D9D9"/>
              <w:bottom w:val="single" w:sz="4" w:color="D9D9D9"/>
              <w:right w:val="single" w:sz="4" w:color="D9D9D9"/>
            </w:tcBorders>
            <w:shd w:fill="F5F7F9"/>
          </w:tcPr>
          <w:p>
            <w:pPr>
              <w:spacing w:after="120" w:before="120"/>
            </w:pPr>
            <w:r>
              <w:rPr>
                <w:b w:val="0"/>
                <w:sz w:val="20"/>
              </w:rPr>
              <w:t>Writing, presentations</w:t>
            </w:r>
          </w:p>
        </w:tc>
        <w:tc>
          <w:tcPr>
            <w:tcW w:type="dxa" w:w="3312"/>
            <w:tcBorders>
              <w:top w:val="single" w:sz="4" w:color="D9D9D9"/>
              <w:left w:val="single" w:sz="4" w:color="D9D9D9"/>
              <w:bottom w:val="single" w:sz="4" w:color="D9D9D9"/>
              <w:right w:val="single" w:sz="4" w:color="D9D9D9"/>
            </w:tcBorders>
            <w:shd w:fill="F5F7F9"/>
          </w:tcPr>
          <w:p>
            <w:pPr>
              <w:spacing w:after="120" w:before="120"/>
            </w:pPr>
            <w:r>
              <w:rPr>
                <w:b w:val="0"/>
                <w:sz w:val="20"/>
              </w:rPr>
              <w:t>Geometry</w:t>
            </w:r>
          </w:p>
        </w:tc>
      </w:tr>
      <w:tr>
        <w:tc>
          <w:tcPr>
            <w:tcW w:type="dxa" w:w="3312"/>
            <w:tcBorders>
              <w:top w:val="single" w:sz="4" w:color="D9D9D9"/>
              <w:left w:val="single" w:sz="4" w:color="D9D9D9"/>
              <w:bottom w:val="single" w:sz="4" w:color="D9D9D9"/>
              <w:right w:val="single" w:sz="4" w:color="D9D9D9"/>
            </w:tcBorders>
            <w:shd w:fill="FFFFFF"/>
          </w:tcPr>
          <w:p>
            <w:pPr>
              <w:spacing w:after="120" w:before="120"/>
            </w:pPr>
            <w:r>
              <w:rPr>
                <w:b w:val="0"/>
                <w:sz w:val="20"/>
              </w:rPr>
              <w:t>ShieldX</w:t>
            </w:r>
          </w:p>
        </w:tc>
        <w:tc>
          <w:tcPr>
            <w:tcW w:type="dxa" w:w="3312"/>
            <w:tcBorders>
              <w:top w:val="single" w:sz="4" w:color="D9D9D9"/>
              <w:left w:val="single" w:sz="4" w:color="D9D9D9"/>
              <w:bottom w:val="single" w:sz="4" w:color="D9D9D9"/>
              <w:right w:val="single" w:sz="4" w:color="D9D9D9"/>
            </w:tcBorders>
            <w:shd w:fill="FFFFFF"/>
          </w:tcPr>
          <w:p>
            <w:pPr>
              <w:spacing w:after="120" w:before="120"/>
            </w:pPr>
            <w:r>
              <w:rPr>
                <w:b w:val="0"/>
                <w:sz w:val="20"/>
              </w:rPr>
              <w:t>Sports, school clubs</w:t>
            </w:r>
          </w:p>
        </w:tc>
        <w:tc>
          <w:tcPr>
            <w:tcW w:type="dxa" w:w="3312"/>
            <w:tcBorders>
              <w:top w:val="single" w:sz="4" w:color="D9D9D9"/>
              <w:left w:val="single" w:sz="4" w:color="D9D9D9"/>
              <w:bottom w:val="single" w:sz="4" w:color="D9D9D9"/>
              <w:right w:val="single" w:sz="4" w:color="D9D9D9"/>
            </w:tcBorders>
            <w:shd w:fill="FFFFFF"/>
          </w:tcPr>
          <w:p>
            <w:pPr>
              <w:spacing w:after="120" w:before="120"/>
            </w:pPr>
            <w:r>
              <w:rPr>
                <w:b w:val="0"/>
                <w:sz w:val="20"/>
              </w:rPr>
              <w:t>Science</w:t>
            </w:r>
          </w:p>
        </w:tc>
      </w:tr>
      <w:tr>
        <w:tc>
          <w:tcPr>
            <w:tcW w:type="dxa" w:w="3312"/>
            <w:tcBorders>
              <w:top w:val="single" w:sz="4" w:color="D9D9D9"/>
              <w:left w:val="single" w:sz="4" w:color="D9D9D9"/>
              <w:bottom w:val="single" w:sz="4" w:color="D9D9D9"/>
              <w:right w:val="single" w:sz="4" w:color="D9D9D9"/>
            </w:tcBorders>
            <w:shd w:fill="F5F7F9"/>
          </w:tcPr>
          <w:p>
            <w:pPr>
              <w:spacing w:after="120" w:before="120"/>
            </w:pPr>
            <w:r>
              <w:rPr>
                <w:b w:val="0"/>
                <w:sz w:val="20"/>
              </w:rPr>
              <w:t>FlashForge</w:t>
            </w:r>
          </w:p>
        </w:tc>
        <w:tc>
          <w:tcPr>
            <w:tcW w:type="dxa" w:w="3312"/>
            <w:tcBorders>
              <w:top w:val="single" w:sz="4" w:color="D9D9D9"/>
              <w:left w:val="single" w:sz="4" w:color="D9D9D9"/>
              <w:bottom w:val="single" w:sz="4" w:color="D9D9D9"/>
              <w:right w:val="single" w:sz="4" w:color="D9D9D9"/>
            </w:tcBorders>
            <w:shd w:fill="F5F7F9"/>
          </w:tcPr>
          <w:p>
            <w:pPr>
              <w:spacing w:after="120" w:before="120"/>
            </w:pPr>
            <w:r>
              <w:rPr>
                <w:b w:val="0"/>
                <w:sz w:val="20"/>
              </w:rPr>
              <w:t>Physics, mathematics</w:t>
            </w:r>
          </w:p>
        </w:tc>
        <w:tc>
          <w:tcPr>
            <w:tcW w:type="dxa" w:w="3312"/>
            <w:tcBorders>
              <w:top w:val="single" w:sz="4" w:color="D9D9D9"/>
              <w:left w:val="single" w:sz="4" w:color="D9D9D9"/>
              <w:bottom w:val="single" w:sz="4" w:color="D9D9D9"/>
              <w:right w:val="single" w:sz="4" w:color="D9D9D9"/>
            </w:tcBorders>
            <w:shd w:fill="F5F7F9"/>
          </w:tcPr>
          <w:p>
            <w:pPr>
              <w:spacing w:after="120" w:before="120"/>
            </w:pPr>
            <w:r>
              <w:rPr>
                <w:b w:val="0"/>
                <w:sz w:val="20"/>
              </w:rPr>
              <w:t>Essay writing</w:t>
            </w:r>
          </w:p>
        </w:tc>
      </w:tr>
    </w:tbl>
    <w:p>
      <w:pPr>
        <w:pStyle w:val="Heading2"/>
      </w:pPr>
      <w:r>
        <w:t>Example 1 Academic support</w:t>
      </w:r>
    </w:p>
    <w:p>
      <w:r>
        <w:t>Request: “I cannot solve equations with letters, and I am embarrassed to ask in class.” The analyzer identifies introductory algebra. After eligibility and availability checks, QuantumSpark appears as a suggested mentor with an explanation such as “Algebra expertise and a shared Tuesday slot.” A curated Khan Academy algebra page appears alongside the match. The explanation must reflect actual stored data.</w:t>
      </w:r>
    </w:p>
    <w:p>
      <w:pPr>
        <w:pStyle w:val="Heading2"/>
      </w:pPr>
      <w:r>
        <w:t>Example 2 Finding belonging</w:t>
      </w:r>
    </w:p>
    <w:p>
      <w:r>
        <w:t>Request: “I am new to Sutter Middle School and do not know anyone.” The app routes this to school-transition support, suggests a compatible peer guide if one is available, and presents verified school activity information when present in the directory. Never invent a club or ambassador program. If none is verified, suggest asking a trusted school adult about welcome activities.</w:t>
      </w:r>
    </w:p>
    <w:p>
      <w:pPr>
        <w:pStyle w:val="Heading2"/>
      </w:pPr>
      <w:r>
        <w:t>Example 3 Giving and receiving</w:t>
      </w:r>
    </w:p>
    <w:p>
      <w:r>
        <w:t>QuantumSpark requests presentation help and matches with NovaMind, while remaining available to help another student with Python. Each match is independent: students do not need to repay help. The dashboard shows both contributions and open requests without exposing real identities.</w:t>
      </w:r>
    </w:p>
    <w:p>
      <w:pPr>
        <w:pStyle w:val="Heading1"/>
      </w:pPr>
      <w:r>
        <w:t>Sensitive request behavior</w:t>
      </w:r>
    </w:p>
    <w:p>
      <w:r>
        <w:t>A bullying or personal-safety request bypasses peer matching and public posting. Show a private support screen encouraging contact with a trusted adult, with approved support resources when configured. A review flag is only a simulated workflow in the demo; clearly state that no live staff member is monitoring it. Automated classification must not be described as a guarantee of safety.</w:t>
      </w:r>
    </w:p>
    <w:p>
      <w:r>
        <w:br w:type="page"/>
      </w:r>
    </w:p>
    <w:p>
      <w:pPr>
        <w:pStyle w:val="Heading1"/>
      </w:pPr>
      <w:r>
        <w:t>Coding directions for Codex</w:t>
      </w:r>
    </w:p>
    <w:p>
      <w:r>
        <w:t>Create a React and TypeScript frontend with Vite, a Python FastAPI backend, and SQLite for the local prototype. Use sentence-transformers for semantic matching. Keep model loading on the backend and keep API keys out of frontend code. Pin tested dependencies during implementation and document local setup commands.</w:t>
      </w:r>
    </w:p>
    <w:tbl>
      <w:tblPr>
        <w:tblW w:type="auto" w:w="0"/>
        <w:tblLayout w:type="fixed"/>
        <w:tblLook w:firstColumn="1" w:firstRow="1" w:lastColumn="0" w:lastRow="0" w:noHBand="0" w:noVBand="1" w:val="04A0"/>
      </w:tblPr>
      <w:tblGrid>
        <w:gridCol w:w="4968"/>
        <w:gridCol w:w="4968"/>
      </w:tblGrid>
      <w:tr>
        <w:tc>
          <w:tcPr>
            <w:tcW w:type="dxa" w:w="4968"/>
            <w:tcBorders>
              <w:top w:val="single" w:sz="4" w:color="D9D9D9"/>
              <w:left w:val="single" w:sz="4" w:color="D9D9D9"/>
              <w:bottom w:val="single" w:sz="4" w:color="D9D9D9"/>
              <w:right w:val="single" w:sz="4" w:color="D9D9D9"/>
            </w:tcBorders>
            <w:shd w:fill="E8EDF3"/>
          </w:tcPr>
          <w:p>
            <w:pPr>
              <w:spacing w:after="120" w:before="120"/>
            </w:pPr>
            <w:r>
              <w:rPr>
                <w:b/>
                <w:sz w:val="20"/>
              </w:rPr>
              <w:t>Module</w:t>
            </w:r>
          </w:p>
        </w:tc>
        <w:tc>
          <w:tcPr>
            <w:tcW w:type="dxa" w:w="4968"/>
            <w:tcBorders>
              <w:top w:val="single" w:sz="4" w:color="D9D9D9"/>
              <w:left w:val="single" w:sz="4" w:color="D9D9D9"/>
              <w:bottom w:val="single" w:sz="4" w:color="D9D9D9"/>
              <w:right w:val="single" w:sz="4" w:color="D9D9D9"/>
            </w:tcBorders>
            <w:shd w:fill="E8EDF3"/>
          </w:tcPr>
          <w:p>
            <w:pPr>
              <w:spacing w:after="120" w:before="120"/>
            </w:pPr>
            <w:r>
              <w:rPr>
                <w:b/>
                <w:sz w:val="20"/>
              </w:rPr>
              <w:t>Implementation responsibility</w:t>
            </w:r>
          </w:p>
        </w:tc>
      </w:tr>
      <w:tr>
        <w:tc>
          <w:tcPr>
            <w:tcW w:type="dxa" w:w="4968"/>
            <w:tcBorders>
              <w:top w:val="single" w:sz="4" w:color="D9D9D9"/>
              <w:left w:val="single" w:sz="4" w:color="D9D9D9"/>
              <w:bottom w:val="single" w:sz="4" w:color="D9D9D9"/>
              <w:right w:val="single" w:sz="4" w:color="D9D9D9"/>
            </w:tcBorders>
            <w:shd w:fill="FFFFFF"/>
          </w:tcPr>
          <w:p>
            <w:pPr>
              <w:spacing w:after="120" w:before="120"/>
            </w:pPr>
            <w:r>
              <w:rPr>
                <w:b w:val="0"/>
                <w:sz w:val="20"/>
              </w:rPr>
              <w:t>Hero Profile Engine</w:t>
            </w:r>
          </w:p>
        </w:tc>
        <w:tc>
          <w:tcPr>
            <w:tcW w:type="dxa" w:w="4968"/>
            <w:tcBorders>
              <w:top w:val="single" w:sz="4" w:color="D9D9D9"/>
              <w:left w:val="single" w:sz="4" w:color="D9D9D9"/>
              <w:bottom w:val="single" w:sz="4" w:color="D9D9D9"/>
              <w:right w:val="single" w:sz="4" w:color="D9D9D9"/>
            </w:tcBorders>
            <w:shd w:fill="FFFFFF"/>
          </w:tcPr>
          <w:p>
            <w:pPr>
              <w:spacing w:after="120" w:before="120"/>
            </w:pPr>
            <w:r>
              <w:rPr>
                <w:b w:val="0"/>
                <w:sz w:val="20"/>
              </w:rPr>
              <w:t>Alias, original avatar, grade band, strengths, needs, available slots, mentor capacity.</w:t>
            </w:r>
          </w:p>
        </w:tc>
      </w:tr>
      <w:tr>
        <w:tc>
          <w:tcPr>
            <w:tcW w:type="dxa" w:w="4968"/>
            <w:tcBorders>
              <w:top w:val="single" w:sz="4" w:color="D9D9D9"/>
              <w:left w:val="single" w:sz="4" w:color="D9D9D9"/>
              <w:bottom w:val="single" w:sz="4" w:color="D9D9D9"/>
              <w:right w:val="single" w:sz="4" w:color="D9D9D9"/>
            </w:tcBorders>
            <w:shd w:fill="F5F7F9"/>
          </w:tcPr>
          <w:p>
            <w:pPr>
              <w:spacing w:after="120" w:before="120"/>
            </w:pPr>
            <w:r>
              <w:rPr>
                <w:b w:val="0"/>
                <w:sz w:val="20"/>
              </w:rPr>
              <w:t>Mission Board</w:t>
            </w:r>
          </w:p>
        </w:tc>
        <w:tc>
          <w:tcPr>
            <w:tcW w:type="dxa" w:w="4968"/>
            <w:tcBorders>
              <w:top w:val="single" w:sz="4" w:color="D9D9D9"/>
              <w:left w:val="single" w:sz="4" w:color="D9D9D9"/>
              <w:bottom w:val="single" w:sz="4" w:color="D9D9D9"/>
              <w:right w:val="single" w:sz="4" w:color="D9D9D9"/>
            </w:tcBorders>
            <w:shd w:fill="F5F7F9"/>
          </w:tcPr>
          <w:p>
            <w:pPr>
              <w:spacing w:after="120" w:before="120"/>
            </w:pPr>
            <w:r>
              <w:rPr>
                <w:b w:val="0"/>
                <w:sz w:val="20"/>
              </w:rPr>
              <w:t>Create requests; list eligible open missions; update status and prevent duplicates.</w:t>
            </w:r>
          </w:p>
        </w:tc>
      </w:tr>
      <w:tr>
        <w:tc>
          <w:tcPr>
            <w:tcW w:type="dxa" w:w="4968"/>
            <w:tcBorders>
              <w:top w:val="single" w:sz="4" w:color="D9D9D9"/>
              <w:left w:val="single" w:sz="4" w:color="D9D9D9"/>
              <w:bottom w:val="single" w:sz="4" w:color="D9D9D9"/>
              <w:right w:val="single" w:sz="4" w:color="D9D9D9"/>
            </w:tcBorders>
            <w:shd w:fill="FFFFFF"/>
          </w:tcPr>
          <w:p>
            <w:pPr>
              <w:spacing w:after="120" w:before="120"/>
            </w:pPr>
            <w:r>
              <w:rPr>
                <w:b w:val="0"/>
                <w:sz w:val="20"/>
              </w:rPr>
              <w:t>Mission Analyzer</w:t>
            </w:r>
          </w:p>
        </w:tc>
        <w:tc>
          <w:tcPr>
            <w:tcW w:type="dxa" w:w="4968"/>
            <w:tcBorders>
              <w:top w:val="single" w:sz="4" w:color="D9D9D9"/>
              <w:left w:val="single" w:sz="4" w:color="D9D9D9"/>
              <w:bottom w:val="single" w:sz="4" w:color="D9D9D9"/>
              <w:right w:val="single" w:sz="4" w:color="D9D9D9"/>
            </w:tcBorders>
            <w:shd w:fill="FFFFFF"/>
          </w:tcPr>
          <w:p>
            <w:pPr>
              <w:spacing w:after="120" w:before="120"/>
            </w:pPr>
            <w:r>
              <w:rPr>
                <w:b w:val="0"/>
                <w:sz w:val="20"/>
              </w:rPr>
              <w:t>Return topic, routing category, and uncertainty; separate rules from semantic analysis.</w:t>
            </w:r>
          </w:p>
        </w:tc>
      </w:tr>
      <w:tr>
        <w:tc>
          <w:tcPr>
            <w:tcW w:type="dxa" w:w="4968"/>
            <w:tcBorders>
              <w:top w:val="single" w:sz="4" w:color="D9D9D9"/>
              <w:left w:val="single" w:sz="4" w:color="D9D9D9"/>
              <w:bottom w:val="single" w:sz="4" w:color="D9D9D9"/>
              <w:right w:val="single" w:sz="4" w:color="D9D9D9"/>
            </w:tcBorders>
            <w:shd w:fill="F5F7F9"/>
          </w:tcPr>
          <w:p>
            <w:pPr>
              <w:spacing w:after="120" w:before="120"/>
            </w:pPr>
            <w:r>
              <w:rPr>
                <w:b w:val="0"/>
                <w:sz w:val="20"/>
              </w:rPr>
              <w:t>Hero Match Engine</w:t>
            </w:r>
          </w:p>
        </w:tc>
        <w:tc>
          <w:tcPr>
            <w:tcW w:type="dxa" w:w="4968"/>
            <w:tcBorders>
              <w:top w:val="single" w:sz="4" w:color="D9D9D9"/>
              <w:left w:val="single" w:sz="4" w:color="D9D9D9"/>
              <w:bottom w:val="single" w:sz="4" w:color="D9D9D9"/>
              <w:right w:val="single" w:sz="4" w:color="D9D9D9"/>
            </w:tcBorders>
            <w:shd w:fill="F5F7F9"/>
          </w:tcPr>
          <w:p>
            <w:pPr>
              <w:spacing w:after="120" w:before="120"/>
            </w:pPr>
            <w:r>
              <w:rPr>
                <w:b w:val="0"/>
                <w:sz w:val="20"/>
              </w:rPr>
              <w:t>Apply hard constraints, score eligible mentors, explain and assign matches.</w:t>
            </w:r>
          </w:p>
        </w:tc>
      </w:tr>
      <w:tr>
        <w:tc>
          <w:tcPr>
            <w:tcW w:type="dxa" w:w="4968"/>
            <w:tcBorders>
              <w:top w:val="single" w:sz="4" w:color="D9D9D9"/>
              <w:left w:val="single" w:sz="4" w:color="D9D9D9"/>
              <w:bottom w:val="single" w:sz="4" w:color="D9D9D9"/>
              <w:right w:val="single" w:sz="4" w:color="D9D9D9"/>
            </w:tcBorders>
            <w:shd w:fill="FFFFFF"/>
          </w:tcPr>
          <w:p>
            <w:pPr>
              <w:spacing w:after="120" w:before="120"/>
            </w:pPr>
            <w:r>
              <w:rPr>
                <w:b w:val="0"/>
                <w:sz w:val="20"/>
              </w:rPr>
              <w:t>Resource Vault</w:t>
            </w:r>
          </w:p>
        </w:tc>
        <w:tc>
          <w:tcPr>
            <w:tcW w:type="dxa" w:w="4968"/>
            <w:tcBorders>
              <w:top w:val="single" w:sz="4" w:color="D9D9D9"/>
              <w:left w:val="single" w:sz="4" w:color="D9D9D9"/>
              <w:bottom w:val="single" w:sz="4" w:color="D9D9D9"/>
              <w:right w:val="single" w:sz="4" w:color="D9D9D9"/>
            </w:tcBorders>
            <w:shd w:fill="FFFFFF"/>
          </w:tcPr>
          <w:p>
            <w:pPr>
              <w:spacing w:after="120" w:before="120"/>
            </w:pPr>
            <w:r>
              <w:rPr>
                <w:b w:val="0"/>
                <w:sz w:val="20"/>
              </w:rPr>
              <w:t>Retrieve from an allowlisted directory; store URL, topic, free access notes, and verification date.</w:t>
            </w:r>
          </w:p>
        </w:tc>
      </w:tr>
      <w:tr>
        <w:tc>
          <w:tcPr>
            <w:tcW w:type="dxa" w:w="4968"/>
            <w:tcBorders>
              <w:top w:val="single" w:sz="4" w:color="D9D9D9"/>
              <w:left w:val="single" w:sz="4" w:color="D9D9D9"/>
              <w:bottom w:val="single" w:sz="4" w:color="D9D9D9"/>
              <w:right w:val="single" w:sz="4" w:color="D9D9D9"/>
            </w:tcBorders>
            <w:shd w:fill="F5F7F9"/>
          </w:tcPr>
          <w:p>
            <w:pPr>
              <w:spacing w:after="120" w:before="120"/>
            </w:pPr>
            <w:r>
              <w:rPr>
                <w:b w:val="0"/>
                <w:sz w:val="20"/>
              </w:rPr>
              <w:t>Safety Shield</w:t>
            </w:r>
          </w:p>
        </w:tc>
        <w:tc>
          <w:tcPr>
            <w:tcW w:type="dxa" w:w="4968"/>
            <w:tcBorders>
              <w:top w:val="single" w:sz="4" w:color="D9D9D9"/>
              <w:left w:val="single" w:sz="4" w:color="D9D9D9"/>
              <w:bottom w:val="single" w:sz="4" w:color="D9D9D9"/>
              <w:right w:val="single" w:sz="4" w:color="D9D9D9"/>
            </w:tcBorders>
            <w:shd w:fill="F5F7F9"/>
          </w:tcPr>
          <w:p>
            <w:pPr>
              <w:spacing w:after="120" w:before="120"/>
            </w:pPr>
            <w:r>
              <w:rPr>
                <w:b w:val="0"/>
                <w:sz w:val="20"/>
              </w:rPr>
              <w:t>Keep sensitive posts private; support report and block controls and a clearly labeled demo review queue.</w:t>
            </w:r>
          </w:p>
        </w:tc>
      </w:tr>
    </w:tbl>
    <w:p>
      <w:pPr>
        <w:pStyle w:val="Heading2"/>
      </w:pPr>
      <w:r>
        <w:t>Data model</w:t>
      </w:r>
    </w:p>
    <w:p>
      <w:r>
        <w:t>Profile: id, alias, avatar_id, grade_band, strengths, needs, available_slots, capacity. Mission: id, requester_id, text, topic, route, status, created_at. Match: id, mission_id, mentor_id, component_scores, explanation, status. Resource: id, title, url, topics, access_notes, verified_at. Report: id, target_id, reason, review_status. Keep any future verified identity mapping separate from public profile data.</w:t>
      </w:r>
    </w:p>
    <w:p>
      <w:pPr>
        <w:pStyle w:val="Heading2"/>
      </w:pPr>
      <w:r>
        <w:t>API contract</w:t>
      </w:r>
    </w:p>
    <w:p>
      <w:r>
        <w:t>POST /profiles creates a profile. POST /missions validates and routes a request. GET /missions lists only publishable requests. POST /missions/{id}/recommendations returns route, mentor suggestions, score components, and curated resources. POST /matches accepts an eligible match transactionally. POST /reports records a report. GET /metrics returns demo evaluation results. Validate all inputs and return structured errors.</w:t>
      </w:r>
    </w:p>
    <w:p>
      <w:pPr>
        <w:pStyle w:val="Heading2"/>
      </w:pPr>
      <w:r>
        <w:t>Frontend screens</w:t>
      </w:r>
    </w:p>
    <w:p>
      <w:r>
        <w:t>Build a dashboard, hero profile editor, mission composer, mission board, match explanation panel, Resource Vault, and demo review view. Show loading, error, empty, and no-eligible-mentor states. Persist demo changes locally through the API; provide a reset-demo control. Label public-looking activity and metrics as synthetic.</w:t>
      </w:r>
    </w:p>
    <w:p>
      <w:r>
        <w:br w:type="page"/>
      </w:r>
    </w:p>
    <w:p>
      <w:pPr>
        <w:pStyle w:val="Heading1"/>
      </w:pPr>
      <w:r>
        <w:t>Matching logic and validation</w:t>
      </w:r>
    </w:p>
    <w:p>
      <w:r>
        <w:t>First route sensitive requests away from peer matching. For eligible missions, exclude the requester, blocked pairings, incompatible grade bands, unavailable mentors, and mentors with no remaining capacity. Safety and eligibility are hard constraints, not score bonuses.</w:t>
      </w:r>
    </w:p>
    <w:p>
      <w:r>
        <w:t>For eligible pairs, begin with H = 0.40S + 0.25A + 0.20C + 0.15F. Normalize each component to 0–1: S is semantic topic similarity, A is overlap in available slots, C is compatibility of declared support preferences, and F is remaining mentor capacity as a fraction of total capacity. Treat these weights as a tunable starting point, not validated evidence. If no mentor clears a threshold calibrated on labeled examples, offer resources and an honest no-match state.</w:t>
      </w:r>
    </w:p>
    <w:p>
      <w:r>
        <w:t>For batch assignment, use a bipartite graph or min-cost flow with mentor capacities. Prioritize the number of eligible requests served, then waiting time and total match quality. Never force a poor match simply to fill a slot. Recheck constraints when accepting a match. Keep recommendation scores distinct from confirmed assignments.</w:t>
      </w:r>
    </w:p>
    <w:p>
      <w:pPr>
        <w:pStyle w:val="Heading2"/>
      </w:pPr>
      <w:r>
        <w:t>Evaluation and acceptance criteria</w:t>
      </w:r>
    </w:p>
    <w:p>
      <w:pPr>
        <w:pStyle w:val="ListBullet"/>
      </w:pPr>
      <w:r>
        <w:t>Seed at least 12 fictional profiles, 20–30 labeled requests, and a curated resource directory. Include ambiguous, unmatched, overloaded, and sensitive examples.</w:t>
      </w:r>
    </w:p>
    <w:p>
      <w:pPr>
        <w:pStyle w:val="ListBullet"/>
      </w:pPr>
      <w:r>
        <w:t>Compare semantic recommendations with keyword matching using the same eligibility rules. Report top-three relevance and coverage; publish actual measured results only.</w:t>
      </w:r>
    </w:p>
    <w:p>
      <w:pPr>
        <w:pStyle w:val="ListBullet"/>
      </w:pPr>
      <w:r>
        <w:t>Compare batch assignment against a greedy baseline using assignment coverage, wait time in a simulation, and workload distribution. Do not equate synthetic results with real student impact.</w:t>
      </w:r>
    </w:p>
    <w:p>
      <w:pPr>
        <w:pStyle w:val="ListBullet"/>
      </w:pPr>
      <w:r>
        <w:t>Verify sensitive test cases never enter the public board or peer queue; include a clear no-live-monitoring notice.</w:t>
      </w:r>
    </w:p>
    <w:p>
      <w:pPr>
        <w:pStyle w:val="ListBullet"/>
      </w:pPr>
      <w:r>
        <w:t>Demonstrate profile creation, mission submission, explained matches, resource retrieval, match acceptance, and capacity enforcement end to end.</w:t>
      </w:r>
    </w:p>
    <w:p>
      <w:pPr>
        <w:pStyle w:val="ListBullet"/>
      </w:pPr>
      <w:r>
        <w:t>Provide a README with setup, model download requirements, seed/reset commands, tests, and limitations. If AI is unavailable, label fallback behavior clearly rather than presenting rules as live AI.</w:t>
      </w:r>
    </w:p>
    <w:p>
      <w:pPr>
        <w:pStyle w:val="Heading2"/>
      </w:pPr>
      <w:r>
        <w:t>Suggested build sequence</w:t>
      </w:r>
    </w:p>
    <w:p>
      <w:r>
        <w:t>1. Scaffold the app and seed data. 2. Build profile and mission flows. 3. Add backend persistence and routing. 4. Implement embeddings and eligibility filters. 5. Add scoring, resource retrieval, and explanations. 6. Add capacity-aware assignment and reporting. 7. Run evaluation and polish accessibility. 8. Record a demo showing the three example journeys and measured results.</w:t>
      </w:r>
    </w:p>
    <w:p>
      <w:r>
        <w:t>Submission note: This is a development brief, not a confirmation of current competition rules or deadlines. Check the official 2026 submission requirements and disclose development assistance as required.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PeerBridge  |  Codex implementation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