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Wellness Visit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Services are being rendered at: </w:t>
      </w:r>
      <w:r>
        <w:rPr>
          <w:rFonts w:ascii="Arial" w:cs="Arial" w:eastAsia="Arial" w:hAnsi="Arial"/>
          <w:sz w:val="19"/>
          <w:szCs w:val="19"/>
        </w:rPr>
        <w:t xml:space="preserve">LAKEVIEW SENIOR CARE CLINIC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Plan: </w:t>
      </w:r>
      <w:r>
        <w:rPr>
          <w:rFonts w:ascii="Arial" w:cs="Arial" w:eastAsia="Arial" w:hAnsi="Arial"/>
          <w:sz w:val="19"/>
          <w:szCs w:val="19"/>
        </w:rPr>
        <w:t xml:space="preserve">Medicare Advantage Dual Eligible Special Needs Plan (D-SNP)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Accompanied by: </w:t>
      </w:r>
      <w:r>
        <w:rPr>
          <w:rFonts w:ascii="Arial" w:cs="Arial" w:eastAsia="Arial" w:hAnsi="Arial"/>
          <w:sz w:val="19"/>
          <w:szCs w:val="19"/>
        </w:rPr>
        <w:t xml:space="preserve">Daughter (caregiver)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Overall Patient Status: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Patient: </w:t>
      </w:r>
      <w:r>
        <w:rPr>
          <w:rFonts w:ascii="Arial" w:cs="Arial" w:eastAsia="Arial" w:hAnsi="Arial"/>
          <w:sz w:val="19"/>
          <w:szCs w:val="19"/>
        </w:rPr>
        <w:t xml:space="preserve">Stable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Meds, Labs, and Data Trends: </w:t>
      </w:r>
      <w:r>
        <w:rPr>
          <w:rFonts w:ascii="Arial" w:cs="Arial" w:eastAsia="Arial" w:hAnsi="Arial"/>
          <w:sz w:val="19"/>
          <w:szCs w:val="19"/>
        </w:rPr>
        <w:t xml:space="preserve">Reviewed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75 year old female seen for annual wellness visit and care plan review. Lives with daughter. Reports chronic bilateral knee pain, otherwise feels well.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Vitals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BP: </w:t>
      </w:r>
      <w:r>
        <w:rPr>
          <w:rFonts w:ascii="Arial" w:cs="Arial" w:eastAsia="Arial" w:hAnsi="Arial"/>
          <w:sz w:val="19"/>
          <w:szCs w:val="19"/>
        </w:rPr>
        <w:t xml:space="preserve">132/78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Pulse: </w:t>
      </w:r>
      <w:r>
        <w:rPr>
          <w:rFonts w:ascii="Arial" w:cs="Arial" w:eastAsia="Arial" w:hAnsi="Arial"/>
          <w:sz w:val="19"/>
          <w:szCs w:val="19"/>
        </w:rPr>
        <w:t xml:space="preserve">70 bpm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Temp: </w:t>
      </w:r>
      <w:r>
        <w:rPr>
          <w:rFonts w:ascii="Arial" w:cs="Arial" w:eastAsia="Arial" w:hAnsi="Arial"/>
          <w:sz w:val="19"/>
          <w:szCs w:val="19"/>
        </w:rPr>
        <w:t xml:space="preserve">97.9 F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SpO2: </w:t>
      </w:r>
      <w:r>
        <w:rPr>
          <w:rFonts w:ascii="Arial" w:cs="Arial" w:eastAsia="Arial" w:hAnsi="Arial"/>
          <w:sz w:val="19"/>
          <w:szCs w:val="19"/>
        </w:rPr>
        <w:t xml:space="preserve">97%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Ht: </w:t>
      </w:r>
      <w:r>
        <w:rPr>
          <w:rFonts w:ascii="Arial" w:cs="Arial" w:eastAsia="Arial" w:hAnsi="Arial"/>
          <w:sz w:val="19"/>
          <w:szCs w:val="19"/>
        </w:rPr>
        <w:t xml:space="preserve">5'3"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Wt: </w:t>
      </w:r>
      <w:r>
        <w:rPr>
          <w:rFonts w:ascii="Arial" w:cs="Arial" w:eastAsia="Arial" w:hAnsi="Arial"/>
          <w:sz w:val="19"/>
          <w:szCs w:val="19"/>
        </w:rPr>
        <w:t xml:space="preserve">142.6 lbs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BMI: </w:t>
      </w:r>
      <w:r>
        <w:rPr>
          <w:rFonts w:ascii="Arial" w:cs="Arial" w:eastAsia="Arial" w:hAnsi="Arial"/>
          <w:sz w:val="19"/>
          <w:szCs w:val="19"/>
        </w:rPr>
        <w:t xml:space="preserve">25.3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Medication Review -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70"/>
        <w:gridCol w:w="1770"/>
        <w:gridCol w:w="1770"/>
        <w:gridCol w:w="177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Medication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Frequency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Indication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Metoprolol succinate ER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 mg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daily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Hypertension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Continue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Losartan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 mg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daily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Hypertension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Continue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Levothyroxine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 mcg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daily, AM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Hypothyroidism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Continue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Acetaminophen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650 mg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Every 8 hrs as needed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Knee osteoarthritis pain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Continue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Calcium carbonate + Vitamin D3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600 mg / 800 IU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Twice daily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Osteopenia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Continue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Ibuprofen (OTC)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 mg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 needed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Knee pain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DISCONTINUED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Medication Review Completed: </w:t>
      </w:r>
      <w:r>
        <w:rPr>
          <w:rFonts w:ascii="Arial" w:cs="Arial" w:eastAsia="Arial" w:hAnsi="Arial"/>
          <w:sz w:val="19"/>
          <w:szCs w:val="19"/>
        </w:rPr>
        <w:t xml:space="preserve">Yes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Reviewed by: </w:t>
      </w:r>
      <w:r>
        <w:rPr>
          <w:rFonts w:ascii="Arial" w:cs="Arial" w:eastAsia="Arial" w:hAnsi="Arial"/>
          <w:sz w:val="19"/>
          <w:szCs w:val="19"/>
        </w:rPr>
        <w:t xml:space="preserve">MARCUS OKAFOR, MD (prescribing practitioner)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Date of Review: </w:t>
      </w:r>
      <w:r>
        <w:rPr>
          <w:rFonts w:ascii="Arial" w:cs="Arial" w:eastAsia="Arial" w:hAnsi="Arial"/>
          <w:sz w:val="19"/>
          <w:szCs w:val="19"/>
        </w:rPr>
        <w:t xml:space="preserve">06/12/2024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Complete medication list including OTC and supplements reviewed with patient and daughter. OTC ibuprofen discontinued given age, hypertension and renal risk; acetaminophen continued for pain. No duplications or significant interactions identified.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Status Assessment - 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Activities of Daily Living (Katz Index):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ADL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Bathing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Shower chair in use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Dressing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Toileting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Transferring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Slow; uses armrests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Continence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Feeding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Katz ADL Score: </w:t>
      </w:r>
      <w:r>
        <w:rPr>
          <w:rFonts w:ascii="Arial" w:cs="Arial" w:eastAsia="Arial" w:hAnsi="Arial"/>
          <w:sz w:val="19"/>
          <w:szCs w:val="19"/>
        </w:rPr>
        <w:t xml:space="preserve">6/6 - Full function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Instrumental Activities of Daily Living (Lawton IADL):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IADL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Using telephone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Shopping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Needs assistance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Daughter drives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Food preparation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Housekeeping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Needs assistance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Heavy chores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Laundry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Transportation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Needs assistance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Does not drive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Managing medications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Weekly pill organizer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Managing finances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Lawton IADL Score: </w:t>
      </w:r>
      <w:r>
        <w:rPr>
          <w:rFonts w:ascii="Arial" w:cs="Arial" w:eastAsia="Arial" w:hAnsi="Arial"/>
          <w:sz w:val="19"/>
          <w:szCs w:val="19"/>
        </w:rPr>
        <w:t xml:space="preserve">5/8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Gait / Mobility: </w:t>
      </w:r>
      <w:r>
        <w:rPr>
          <w:rFonts w:ascii="Arial" w:cs="Arial" w:eastAsia="Arial" w:hAnsi="Arial"/>
          <w:sz w:val="19"/>
          <w:szCs w:val="19"/>
        </w:rPr>
        <w:t xml:space="preserve">Ambulates with single-point cane; Timed Up and Go 13 seconds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Falls in past 12 months: </w:t>
      </w:r>
      <w:r>
        <w:rPr>
          <w:rFonts w:ascii="Arial" w:cs="Arial" w:eastAsia="Arial" w:hAnsi="Arial"/>
          <w:sz w:val="19"/>
          <w:szCs w:val="19"/>
        </w:rPr>
        <w:t xml:space="preserve">None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Functional status assessed today using Katz ADL and Lawton IADL instruments. Independent in all ADLs; needs help with shopping, housekeeping and transportation, which daughter provides.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Pain Assessment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Pain Present: </w:t>
      </w:r>
      <w:r>
        <w:rPr>
          <w:rFonts w:ascii="Arial" w:cs="Arial" w:eastAsia="Arial" w:hAnsi="Arial"/>
          <w:sz w:val="19"/>
          <w:szCs w:val="19"/>
        </w:rPr>
        <w:t xml:space="preserve">Yes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Pain Scale Used: </w:t>
      </w:r>
      <w:r>
        <w:rPr>
          <w:rFonts w:ascii="Arial" w:cs="Arial" w:eastAsia="Arial" w:hAnsi="Arial"/>
          <w:sz w:val="19"/>
          <w:szCs w:val="19"/>
        </w:rPr>
        <w:t xml:space="preserve">Numeric Rating Scale (0-10)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Current Pain Score: </w:t>
      </w:r>
      <w:r>
        <w:rPr>
          <w:rFonts w:ascii="Arial" w:cs="Arial" w:eastAsia="Arial" w:hAnsi="Arial"/>
          <w:sz w:val="19"/>
          <w:szCs w:val="19"/>
        </w:rPr>
        <w:t xml:space="preserve">3/10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Worst in past week: </w:t>
      </w:r>
      <w:r>
        <w:rPr>
          <w:rFonts w:ascii="Arial" w:cs="Arial" w:eastAsia="Arial" w:hAnsi="Arial"/>
          <w:sz w:val="19"/>
          <w:szCs w:val="19"/>
        </w:rPr>
        <w:t xml:space="preserve">6/10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Location: </w:t>
      </w:r>
      <w:r>
        <w:rPr>
          <w:rFonts w:ascii="Arial" w:cs="Arial" w:eastAsia="Arial" w:hAnsi="Arial"/>
          <w:sz w:val="19"/>
          <w:szCs w:val="19"/>
        </w:rPr>
        <w:t xml:space="preserve">Bilateral knees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Character: </w:t>
      </w:r>
      <w:r>
        <w:rPr>
          <w:rFonts w:ascii="Arial" w:cs="Arial" w:eastAsia="Arial" w:hAnsi="Arial"/>
          <w:sz w:val="19"/>
          <w:szCs w:val="19"/>
        </w:rPr>
        <w:t xml:space="preserve">Aching, worse with stairs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Impact on function: </w:t>
      </w:r>
      <w:r>
        <w:rPr>
          <w:rFonts w:ascii="Arial" w:cs="Arial" w:eastAsia="Arial" w:hAnsi="Arial"/>
          <w:sz w:val="19"/>
          <w:szCs w:val="19"/>
        </w:rPr>
        <w:t xml:space="preserve">Mild - limits long walks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Chronic osteoarthritis knee pain, stable. Continue scheduled acetaminophen as needed, referred to physical therapy for strengthening.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Advance Care Planning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Advance directive on file: </w:t>
      </w:r>
      <w:r>
        <w:rPr>
          <w:rFonts w:ascii="Arial" w:cs="Arial" w:eastAsia="Arial" w:hAnsi="Arial"/>
          <w:sz w:val="19"/>
          <w:szCs w:val="19"/>
        </w:rPr>
        <w:t xml:space="preserve">Yes - Health care proxy (daughter) dated 03/14/2022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Discussed today: </w:t>
      </w:r>
      <w:r>
        <w:rPr>
          <w:rFonts w:ascii="Arial" w:cs="Arial" w:eastAsia="Arial" w:hAnsi="Arial"/>
          <w:sz w:val="19"/>
          <w:szCs w:val="19"/>
        </w:rPr>
        <w:t xml:space="preserve">Yes, preferences unchanged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Physical Exam - 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General Appearance: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Appearance: </w:t>
      </w:r>
      <w:r>
        <w:rPr>
          <w:rFonts w:ascii="Arial" w:cs="Arial" w:eastAsia="Arial" w:hAnsi="Arial"/>
          <w:sz w:val="19"/>
          <w:szCs w:val="19"/>
        </w:rPr>
        <w:t xml:space="preserve">Well appearing elderly female in no distress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Lungs: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Normal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Heart: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Normal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RRR, S1, S2 normal.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Extremities: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Edema Not Present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Crepitus both knees, no effusion.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List - 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Primary osteoarthritis of both knees (M17.0) : </w:t>
      </w:r>
      <w:r>
        <w:rPr>
          <w:rFonts w:ascii="Arial" w:cs="Arial" w:eastAsia="Arial" w:hAnsi="Arial"/>
          <w:sz w:val="19"/>
          <w:szCs w:val="19"/>
        </w:rPr>
        <w:t xml:space="preserve">Pain 3/10 today. Acetaminophen, PT referral; stop OTC NSAIDs.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Essential (primary) hypertension (I10) : </w:t>
      </w:r>
      <w:r>
        <w:rPr>
          <w:rFonts w:ascii="Arial" w:cs="Arial" w:eastAsia="Arial" w:hAnsi="Arial"/>
          <w:sz w:val="19"/>
          <w:szCs w:val="19"/>
        </w:rPr>
        <w:t xml:space="preserve">BP 132/78, controlled on metoprolol and losartan.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Hypothyroidism, unspecified (E03.9) : </w:t>
      </w:r>
      <w:r>
        <w:rPr>
          <w:rFonts w:ascii="Arial" w:cs="Arial" w:eastAsia="Arial" w:hAnsi="Arial"/>
          <w:sz w:val="19"/>
          <w:szCs w:val="19"/>
        </w:rPr>
        <w:t xml:space="preserve">TSH 2.1 on 05/28/2024; continue levothyroxine 75 mcg.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Osteopenia (M85.80) : </w:t>
      </w:r>
      <w:r>
        <w:rPr>
          <w:rFonts w:ascii="Arial" w:cs="Arial" w:eastAsia="Arial" w:hAnsi="Arial"/>
          <w:sz w:val="19"/>
          <w:szCs w:val="19"/>
        </w:rPr>
        <w:t xml:space="preserve">Calcium and vitamin D; DEXA due 2025.</w:t>
      </w:r>
    </w:p>
    <w:p>
      <w:pPr>
        <w:spacing w:after="40" w:before="2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Electronically Signed by: MARCUS OKAFOR, MD on 06/12/2024 03:15 PM</w:t>
      </w:r>
    </w:p>
    <w:sectPr>
      <w:headerReference w:type="default" r:id="rId7"/>
      <w:footerReference w:type="default" r:id="rId8"/>
      <w:pgSz w:w="12240" w:h="15840" w:orient="portrait"/>
      <w:pgMar w:top="1900" w:right="1080" w:bottom="1300" w:left="108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 w:space="2"/>
      </w:pBdr>
      <w:spacing w:after="0"/>
    </w:pPr>
  </w:p>
  <w:p>
    <w:pPr>
      <w:spacing w:after="0" w:before="0"/>
    </w:pPr>
    <w:r>
      <w:rPr>
        <w:rFonts w:ascii="Arial" w:cs="Arial" w:eastAsia="Arial" w:hAnsi="Arial"/>
        <w:sz w:val="17"/>
        <w:szCs w:val="17"/>
      </w:rPr>
      <w:t xml:space="preserve">Doc ID: 24098812</w:t>
    </w:r>
  </w:p>
  <w:p>
    <w:pPr>
      <w:tabs>
        <w:tab w:val="right" w:pos="10080"/>
      </w:tabs>
      <w:spacing w:after="0" w:before="0"/>
    </w:pPr>
    <w:r>
      <w:rPr>
        <w:rFonts w:ascii="Arial" w:cs="Arial" w:eastAsia="Arial" w:hAnsi="Arial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7"/>
        <w:szCs w:val="17"/>
      </w:rPr>
      <w:t xml:space="preserve">	Printed: 01/15/2025</w:t>
    </w:r>
  </w:p>
  <w:p>
    <w:pPr>
      <w:spacing w:after="0" w:before="0"/>
    </w:pPr>
    <w:r>
      <w:rPr>
        <w:rFonts w:ascii="Arial" w:cs="Arial" w:eastAsia="Arial" w:hAnsi="Arial"/>
        <w:i/>
        <w:iCs/>
        <w:color w:val="8C8C8C"/>
        <w:sz w:val="13"/>
        <w:szCs w:val="13"/>
      </w:rPr>
      <w:t xml:space="preserve">Synthetic sample record for testing - fictitious patient and provider, not PHI.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Whitfield, Eleanor - (DOB: 02/08/1949)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Date of Visit: 06/12/2024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Gender: Female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MRN: B032709C8F1C79FA55EFFCF772814DEE</w:t>
    </w:r>
  </w:p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MARCUS OKAFOR, MD</w:t>
    </w:r>
  </w:p>
  <w:p>
    <w:pPr>
      <w:pBdr>
        <w:bottom w:val="single" w:color="808080" w:sz="4" w:space="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 sample record (synthetic)</dc:title>
  <dc:subject>Care for Older Adults (COA)</dc:subject>
  <dc:creator>document-service-py samples</dc:creator>
  <dc:description>Synthetic chart for HEDIS medical record abstraction testing. Fictitious patient; not PHI.</dc:description>
  <cp:lastModifiedBy>Un-named</cp:lastModifiedBy>
  <cp:revision>1</cp:revision>
  <dcterms:created xsi:type="dcterms:W3CDTF">2026-09-25T05:34:48.527Z</dcterms:created>
  <dcterms:modified xsi:type="dcterms:W3CDTF">2026-09-25T05:34:48.527Z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