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718096"/>
          <w:sz w:val="18"/>
        </w:rPr>
        <w:t>NATIONAL BOARD OF ACCREDITATION</w:t>
      </w:r>
    </w:p>
    <w:p>
      <w:pPr>
        <w:jc w:val="center"/>
      </w:pPr>
      <w:r>
        <w:rPr>
          <w:b/>
          <w:color w:val="1A365D"/>
          <w:sz w:val="40"/>
        </w:rPr>
        <w:t>SELF-ASSESSMENT REPORT (SAR)</w:t>
      </w:r>
    </w:p>
    <w:p>
      <w:pPr>
        <w:jc w:val="center"/>
      </w:pPr>
      <w:r>
        <w:rPr>
          <w:sz w:val="20"/>
        </w:rPr>
        <w:t>UG Engineering Programs — Tier-II Institution | GAPC V4.0 | January 2025</w:t>
      </w:r>
    </w:p>
    <w:p/>
    <w:p>
      <w:pPr>
        <w:jc w:val="center"/>
      </w:pPr>
      <w:r>
        <w:rPr>
          <w:b/>
          <w:sz w:val="32"/>
        </w:rPr>
        <w:t>Computer Science &amp; Engineering</w:t>
      </w:r>
    </w:p>
    <w:p>
      <w:pPr>
        <w:jc w:val="center"/>
      </w:pPr>
      <w:r>
        <w:rPr>
          <w:sz w:val="26"/>
        </w:rPr>
        <w:t>B.E. Computer Science &amp; Engineering</w:t>
      </w:r>
    </w:p>
    <w:p>
      <w:pPr>
        <w:jc w:val="center"/>
      </w:pPr>
      <w:r>
        <w:rPr>
          <w:sz w:val="22"/>
        </w:rPr>
        <w:t>Department of Computer Science &amp; Engineering</w:t>
      </w:r>
    </w:p>
    <w:p/>
    <w:p>
      <w:pPr>
        <w:jc w:val="center"/>
      </w:pPr>
      <w:r>
        <w:t>Academic Year: 2025-26  |  Generated: 2026-09-02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Criterion 4: Students' Performance</w:t>
      </w:r>
    </w:p>
    <w:p>
      <w:pPr>
        <w:pStyle w:val="Heading3"/>
      </w:pPr>
      <w:r>
        <w:t>4.1  Enrolment Ratio  (20 marks)</w:t>
      </w:r>
    </w:p>
    <w:p>
      <w:pPr>
        <w:pStyle w:val="FormulaResult"/>
      </w:pPr>
      <w:r>
        <w:t>Score: 20 / 20 marks</w:t>
      </w:r>
      <w:r>
        <w:t xml:space="preserve">   |   er_pct: 107.22</w:t>
      </w:r>
      <w:r>
        <w:t xml:space="preserve">   |   enrolled: 193</w:t>
      </w:r>
      <w:r>
        <w:t xml:space="preserve">   |   intake: 180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7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77"/>
          </w:tcPr>
          <w:p>
            <w:r>
              <w:t>Sanctioned Intake (N)</w:t>
            </w:r>
          </w:p>
        </w:tc>
        <w:tc>
          <w:tcPr>
            <w:tcW w:type="dxa" w:w="4677"/>
          </w:tcPr>
          <w:p>
            <w:r>
              <w:t>180</w:t>
            </w:r>
          </w:p>
        </w:tc>
      </w:tr>
      <w:tr>
        <w:tc>
          <w:tcPr>
            <w:tcW w:type="dxa" w:w="4677"/>
          </w:tcPr>
          <w:p>
            <w:r>
              <w:t>Students Admitted (N1+N2+N3)</w:t>
            </w:r>
          </w:p>
        </w:tc>
        <w:tc>
          <w:tcPr>
            <w:tcW w:type="dxa" w:w="4677"/>
          </w:tcPr>
          <w:p>
            <w:r>
              <w:t>193</w:t>
            </w:r>
          </w:p>
        </w:tc>
      </w:tr>
      <w:tr>
        <w:tc>
          <w:tcPr>
            <w:tcW w:type="dxa" w:w="4677"/>
          </w:tcPr>
          <w:p>
            <w:r>
              <w:t>Enrolment Ratio (%)</w:t>
            </w:r>
          </w:p>
        </w:tc>
        <w:tc>
          <w:tcPr>
            <w:tcW w:type="dxa" w:w="4677"/>
          </w:tcPr>
          <w:p>
            <w:r>
              <w:t>107.2%</w:t>
            </w:r>
          </w:p>
        </w:tc>
      </w:tr>
      <w:tr>
        <w:tc>
          <w:tcPr>
            <w:tcW w:type="dxa" w:w="4677"/>
          </w:tcPr>
          <w:p>
            <w:r>
              <w:t>Marks Scored</w:t>
            </w:r>
          </w:p>
        </w:tc>
        <w:tc>
          <w:tcPr>
            <w:tcW w:type="dxa" w:w="4677"/>
          </w:tcPr>
          <w:p>
            <w:r>
              <w:t>20 / 20</w:t>
            </w:r>
          </w:p>
        </w:tc>
      </w:tr>
    </w:tbl>
    <w:p/>
    <w:p>
      <w:r>
        <w:br w:type="page"/>
      </w:r>
    </w:p>
    <w:p>
      <w:pPr>
        <w:pStyle w:val="Heading1"/>
      </w:pPr>
      <w:r>
        <w:t>Criterion 4.2: Success Rate in Stipulated Period</w:t>
      </w:r>
    </w:p>
    <w:p>
      <w:pPr>
        <w:pStyle w:val="Heading4"/>
      </w:pPr>
      <w:r>
        <w:t>4.2.1  Success Index without Backlog  (25 marks)</w:t>
      </w:r>
    </w:p>
    <w:p>
      <w:pPr>
        <w:pStyle w:val="FormulaResult"/>
      </w:pPr>
      <w:r>
        <w:t>Score: 19.13 / 25 marks</w:t>
      </w:r>
      <w:r>
        <w:t xml:space="preserve">   |   avg_si: 0.7653</w:t>
      </w:r>
      <w:r>
        <w:t xml:space="preserve">   |   avg_si_pct: 76.53</w:t>
      </w:r>
      <w:r>
        <w:t xml:space="preserve">   |   max_marks: 25.0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7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77"/>
          </w:tcPr>
          <w:p>
            <w:r>
              <w:t>Average Success Index (Without Backlog)</w:t>
            </w:r>
          </w:p>
        </w:tc>
        <w:tc>
          <w:tcPr>
            <w:tcW w:type="dxa" w:w="4677"/>
          </w:tcPr>
          <w:p>
            <w:r>
              <w:t>0.7653</w:t>
            </w:r>
          </w:p>
        </w:tc>
      </w:tr>
      <w:tr>
        <w:tc>
          <w:tcPr>
            <w:tcW w:type="dxa" w:w="4677"/>
          </w:tcPr>
          <w:p>
            <w:r>
              <w:t>Success Rate (%)</w:t>
            </w:r>
          </w:p>
        </w:tc>
        <w:tc>
          <w:tcPr>
            <w:tcW w:type="dxa" w:w="4677"/>
          </w:tcPr>
          <w:p>
            <w:r>
              <w:t>76.5%</w:t>
            </w:r>
          </w:p>
        </w:tc>
      </w:tr>
      <w:tr>
        <w:tc>
          <w:tcPr>
            <w:tcW w:type="dxa" w:w="4677"/>
          </w:tcPr>
          <w:p>
            <w:r>
              <w:t>Assessment Marks</w:t>
            </w:r>
          </w:p>
        </w:tc>
        <w:tc>
          <w:tcPr>
            <w:tcW w:type="dxa" w:w="4677"/>
          </w:tcPr>
          <w:p>
            <w:r>
              <w:t>19.1 / 25</w:t>
            </w:r>
          </w:p>
        </w:tc>
      </w:tr>
    </w:tbl>
    <w:p/>
    <w:p>
      <w:pPr>
        <w:pStyle w:val="Heading4"/>
      </w:pPr>
      <w:r>
        <w:t>4.2.2  Success Index with Backlog  (15 marks)</w:t>
      </w:r>
    </w:p>
    <w:p>
      <w:pPr>
        <w:pStyle w:val="FormulaResult"/>
      </w:pPr>
      <w:r>
        <w:t>Score: 13.85 / 15 marks</w:t>
      </w:r>
      <w:r>
        <w:t xml:space="preserve">   |   avg_si: 0.9236</w:t>
      </w:r>
      <w:r>
        <w:t xml:space="preserve">   |   avg_si_pct: 92.36</w:t>
      </w:r>
      <w:r>
        <w:t xml:space="preserve">   |   max_marks: 15.0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7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77"/>
          </w:tcPr>
          <w:p>
            <w:r>
              <w:t>Average Success Index (With Backlogs Allowed)</w:t>
            </w:r>
          </w:p>
        </w:tc>
        <w:tc>
          <w:tcPr>
            <w:tcW w:type="dxa" w:w="4677"/>
          </w:tcPr>
          <w:p>
            <w:r>
              <w:t>0.9236</w:t>
            </w:r>
          </w:p>
        </w:tc>
      </w:tr>
      <w:tr>
        <w:tc>
          <w:tcPr>
            <w:tcW w:type="dxa" w:w="4677"/>
          </w:tcPr>
          <w:p>
            <w:r>
              <w:t>Success Rate (%)</w:t>
            </w:r>
          </w:p>
        </w:tc>
        <w:tc>
          <w:tcPr>
            <w:tcW w:type="dxa" w:w="4677"/>
          </w:tcPr>
          <w:p>
            <w:r>
              <w:t>92.4%</w:t>
            </w:r>
          </w:p>
        </w:tc>
      </w:tr>
      <w:tr>
        <w:tc>
          <w:tcPr>
            <w:tcW w:type="dxa" w:w="4677"/>
          </w:tcPr>
          <w:p>
            <w:r>
              <w:t>Assessment Marks</w:t>
            </w:r>
          </w:p>
        </w:tc>
        <w:tc>
          <w:tcPr>
            <w:tcW w:type="dxa" w:w="4677"/>
          </w:tcPr>
          <w:p>
            <w:r>
              <w:t>13.8 / 15</w:t>
            </w:r>
          </w:p>
        </w:tc>
      </w:tr>
    </w:tbl>
    <w:p/>
    <w:p>
      <w:pPr>
        <w:pStyle w:val="Heading3"/>
      </w:pPr>
      <w:r>
        <w:t>4.3  Academic Performance — Second Year (API)  (15 marks)</w:t>
      </w:r>
    </w:p>
    <w:p>
      <w:pPr>
        <w:pStyle w:val="PlaceholderWarning"/>
      </w:pPr>
      <w:r>
        <w:t>⚠ Placeholder data — verify before submission.</w:t>
      </w:r>
    </w:p>
    <w:p>
      <w:pPr>
        <w:pStyle w:val="FormulaResult"/>
      </w:pPr>
      <w:r>
        <w:t>Score: 0.0 / 15 marks</w:t>
      </w:r>
      <w:r>
        <w:t xml:space="preserve">   |   avg_api: 0.0</w:t>
      </w:r>
      <w:r>
        <w:t xml:space="preserve">   |   years: 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1559"/>
          </w:tcPr>
          <w:p>
            <w:r>
              <w:rPr>
                <w:b/>
              </w:rPr>
              <w:t>Appeared Students</w:t>
            </w:r>
          </w:p>
        </w:tc>
        <w:tc>
          <w:tcPr>
            <w:tcW w:type="dxa" w:w="1559"/>
          </w:tcPr>
          <w:p>
            <w:r>
              <w:rPr>
                <w:b/>
              </w:rPr>
              <w:t>Successful Students</w:t>
            </w:r>
          </w:p>
        </w:tc>
        <w:tc>
          <w:tcPr>
            <w:tcW w:type="dxa" w:w="1559"/>
          </w:tcPr>
          <w:p>
            <w:r>
              <w:rPr>
                <w:b/>
              </w:rPr>
              <w:t>Mean CGPA</w:t>
            </w:r>
          </w:p>
        </w:tc>
        <w:tc>
          <w:tcPr>
            <w:tcW w:type="dxa" w:w="1559"/>
          </w:tcPr>
          <w:p>
            <w:r>
              <w:rPr>
                <w:b/>
              </w:rPr>
              <w:t>Success Ratio</w:t>
            </w:r>
          </w:p>
        </w:tc>
        <w:tc>
          <w:tcPr>
            <w:tcW w:type="dxa" w:w="1559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1559"/>
          </w:tcPr>
          <w:p>
            <w:r>
              <w:t>Data not available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</w:tr>
    </w:tbl>
    <w:p/>
    <w:p>
      <w:pPr>
        <w:pStyle w:val="Heading3"/>
      </w:pPr>
      <w:r>
        <w:t>4.4  Academic Performance — Third Year (API)  (15 marks)</w:t>
      </w:r>
    </w:p>
    <w:p>
      <w:pPr>
        <w:pStyle w:val="PlaceholderWarning"/>
      </w:pPr>
      <w:r>
        <w:t>⚠ Placeholder data — verify before submission.</w:t>
      </w:r>
    </w:p>
    <w:p>
      <w:pPr>
        <w:pStyle w:val="FormulaResult"/>
      </w:pPr>
      <w:r>
        <w:t>Score: 0.0 / 15 marks</w:t>
      </w:r>
      <w:r>
        <w:t xml:space="preserve">   |   avg_api: 0.0</w:t>
      </w:r>
      <w:r>
        <w:t xml:space="preserve">   |   years: []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1559"/>
          </w:tcPr>
          <w:p>
            <w:r>
              <w:rPr>
                <w:b/>
              </w:rPr>
              <w:t>Appeared Students</w:t>
            </w:r>
          </w:p>
        </w:tc>
        <w:tc>
          <w:tcPr>
            <w:tcW w:type="dxa" w:w="1559"/>
          </w:tcPr>
          <w:p>
            <w:r>
              <w:rPr>
                <w:b/>
              </w:rPr>
              <w:t>Successful Students</w:t>
            </w:r>
          </w:p>
        </w:tc>
        <w:tc>
          <w:tcPr>
            <w:tcW w:type="dxa" w:w="1559"/>
          </w:tcPr>
          <w:p>
            <w:r>
              <w:rPr>
                <w:b/>
              </w:rPr>
              <w:t>Mean CGPA</w:t>
            </w:r>
          </w:p>
        </w:tc>
        <w:tc>
          <w:tcPr>
            <w:tcW w:type="dxa" w:w="1559"/>
          </w:tcPr>
          <w:p>
            <w:r>
              <w:rPr>
                <w:b/>
              </w:rPr>
              <w:t>Success Ratio</w:t>
            </w:r>
          </w:p>
        </w:tc>
        <w:tc>
          <w:tcPr>
            <w:tcW w:type="dxa" w:w="1559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1559"/>
          </w:tcPr>
          <w:p>
            <w:r>
              <w:t>Data not available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  <w:tc>
          <w:tcPr>
            <w:tcW w:type="dxa" w:w="1559"/>
          </w:tcPr>
          <w:p>
            <w:r>
              <w:t>—</w:t>
            </w:r>
          </w:p>
        </w:tc>
      </w:tr>
    </w:tbl>
    <w:p/>
    <w:p>
      <w:pPr>
        <w:pStyle w:val="Heading3"/>
      </w:pPr>
      <w:r>
        <w:t>4.5  Placement, Higher Studies and Entrepreneurship  (40 marks)</w:t>
      </w:r>
    </w:p>
    <w:p>
      <w:pPr>
        <w:pStyle w:val="FormulaResult"/>
      </w:pPr>
      <w:r>
        <w:t>Score: 25.31 / 40 marks</w:t>
      </w:r>
      <w:r>
        <w:t xml:space="preserve">   |   avg_placement_index: 0.6328</w:t>
      </w:r>
      <w:r>
        <w:t xml:space="preserve">   |   avg_placement_pct: 63.28</w:t>
      </w:r>
      <w:r>
        <w:t xml:space="preserve">   |   years_count: 4</w:t>
      </w:r>
      <w:r>
        <w:t xml:space="preserve">   |   is_provisional: False</w:t>
      </w:r>
      <w:r>
        <w:t xml:space="preserve">   |   years: [{'cohort_year': 2026, 'academic_year': '2025-26', 'total': 32, 'placed': 3, 'higher_studies': 2, 'entrepreneurs': 1, 'career_positive_total': 6, 'placement_index_ratio': 0.1875, 'placement_index_pct': 18.75}, {'cohort_year': 2025, 'academic_year': '2024-25', 'total': 32, 'placed': 20, 'higher_studies': 3, 'entrepreneurs': 1, 'career_positive_total': 24, 'placement_index_ratio': 0.75, 'placement_index_pct': 75.0}, {'cohort_year': 2024, 'academic_year': '2023-24', 'total': 32, 'placed': 22, 'higher_studies': 3, 'entrepreneurs': 1, 'career_positive_total': 26, 'placement_index_ratio': 0.8125, 'placement_index_pct': 81.25}, {'cohort_year': 2023, 'academic_year': '2022-23', 'total': 32, 'placed': 21, 'higher_studies': 3, 'entrepreneurs': 1, 'career_positive_total': 25, 'placement_index_ratio': 0.7812, 'placement_index_pct': 78.12}]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1336"/>
          </w:tcPr>
          <w:p>
            <w:r>
              <w:rPr>
                <w:b/>
              </w:rPr>
              <w:t>Cohort Total (N)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Placed (x)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Higher Studies (y)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Entrepreneurs (z)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Total (x+y+z)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Placement Index P (%)</w:t>
            </w:r>
          </w:p>
        </w:tc>
      </w:tr>
      <w:tr>
        <w:tc>
          <w:tcPr>
            <w:tcW w:type="dxa" w:w="1336"/>
          </w:tcPr>
          <w:p>
            <w:r>
              <w:t>2025-26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2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6</w:t>
            </w:r>
          </w:p>
        </w:tc>
        <w:tc>
          <w:tcPr>
            <w:tcW w:type="dxa" w:w="1336"/>
          </w:tcPr>
          <w:p>
            <w:r>
              <w:t>18.8%</w:t>
            </w:r>
          </w:p>
        </w:tc>
      </w:tr>
      <w:tr>
        <w:tc>
          <w:tcPr>
            <w:tcW w:type="dxa" w:w="1336"/>
          </w:tcPr>
          <w:p>
            <w:r>
              <w:t>2024-25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20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24</w:t>
            </w:r>
          </w:p>
        </w:tc>
        <w:tc>
          <w:tcPr>
            <w:tcW w:type="dxa" w:w="1336"/>
          </w:tcPr>
          <w:p>
            <w:r>
              <w:t>75.0%</w:t>
            </w:r>
          </w:p>
        </w:tc>
      </w:tr>
      <w:tr>
        <w:tc>
          <w:tcPr>
            <w:tcW w:type="dxa" w:w="1336"/>
          </w:tcPr>
          <w:p>
            <w:r>
              <w:t>2023-24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22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26</w:t>
            </w:r>
          </w:p>
        </w:tc>
        <w:tc>
          <w:tcPr>
            <w:tcW w:type="dxa" w:w="1336"/>
          </w:tcPr>
          <w:p>
            <w:r>
              <w:t>81.2%</w:t>
            </w:r>
          </w:p>
        </w:tc>
      </w:tr>
      <w:tr>
        <w:tc>
          <w:tcPr>
            <w:tcW w:type="dxa" w:w="1336"/>
          </w:tcPr>
          <w:p>
            <w:r>
              <w:t>2022-23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21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25</w:t>
            </w:r>
          </w:p>
        </w:tc>
        <w:tc>
          <w:tcPr>
            <w:tcW w:type="dxa" w:w="1336"/>
          </w:tcPr>
          <w:p>
            <w:r>
              <w:t>78.1%</w:t>
            </w:r>
          </w:p>
        </w:tc>
      </w:tr>
    </w:tbl>
    <w:p/>
    <w:p>
      <w:r>
        <w:br w:type="page"/>
      </w:r>
    </w:p>
    <w:p>
      <w:pPr>
        <w:pStyle w:val="Heading1"/>
      </w:pPr>
      <w:r>
        <w:t>Criterion 4.6: Professional Activities</w:t>
      </w:r>
    </w:p>
    <w:p>
      <w:pPr>
        <w:pStyle w:val="Heading4"/>
      </w:pPr>
      <w:r>
        <w:t>4.6.1  Professional Activities and Club Events (Summary Sheets)  (5 marks)</w:t>
      </w:r>
    </w:p>
    <w:p>
      <w:pPr>
        <w:pStyle w:val="PlaceholderWarning"/>
      </w:pPr>
      <w:r>
        <w:t>⚠ Placeholder data — verify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b/>
              </w:rPr>
              <w:t>Sl. No</w:t>
            </w:r>
          </w:p>
        </w:tc>
        <w:tc>
          <w:tcPr>
            <w:tcW w:type="dxa" w:w="1336"/>
          </w:tcPr>
          <w:p>
            <w:r>
              <w:rPr>
                <w:b/>
              </w:rPr>
              <w:t>Event Title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Club / Society</w:t>
            </w:r>
          </w:p>
        </w:tc>
        <w:tc>
          <w:tcPr>
            <w:tcW w:type="dxa" w:w="133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Attendees</w:t>
            </w:r>
          </w:p>
        </w:tc>
      </w:tr>
      <w:tr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Data not available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</w:tr>
    </w:tbl>
    <w:p/>
    <w:p>
      <w:pPr>
        <w:pStyle w:val="Heading4"/>
      </w:pPr>
      <w:r>
        <w:t>4.6.2  Publication of Technical Magazines, Newsletters, etc.  (5 marks)</w:t>
      </w:r>
    </w:p>
    <w:p>
      <w:r>
        <w:t>The department publishes an annual technical magazine ByteStream and a bi-monthly newsletter TechPulse. The editorial board comprises 4 faculty members and 8 elected student editors. During 2025-26, 32 student technical articles and 14 research briefs were featured.</w:t>
      </w:r>
    </w:p>
    <w:p>
      <w:pPr>
        <w:pStyle w:val="Heading4"/>
      </w:pPr>
      <w:r>
        <w:t>4.6.3  Participation in Inter-Institute Events by Students 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r>
              <w:rPr>
                <w:b/>
              </w:rPr>
              <w:t>Sl. No</w:t>
            </w:r>
          </w:p>
        </w:tc>
        <w:tc>
          <w:tcPr>
            <w:tcW w:type="dxa" w:w="1169"/>
          </w:tcPr>
          <w:p>
            <w:r>
              <w:rPr>
                <w:b/>
              </w:rPr>
              <w:t>Student Name / ID</w:t>
            </w:r>
          </w:p>
        </w:tc>
        <w:tc>
          <w:tcPr>
            <w:tcW w:type="dxa" w:w="1169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Activity Type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Result / Prize</w:t>
            </w:r>
          </w:p>
        </w:tc>
      </w:tr>
      <w:tr>
        <w:tc>
          <w:tcPr>
            <w:tcW w:type="dxa" w:w="1169"/>
          </w:tcPr>
          <w:p>
            <w:r>
              <w:t>1</w:t>
            </w:r>
          </w:p>
        </w:tc>
        <w:tc>
          <w:tcPr>
            <w:tcW w:type="dxa" w:w="1169"/>
          </w:tcPr>
          <w:p>
            <w:r>
              <w:t>Aarav Sharma</w:t>
            </w:r>
          </w:p>
        </w:tc>
        <w:tc>
          <w:tcPr>
            <w:tcW w:type="dxa" w:w="1169"/>
          </w:tcPr>
          <w:p>
            <w:r>
              <w:t>RoboSub International Challenge — Techfest 2025</w:t>
            </w:r>
          </w:p>
        </w:tc>
        <w:tc>
          <w:tcPr>
            <w:tcW w:type="dxa" w:w="1169"/>
          </w:tcPr>
          <w:p>
            <w:r>
              <w:t>Technical</w:t>
            </w:r>
          </w:p>
        </w:tc>
        <w:tc>
          <w:tcPr>
            <w:tcW w:type="dxa" w:w="1169"/>
          </w:tcPr>
          <w:p>
            <w:r>
              <w:t>National</w:t>
            </w:r>
          </w:p>
        </w:tc>
        <w:tc>
          <w:tcPr>
            <w:tcW w:type="dxa" w:w="1169"/>
          </w:tcPr>
          <w:p>
            <w:r>
              <w:t>2025-12-28</w:t>
            </w:r>
          </w:p>
        </w:tc>
        <w:tc>
          <w:tcPr>
            <w:tcW w:type="dxa" w:w="1169"/>
          </w:tcPr>
          <w:p>
            <w:r>
              <w:t>IIT Bombay Campus, Powai, Mumbai</w:t>
            </w:r>
          </w:p>
        </w:tc>
        <w:tc>
          <w:tcPr>
            <w:tcW w:type="dxa" w:w="1169"/>
          </w:tcPr>
          <w:p>
            <w:r>
              <w:t>2nd Runner Up &amp; Trophy in Autonomous Underwater Vehicle Track</w:t>
            </w:r>
          </w:p>
        </w:tc>
      </w:tr>
      <w:tr>
        <w:tc>
          <w:tcPr>
            <w:tcW w:type="dxa" w:w="1169"/>
          </w:tcPr>
          <w:p>
            <w:r>
              <w:t>2</w:t>
            </w:r>
          </w:p>
        </w:tc>
        <w:tc>
          <w:tcPr>
            <w:tcW w:type="dxa" w:w="1169"/>
          </w:tcPr>
          <w:p>
            <w:r>
              <w:t>Abhinav Jain</w:t>
            </w:r>
          </w:p>
        </w:tc>
        <w:tc>
          <w:tcPr>
            <w:tcW w:type="dxa" w:w="1169"/>
          </w:tcPr>
          <w:p>
            <w:r>
              <w:t>Smart India Hackathon (SIH 2025)</w:t>
            </w:r>
          </w:p>
        </w:tc>
        <w:tc>
          <w:tcPr>
            <w:tcW w:type="dxa" w:w="1169"/>
          </w:tcPr>
          <w:p>
            <w:r>
              <w:t>Technical</w:t>
            </w:r>
          </w:p>
        </w:tc>
        <w:tc>
          <w:tcPr>
            <w:tcW w:type="dxa" w:w="1169"/>
          </w:tcPr>
          <w:p>
            <w:r>
              <w:t>National</w:t>
            </w:r>
          </w:p>
        </w:tc>
        <w:tc>
          <w:tcPr>
            <w:tcW w:type="dxa" w:w="1169"/>
          </w:tcPr>
          <w:p>
            <w:r>
              <w:t>2025-11-22</w:t>
            </w:r>
          </w:p>
        </w:tc>
        <w:tc>
          <w:tcPr>
            <w:tcW w:type="dxa" w:w="1169"/>
          </w:tcPr>
          <w:p>
            <w:r>
              <w:t>IIT Roorkee Nodal Center, Uttarakhand</w:t>
            </w:r>
          </w:p>
        </w:tc>
        <w:tc>
          <w:tcPr>
            <w:tcW w:type="dxa" w:w="1169"/>
          </w:tcPr>
          <w:p>
            <w:r>
              <w:t>1st Prize &amp; ₹1,00,000 Cash Award in AI/Healthcare Category</w:t>
            </w:r>
          </w:p>
        </w:tc>
      </w:tr>
      <w:tr>
        <w:tc>
          <w:tcPr>
            <w:tcW w:type="dxa" w:w="1169"/>
          </w:tcPr>
          <w:p>
            <w:r>
              <w:t>3</w:t>
            </w:r>
          </w:p>
        </w:tc>
        <w:tc>
          <w:tcPr>
            <w:tcW w:type="dxa" w:w="1169"/>
          </w:tcPr>
          <w:p>
            <w:r>
              <w:t>Amruta Desai</w:t>
            </w:r>
          </w:p>
        </w:tc>
        <w:tc>
          <w:tcPr>
            <w:tcW w:type="dxa" w:w="1169"/>
          </w:tcPr>
          <w:p>
            <w:r>
              <w:t>VTU 24th Inter-Collegiate State Athletics Meet</w:t>
            </w:r>
          </w:p>
        </w:tc>
        <w:tc>
          <w:tcPr>
            <w:tcW w:type="dxa" w:w="1169"/>
          </w:tcPr>
          <w:p>
            <w:r>
              <w:t>Sports</w:t>
            </w:r>
          </w:p>
        </w:tc>
        <w:tc>
          <w:tcPr>
            <w:tcW w:type="dxa" w:w="1169"/>
          </w:tcPr>
          <w:p>
            <w:r>
              <w:t>Within State</w:t>
            </w:r>
          </w:p>
        </w:tc>
        <w:tc>
          <w:tcPr>
            <w:tcW w:type="dxa" w:w="1169"/>
          </w:tcPr>
          <w:p>
            <w:r>
              <w:t>2025-10-15</w:t>
            </w:r>
          </w:p>
        </w:tc>
        <w:tc>
          <w:tcPr>
            <w:tcW w:type="dxa" w:w="1169"/>
          </w:tcPr>
          <w:p>
            <w:r>
              <w:t>Kanteerava Stadium, Bengaluru</w:t>
            </w:r>
          </w:p>
        </w:tc>
        <w:tc>
          <w:tcPr>
            <w:tcW w:type="dxa" w:w="1169"/>
          </w:tcPr>
          <w:p>
            <w:r>
              <w:t>Gold Medal in 100m Sprint (Timing: 10.84s)</w:t>
            </w:r>
          </w:p>
        </w:tc>
      </w:tr>
      <w:tr>
        <w:tc>
          <w:tcPr>
            <w:tcW w:type="dxa" w:w="1169"/>
          </w:tcPr>
          <w:p>
            <w:r>
              <w:t>4</w:t>
            </w:r>
          </w:p>
        </w:tc>
        <w:tc>
          <w:tcPr>
            <w:tcW w:type="dxa" w:w="1169"/>
          </w:tcPr>
          <w:p>
            <w:r>
              <w:t>Deepa Lakshmi</w:t>
            </w:r>
          </w:p>
        </w:tc>
        <w:tc>
          <w:tcPr>
            <w:tcW w:type="dxa" w:w="1169"/>
          </w:tcPr>
          <w:p>
            <w:r>
              <w:t>National Youth Cultural Festival (Yuva Utsav 2025)</w:t>
            </w:r>
          </w:p>
        </w:tc>
        <w:tc>
          <w:tcPr>
            <w:tcW w:type="dxa" w:w="1169"/>
          </w:tcPr>
          <w:p>
            <w:r>
              <w:t>Cultural</w:t>
            </w:r>
          </w:p>
        </w:tc>
        <w:tc>
          <w:tcPr>
            <w:tcW w:type="dxa" w:w="1169"/>
          </w:tcPr>
          <w:p>
            <w:r>
              <w:t>National</w:t>
            </w:r>
          </w:p>
        </w:tc>
        <w:tc>
          <w:tcPr>
            <w:tcW w:type="dxa" w:w="1169"/>
          </w:tcPr>
          <w:p>
            <w:r>
              <w:t>2025-09-18</w:t>
            </w:r>
          </w:p>
        </w:tc>
        <w:tc>
          <w:tcPr>
            <w:tcW w:type="dxa" w:w="1169"/>
          </w:tcPr>
          <w:p>
            <w:r>
              <w:t>Banaras Hindu University (BHU), Varanasi</w:t>
            </w:r>
          </w:p>
        </w:tc>
        <w:tc>
          <w:tcPr>
            <w:tcW w:type="dxa" w:w="1169"/>
          </w:tcPr>
          <w:p>
            <w:r>
              <w:t>1st Prize in Solo Classical Carnatic Vocal</w:t>
            </w:r>
          </w:p>
        </w:tc>
      </w:tr>
    </w:tbl>
    <w:p/>
    <w:p>
      <w:r>
        <w:br w:type="page"/>
      </w:r>
    </w:p>
    <w:p>
      <w:pPr>
        <w:pStyle w:val="Heading2"/>
      </w:pPr>
      <w:r>
        <w:t>DECLARATION /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Head of Department</w:t>
            </w:r>
          </w:p>
        </w:tc>
        <w:tc>
          <w:tcPr>
            <w:tcW w:type="dxa" w:w="4677"/>
          </w:tcPr>
          <w:p>
            <w:r>
              <w:t>Principal / Director</w:t>
            </w:r>
          </w:p>
        </w:tc>
      </w:tr>
      <w:tr>
        <w:tc>
          <w:tcPr>
            <w:tcW w:type="dxa" w:w="4677"/>
          </w:tcPr>
          <w:p>
            <w:r>
              <w:t>Date: ___________</w:t>
            </w:r>
          </w:p>
        </w:tc>
        <w:tc>
          <w:tcPr>
            <w:tcW w:type="dxa" w:w="4677"/>
          </w:tcPr>
          <w:p>
            <w:r>
              <w:t>Date: ___________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Result">
    <w:name w:val="FormulaResult"/>
    <w:basedOn w:val="Normal"/>
    <w:rPr>
      <w:b/>
      <w:color w:val="276749"/>
      <w:sz w:val="22"/>
    </w:rPr>
  </w:style>
  <w:style w:type="paragraph" w:customStyle="1" w:styleId="PlaceholderWarning">
    <w:name w:val="PlaceholderWarning"/>
    <w:basedOn w:val="Normal"/>
    <w:rPr>
      <w:i/>
      <w:color w:val="74421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