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9A06E">
      <w:pPr>
        <w:jc w:val="center"/>
      </w:pPr>
      <w:r>
        <w:rPr>
          <w:b/>
          <w:sz w:val="34"/>
        </w:rPr>
        <w:t>Project Development Phase</w:t>
      </w:r>
    </w:p>
    <w:p w14:paraId="31D52C5E">
      <w:pPr>
        <w:jc w:val="center"/>
      </w:pPr>
      <w:r>
        <w:rPr>
          <w:b/>
          <w:sz w:val="30"/>
        </w:rPr>
        <w:t>Performance 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53BC301A">
        <w:trPr>
          <w:jc w:val="center"/>
        </w:trPr>
        <w:tc>
          <w:tcPr>
            <w:tcW w:w="5328" w:type="dxa"/>
            <w:tcMar>
              <w:top w:w="75" w:type="dxa"/>
              <w:left w:w="75" w:type="dxa"/>
              <w:bottom w:w="75" w:type="dxa"/>
              <w:right w:w="75" w:type="dxa"/>
            </w:tcMar>
            <w:vAlign w:val="center"/>
          </w:tcPr>
          <w:p w14:paraId="752C6818">
            <w:pPr>
              <w:spacing w:after="0" w:line="240" w:lineRule="auto"/>
            </w:pPr>
            <w:r>
              <w:rPr>
                <w:b/>
              </w:rPr>
              <w:t>Date</w:t>
            </w:r>
          </w:p>
        </w:tc>
        <w:tc>
          <w:tcPr>
            <w:tcW w:w="5328" w:type="dxa"/>
            <w:tcMar>
              <w:top w:w="75" w:type="dxa"/>
              <w:left w:w="75" w:type="dxa"/>
              <w:bottom w:w="75" w:type="dxa"/>
              <w:right w:w="75" w:type="dxa"/>
            </w:tcMar>
            <w:vAlign w:val="center"/>
          </w:tcPr>
          <w:p w14:paraId="43BF7357">
            <w:pPr>
              <w:spacing w:after="0" w:line="240" w:lineRule="auto"/>
            </w:pPr>
            <w:r>
              <w:t>03 October 2026</w:t>
            </w:r>
          </w:p>
        </w:tc>
      </w:tr>
      <w:tr w14:paraId="50F2D630">
        <w:trPr>
          <w:jc w:val="center"/>
        </w:trPr>
        <w:tc>
          <w:tcPr>
            <w:tcW w:w="5328" w:type="dxa"/>
            <w:tcMar>
              <w:top w:w="75" w:type="dxa"/>
              <w:left w:w="75" w:type="dxa"/>
              <w:bottom w:w="75" w:type="dxa"/>
              <w:right w:w="75" w:type="dxa"/>
            </w:tcMar>
            <w:vAlign w:val="center"/>
          </w:tcPr>
          <w:p w14:paraId="4894CE8A">
            <w:pPr>
              <w:spacing w:after="0" w:line="240" w:lineRule="auto"/>
            </w:pPr>
            <w:r>
              <w:rPr>
                <w:b/>
              </w:rPr>
              <w:t>Team ID</w:t>
            </w:r>
          </w:p>
        </w:tc>
        <w:tc>
          <w:tcPr>
            <w:tcW w:w="5328" w:type="dxa"/>
            <w:tcMar>
              <w:top w:w="75" w:type="dxa"/>
              <w:left w:w="75" w:type="dxa"/>
              <w:bottom w:w="75" w:type="dxa"/>
              <w:right w:w="75" w:type="dxa"/>
            </w:tcMar>
            <w:vAlign w:val="center"/>
          </w:tcPr>
          <w:p w14:paraId="4F52C158">
            <w:pPr>
              <w:spacing w:after="0" w:line="240" w:lineRule="auto"/>
            </w:pPr>
            <w:r>
              <w:rPr>
                <w:rFonts w:hint="default"/>
              </w:rPr>
              <w:t>SWTID-2026-5432</w:t>
            </w:r>
          </w:p>
        </w:tc>
      </w:tr>
      <w:tr w14:paraId="26D3DD36">
        <w:trPr>
          <w:jc w:val="center"/>
        </w:trPr>
        <w:tc>
          <w:tcPr>
            <w:tcW w:w="5328" w:type="dxa"/>
            <w:tcMar>
              <w:top w:w="75" w:type="dxa"/>
              <w:left w:w="75" w:type="dxa"/>
              <w:bottom w:w="75" w:type="dxa"/>
              <w:right w:w="75" w:type="dxa"/>
            </w:tcMar>
            <w:vAlign w:val="center"/>
          </w:tcPr>
          <w:p w14:paraId="1C6B8713">
            <w:pPr>
              <w:spacing w:after="0" w:line="240" w:lineRule="auto"/>
            </w:pPr>
            <w:r>
              <w:rPr>
                <w:b/>
              </w:rPr>
              <w:t>Project Name</w:t>
            </w:r>
          </w:p>
        </w:tc>
        <w:tc>
          <w:tcPr>
            <w:tcW w:w="5328" w:type="dxa"/>
            <w:tcMar>
              <w:top w:w="75" w:type="dxa"/>
              <w:left w:w="75" w:type="dxa"/>
              <w:bottom w:w="75" w:type="dxa"/>
              <w:right w:w="75" w:type="dxa"/>
            </w:tcMar>
            <w:vAlign w:val="center"/>
          </w:tcPr>
          <w:p w14:paraId="304F6BD3">
            <w:pPr>
              <w:spacing w:after="0" w:line="240" w:lineRule="auto"/>
            </w:pPr>
            <w:r>
              <w:t>Import Data using Transform Maps (Spreadsheet)</w:t>
            </w:r>
          </w:p>
        </w:tc>
      </w:tr>
      <w:tr w14:paraId="655E41E6">
        <w:trPr>
          <w:jc w:val="center"/>
        </w:trPr>
        <w:tc>
          <w:tcPr>
            <w:tcW w:w="5328" w:type="dxa"/>
            <w:tcMar>
              <w:top w:w="75" w:type="dxa"/>
              <w:left w:w="75" w:type="dxa"/>
              <w:bottom w:w="75" w:type="dxa"/>
              <w:right w:w="75" w:type="dxa"/>
            </w:tcMar>
            <w:vAlign w:val="center"/>
          </w:tcPr>
          <w:p w14:paraId="27902986">
            <w:pPr>
              <w:spacing w:after="0" w:line="240" w:lineRule="auto"/>
            </w:pPr>
            <w:r>
              <w:rPr>
                <w:b/>
              </w:rPr>
              <w:t>Maximum Marks</w:t>
            </w:r>
          </w:p>
        </w:tc>
        <w:tc>
          <w:tcPr>
            <w:tcW w:w="5328" w:type="dxa"/>
            <w:tcMar>
              <w:top w:w="75" w:type="dxa"/>
              <w:left w:w="75" w:type="dxa"/>
              <w:bottom w:w="75" w:type="dxa"/>
              <w:right w:w="75" w:type="dxa"/>
            </w:tcMar>
            <w:vAlign w:val="center"/>
          </w:tcPr>
          <w:p w14:paraId="04E31FC4">
            <w:pPr>
              <w:spacing w:after="0" w:line="240" w:lineRule="auto"/>
            </w:pPr>
          </w:p>
        </w:tc>
      </w:tr>
    </w:tbl>
    <w:p w14:paraId="77F150C9"/>
    <w:p w14:paraId="160EFE56">
      <w:r>
        <w:rPr>
          <w:b/>
          <w:sz w:val="24"/>
        </w:rPr>
        <w:t>Performance Testing:</w:t>
      </w:r>
    </w:p>
    <w:p w14:paraId="71931260">
      <w:r>
        <w:t>Project team shall fill the following information in the performance testing template. The structure below follows the uploaded reference template, which uses S.No., Parameter, and Screenshot / Values. The Tableau-oriented parameters have been adapted to the specified ServiceNow Import Set and Transform Map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2"/>
        <w:gridCol w:w="3552"/>
        <w:gridCol w:w="3552"/>
      </w:tblGrid>
      <w:tr w14:paraId="24472C78">
        <w:trPr>
          <w:tblHeader/>
          <w:jc w:val="center"/>
        </w:trPr>
        <w:tc>
          <w:tcPr>
            <w:tcW w:w="792" w:type="dxa"/>
            <w:shd w:val="clear" w:color="auto" w:fill="D9EAF7"/>
            <w:tcMar>
              <w:top w:w="75" w:type="dxa"/>
              <w:left w:w="75" w:type="dxa"/>
              <w:bottom w:w="75" w:type="dxa"/>
              <w:right w:w="75" w:type="dxa"/>
            </w:tcMar>
            <w:vAlign w:val="center"/>
          </w:tcPr>
          <w:p w14:paraId="559C1FBE">
            <w:pPr>
              <w:spacing w:after="0" w:line="240" w:lineRule="auto"/>
            </w:pPr>
            <w:r>
              <w:rPr>
                <w:b/>
                <w:sz w:val="19"/>
              </w:rPr>
              <w:t>S.No.</w:t>
            </w:r>
          </w:p>
        </w:tc>
        <w:tc>
          <w:tcPr>
            <w:tcW w:w="2736" w:type="dxa"/>
            <w:shd w:val="clear" w:color="auto" w:fill="D9EAF7"/>
            <w:tcMar>
              <w:top w:w="75" w:type="dxa"/>
              <w:left w:w="75" w:type="dxa"/>
              <w:bottom w:w="75" w:type="dxa"/>
              <w:right w:w="75" w:type="dxa"/>
            </w:tcMar>
            <w:vAlign w:val="center"/>
          </w:tcPr>
          <w:p w14:paraId="1B2267A9">
            <w:pPr>
              <w:spacing w:after="0" w:line="240" w:lineRule="auto"/>
            </w:pPr>
            <w:r>
              <w:rPr>
                <w:b/>
                <w:sz w:val="19"/>
              </w:rPr>
              <w:t>Parameter</w:t>
            </w:r>
          </w:p>
        </w:tc>
        <w:tc>
          <w:tcPr>
            <w:tcW w:w="8496" w:type="dxa"/>
            <w:shd w:val="clear" w:color="auto" w:fill="D9EAF7"/>
            <w:tcMar>
              <w:top w:w="75" w:type="dxa"/>
              <w:left w:w="75" w:type="dxa"/>
              <w:bottom w:w="75" w:type="dxa"/>
              <w:right w:w="75" w:type="dxa"/>
            </w:tcMar>
            <w:vAlign w:val="center"/>
          </w:tcPr>
          <w:p w14:paraId="1F27E276">
            <w:pPr>
              <w:spacing w:after="0" w:line="240" w:lineRule="auto"/>
            </w:pPr>
            <w:r>
              <w:rPr>
                <w:b/>
                <w:sz w:val="19"/>
              </w:rPr>
              <w:t>Screenshot / Values</w:t>
            </w:r>
          </w:p>
        </w:tc>
      </w:tr>
      <w:tr w14:paraId="2B21D726">
        <w:trPr>
          <w:jc w:val="center"/>
        </w:trPr>
        <w:tc>
          <w:tcPr>
            <w:tcW w:w="792" w:type="dxa"/>
            <w:tcMar>
              <w:top w:w="75" w:type="dxa"/>
              <w:left w:w="75" w:type="dxa"/>
              <w:bottom w:w="75" w:type="dxa"/>
              <w:right w:w="75" w:type="dxa"/>
            </w:tcMar>
            <w:vAlign w:val="top"/>
          </w:tcPr>
          <w:p w14:paraId="3191174F">
            <w:pPr>
              <w:spacing w:after="40" w:line="240" w:lineRule="auto"/>
              <w:jc w:val="center"/>
            </w:pPr>
            <w:r>
              <w:rPr>
                <w:sz w:val="17"/>
              </w:rPr>
              <w:t>1</w:t>
            </w:r>
          </w:p>
        </w:tc>
        <w:tc>
          <w:tcPr>
            <w:tcW w:w="2736" w:type="dxa"/>
            <w:tcMar>
              <w:top w:w="75" w:type="dxa"/>
              <w:left w:w="75" w:type="dxa"/>
              <w:bottom w:w="75" w:type="dxa"/>
              <w:right w:w="75" w:type="dxa"/>
            </w:tcMar>
            <w:vAlign w:val="top"/>
          </w:tcPr>
          <w:p w14:paraId="69F0EE49">
            <w:pPr>
              <w:spacing w:after="40" w:line="240" w:lineRule="auto"/>
            </w:pPr>
            <w:r>
              <w:rPr>
                <w:sz w:val="17"/>
              </w:rPr>
              <w:t>Data Imported / Rendered</w:t>
            </w:r>
          </w:p>
        </w:tc>
        <w:tc>
          <w:tcPr>
            <w:tcW w:w="8496" w:type="dxa"/>
            <w:tcMar>
              <w:top w:w="75" w:type="dxa"/>
              <w:left w:w="75" w:type="dxa"/>
              <w:bottom w:w="75" w:type="dxa"/>
              <w:right w:w="75" w:type="dxa"/>
            </w:tcMar>
            <w:vAlign w:val="top"/>
          </w:tcPr>
          <w:p w14:paraId="00EE3C11">
            <w:pPr>
              <w:spacing w:after="40" w:line="240" w:lineRule="auto"/>
            </w:pPr>
            <w:r>
              <w:rPr>
                <w:sz w:val="17"/>
              </w:rPr>
              <w:t>Employee information is imported from the spreadsheet into a ServiceNow Import Set Table. The data contains Employee ID, Name, Email, Department, and Location. The Import Set Table acts as the temporary staging area before transformation into the target Employee table.</w:t>
            </w:r>
            <w:r>
              <w:rPr>
                <w:sz w:val="17"/>
              </w:rPr>
              <w:br w:type="textWrapping"/>
            </w:r>
            <w:r>
              <w:rPr>
                <w:sz w:val="17"/>
              </w:rPr>
              <w:br w:type="textWrapping"/>
            </w:r>
            <w:r>
              <w:rPr>
                <w:sz w:val="17"/>
              </w:rPr>
              <w:t>Screenshot: Insert screenshot showing the uploaded spreadsheet data and Import Set Table records.</w:t>
            </w:r>
          </w:p>
        </w:tc>
      </w:tr>
      <w:tr w14:paraId="4459E67C">
        <w:trPr>
          <w:jc w:val="center"/>
        </w:trPr>
        <w:tc>
          <w:tcPr>
            <w:tcW w:w="792" w:type="dxa"/>
            <w:tcMar>
              <w:top w:w="75" w:type="dxa"/>
              <w:left w:w="75" w:type="dxa"/>
              <w:bottom w:w="75" w:type="dxa"/>
              <w:right w:w="75" w:type="dxa"/>
            </w:tcMar>
            <w:vAlign w:val="top"/>
          </w:tcPr>
          <w:p w14:paraId="302E765A">
            <w:pPr>
              <w:spacing w:after="40" w:line="240" w:lineRule="auto"/>
              <w:jc w:val="center"/>
            </w:pPr>
            <w:r>
              <w:rPr>
                <w:sz w:val="17"/>
              </w:rPr>
              <w:t>2</w:t>
            </w:r>
          </w:p>
        </w:tc>
        <w:tc>
          <w:tcPr>
            <w:tcW w:w="2736" w:type="dxa"/>
            <w:tcMar>
              <w:top w:w="75" w:type="dxa"/>
              <w:left w:w="75" w:type="dxa"/>
              <w:bottom w:w="75" w:type="dxa"/>
              <w:right w:w="75" w:type="dxa"/>
            </w:tcMar>
            <w:vAlign w:val="top"/>
          </w:tcPr>
          <w:p w14:paraId="02992D95">
            <w:pPr>
              <w:spacing w:after="40" w:line="240" w:lineRule="auto"/>
            </w:pPr>
            <w:r>
              <w:rPr>
                <w:sz w:val="17"/>
              </w:rPr>
              <w:t>Data Validation / Preprocessing</w:t>
            </w:r>
          </w:p>
        </w:tc>
        <w:tc>
          <w:tcPr>
            <w:tcW w:w="8496" w:type="dxa"/>
            <w:tcMar>
              <w:top w:w="75" w:type="dxa"/>
              <w:left w:w="75" w:type="dxa"/>
              <w:bottom w:w="75" w:type="dxa"/>
              <w:right w:w="75" w:type="dxa"/>
            </w:tcMar>
            <w:vAlign w:val="top"/>
          </w:tcPr>
          <w:p w14:paraId="6255F883">
            <w:pPr>
              <w:spacing w:after="40" w:line="240" w:lineRule="auto"/>
            </w:pPr>
            <w:r>
              <w:rPr>
                <w:sz w:val="17"/>
              </w:rPr>
              <w:t>The imported employee data is checked before transformation. Required fields such as Employee ID, Name, and Email are verified for valid and complete values. Incorrect or incomplete records are identified so they can be corrected before being added to the target Employee table.</w:t>
            </w:r>
            <w:r>
              <w:rPr>
                <w:sz w:val="17"/>
              </w:rPr>
              <w:br w:type="textWrapping"/>
            </w:r>
            <w:r>
              <w:rPr>
                <w:sz w:val="17"/>
              </w:rPr>
              <w:br w:type="textWrapping"/>
            </w:r>
            <w:r>
              <w:rPr>
                <w:sz w:val="17"/>
              </w:rPr>
              <w:t>Screenshot: Insert screenshot showing validation results, corrected data, or identified errors.</w:t>
            </w:r>
          </w:p>
        </w:tc>
      </w:tr>
      <w:tr w14:paraId="77A527A6">
        <w:trPr>
          <w:jc w:val="center"/>
        </w:trPr>
        <w:tc>
          <w:tcPr>
            <w:tcW w:w="792" w:type="dxa"/>
            <w:tcMar>
              <w:top w:w="75" w:type="dxa"/>
              <w:left w:w="75" w:type="dxa"/>
              <w:bottom w:w="75" w:type="dxa"/>
              <w:right w:w="75" w:type="dxa"/>
            </w:tcMar>
            <w:vAlign w:val="top"/>
          </w:tcPr>
          <w:p w14:paraId="622E6CB0">
            <w:pPr>
              <w:spacing w:after="40" w:line="240" w:lineRule="auto"/>
              <w:jc w:val="center"/>
            </w:pPr>
            <w:r>
              <w:rPr>
                <w:sz w:val="17"/>
              </w:rPr>
              <w:t>3</w:t>
            </w:r>
          </w:p>
        </w:tc>
        <w:tc>
          <w:tcPr>
            <w:tcW w:w="2736" w:type="dxa"/>
            <w:tcMar>
              <w:top w:w="75" w:type="dxa"/>
              <w:left w:w="75" w:type="dxa"/>
              <w:bottom w:w="75" w:type="dxa"/>
              <w:right w:w="75" w:type="dxa"/>
            </w:tcMar>
            <w:vAlign w:val="top"/>
          </w:tcPr>
          <w:p w14:paraId="1896D08B">
            <w:pPr>
              <w:spacing w:after="40" w:line="240" w:lineRule="auto"/>
            </w:pPr>
            <w:r>
              <w:rPr>
                <w:sz w:val="17"/>
              </w:rPr>
              <w:t>Utilization of Transform Map</w:t>
            </w:r>
          </w:p>
        </w:tc>
        <w:tc>
          <w:tcPr>
            <w:tcW w:w="8496" w:type="dxa"/>
            <w:tcMar>
              <w:top w:w="75" w:type="dxa"/>
              <w:left w:w="75" w:type="dxa"/>
              <w:bottom w:w="75" w:type="dxa"/>
              <w:right w:w="75" w:type="dxa"/>
            </w:tcMar>
            <w:vAlign w:val="top"/>
          </w:tcPr>
          <w:p w14:paraId="0FAC57C6">
            <w:pPr>
              <w:spacing w:after="40" w:line="240" w:lineRule="auto"/>
            </w:pPr>
            <w:r>
              <w:rPr>
                <w:sz w:val="17"/>
              </w:rPr>
              <w:t>A Transform Map is used to transfer data from the Import Set Table to the target Employee table. Employee ID, Name, Email, Department, and Location are mapped to their corresponding target fields. The Transform Map controls how the imported employee information is transformed and stored.</w:t>
            </w:r>
            <w:r>
              <w:rPr>
                <w:sz w:val="17"/>
              </w:rPr>
              <w:br w:type="textWrapping"/>
            </w:r>
            <w:r>
              <w:rPr>
                <w:sz w:val="17"/>
              </w:rPr>
              <w:br w:type="textWrapping"/>
            </w:r>
            <w:r>
              <w:rPr>
                <w:sz w:val="17"/>
              </w:rPr>
              <w:t>Screenshot: Insert screenshot of the Transform Map and field mappings.</w:t>
            </w:r>
          </w:p>
        </w:tc>
      </w:tr>
      <w:tr w14:paraId="03F641BB">
        <w:trPr>
          <w:jc w:val="center"/>
        </w:trPr>
        <w:tc>
          <w:tcPr>
            <w:tcW w:w="792" w:type="dxa"/>
            <w:tcMar>
              <w:top w:w="75" w:type="dxa"/>
              <w:left w:w="75" w:type="dxa"/>
              <w:bottom w:w="75" w:type="dxa"/>
              <w:right w:w="75" w:type="dxa"/>
            </w:tcMar>
            <w:vAlign w:val="top"/>
          </w:tcPr>
          <w:p w14:paraId="40411033">
            <w:pPr>
              <w:spacing w:after="40" w:line="240" w:lineRule="auto"/>
              <w:jc w:val="center"/>
            </w:pPr>
            <w:r>
              <w:rPr>
                <w:sz w:val="17"/>
              </w:rPr>
              <w:t>4</w:t>
            </w:r>
          </w:p>
        </w:tc>
        <w:tc>
          <w:tcPr>
            <w:tcW w:w="2736" w:type="dxa"/>
            <w:tcMar>
              <w:top w:w="75" w:type="dxa"/>
              <w:left w:w="75" w:type="dxa"/>
              <w:bottom w:w="75" w:type="dxa"/>
              <w:right w:w="75" w:type="dxa"/>
            </w:tcMar>
            <w:vAlign w:val="top"/>
          </w:tcPr>
          <w:p w14:paraId="0C45033B">
            <w:pPr>
              <w:spacing w:after="40" w:line="240" w:lineRule="auto"/>
            </w:pPr>
            <w:r>
              <w:rPr>
                <w:sz w:val="17"/>
              </w:rPr>
              <w:t>Coalesce / Unique Identifier Used</w:t>
            </w:r>
          </w:p>
        </w:tc>
        <w:tc>
          <w:tcPr>
            <w:tcW w:w="8496" w:type="dxa"/>
            <w:tcMar>
              <w:top w:w="75" w:type="dxa"/>
              <w:left w:w="75" w:type="dxa"/>
              <w:bottom w:w="75" w:type="dxa"/>
              <w:right w:w="75" w:type="dxa"/>
            </w:tcMar>
            <w:vAlign w:val="top"/>
          </w:tcPr>
          <w:p w14:paraId="3EF54BA7">
            <w:pPr>
              <w:spacing w:after="40" w:line="240" w:lineRule="auto"/>
            </w:pPr>
            <w:r>
              <w:rPr>
                <w:sz w:val="17"/>
              </w:rPr>
              <w:t>Employee ID is used as the coalesce field to identify existing employee records. If the Employee ID already exists, ServiceNow updates the existing employee record instead of creating a duplicate. If the Employee ID does not exist, a new employee record is inserted.</w:t>
            </w:r>
            <w:r>
              <w:rPr>
                <w:sz w:val="17"/>
              </w:rPr>
              <w:br w:type="textWrapping"/>
            </w:r>
            <w:r>
              <w:rPr>
                <w:sz w:val="17"/>
              </w:rPr>
              <w:br w:type="textWrapping"/>
            </w:r>
            <w:r>
              <w:rPr>
                <w:sz w:val="17"/>
              </w:rPr>
              <w:t>Screenshot: Insert screenshot showing Employee ID configured as the Coalesce field.</w:t>
            </w:r>
          </w:p>
        </w:tc>
      </w:tr>
      <w:tr w14:paraId="4FF1A5C1">
        <w:trPr>
          <w:jc w:val="center"/>
        </w:trPr>
        <w:tc>
          <w:tcPr>
            <w:tcW w:w="792" w:type="dxa"/>
            <w:tcMar>
              <w:top w:w="75" w:type="dxa"/>
              <w:left w:w="75" w:type="dxa"/>
              <w:bottom w:w="75" w:type="dxa"/>
              <w:right w:w="75" w:type="dxa"/>
            </w:tcMar>
            <w:vAlign w:val="top"/>
          </w:tcPr>
          <w:p w14:paraId="7F356290">
            <w:pPr>
              <w:spacing w:after="40" w:line="240" w:lineRule="auto"/>
              <w:jc w:val="center"/>
            </w:pPr>
            <w:r>
              <w:rPr>
                <w:sz w:val="17"/>
              </w:rPr>
              <w:t>5</w:t>
            </w:r>
          </w:p>
        </w:tc>
        <w:tc>
          <w:tcPr>
            <w:tcW w:w="2736" w:type="dxa"/>
            <w:tcMar>
              <w:top w:w="75" w:type="dxa"/>
              <w:left w:w="75" w:type="dxa"/>
              <w:bottom w:w="75" w:type="dxa"/>
              <w:right w:w="75" w:type="dxa"/>
            </w:tcMar>
            <w:vAlign w:val="top"/>
          </w:tcPr>
          <w:p w14:paraId="3AEAE37A">
            <w:pPr>
              <w:spacing w:after="40" w:line="240" w:lineRule="auto"/>
            </w:pPr>
            <w:r>
              <w:rPr>
                <w:sz w:val="17"/>
              </w:rPr>
              <w:t>Transform Data / Records Created or Updated</w:t>
            </w:r>
          </w:p>
        </w:tc>
        <w:tc>
          <w:tcPr>
            <w:tcW w:w="8496" w:type="dxa"/>
            <w:tcMar>
              <w:top w:w="75" w:type="dxa"/>
              <w:left w:w="75" w:type="dxa"/>
              <w:bottom w:w="75" w:type="dxa"/>
              <w:right w:w="75" w:type="dxa"/>
            </w:tcMar>
            <w:vAlign w:val="top"/>
          </w:tcPr>
          <w:p w14:paraId="20F22C87">
            <w:pPr>
              <w:spacing w:after="40" w:line="240" w:lineRule="auto"/>
            </w:pPr>
            <w:r>
              <w:rPr>
                <w:sz w:val="17"/>
              </w:rPr>
              <w:t>The Transform Data process transfers the validated employee information from the Import Set Table to the target Employee table. Existing records are updated when Employee ID matches, while new Employee IDs result in new records. This ensures that the imported information is stored correctly without unnecessary duplicate records.</w:t>
            </w:r>
            <w:r>
              <w:rPr>
                <w:sz w:val="17"/>
              </w:rPr>
              <w:br w:type="textWrapping"/>
            </w:r>
            <w:r>
              <w:rPr>
                <w:sz w:val="17"/>
              </w:rPr>
              <w:br w:type="textWrapping"/>
            </w:r>
            <w:r>
              <w:rPr>
                <w:sz w:val="17"/>
              </w:rPr>
              <w:t>Screenshot: Insert screenshot of the transformation result and created/updated Employee records.</w:t>
            </w:r>
          </w:p>
        </w:tc>
      </w:tr>
      <w:tr w14:paraId="0E8FE940">
        <w:trPr>
          <w:jc w:val="center"/>
        </w:trPr>
        <w:tc>
          <w:tcPr>
            <w:tcW w:w="792" w:type="dxa"/>
            <w:tcMar>
              <w:top w:w="75" w:type="dxa"/>
              <w:left w:w="75" w:type="dxa"/>
              <w:bottom w:w="75" w:type="dxa"/>
              <w:right w:w="75" w:type="dxa"/>
            </w:tcMar>
            <w:vAlign w:val="top"/>
          </w:tcPr>
          <w:p w14:paraId="5B428D9D">
            <w:pPr>
              <w:spacing w:after="40" w:line="240" w:lineRule="auto"/>
              <w:jc w:val="center"/>
            </w:pPr>
            <w:r>
              <w:rPr>
                <w:sz w:val="17"/>
              </w:rPr>
              <w:t>6</w:t>
            </w:r>
          </w:p>
        </w:tc>
        <w:tc>
          <w:tcPr>
            <w:tcW w:w="2736" w:type="dxa"/>
            <w:tcMar>
              <w:top w:w="75" w:type="dxa"/>
              <w:left w:w="75" w:type="dxa"/>
              <w:bottom w:w="75" w:type="dxa"/>
              <w:right w:w="75" w:type="dxa"/>
            </w:tcMar>
            <w:vAlign w:val="top"/>
          </w:tcPr>
          <w:p w14:paraId="1CB816C1">
            <w:pPr>
              <w:spacing w:after="40" w:line="240" w:lineRule="auto"/>
            </w:pPr>
            <w:r>
              <w:rPr>
                <w:sz w:val="17"/>
              </w:rPr>
              <w:t>Reports and Dashboard Design</w:t>
            </w:r>
          </w:p>
        </w:tc>
        <w:tc>
          <w:tcPr>
            <w:tcW w:w="8496" w:type="dxa"/>
            <w:tcMar>
              <w:top w:w="75" w:type="dxa"/>
              <w:left w:w="75" w:type="dxa"/>
              <w:bottom w:w="75" w:type="dxa"/>
              <w:right w:w="75" w:type="dxa"/>
            </w:tcMar>
            <w:vAlign w:val="top"/>
          </w:tcPr>
          <w:p w14:paraId="096E5270">
            <w:pPr>
              <w:spacing w:after="40" w:line="240" w:lineRule="auto"/>
            </w:pPr>
            <w:r>
              <w:rPr>
                <w:sz w:val="17"/>
              </w:rPr>
              <w:t>Reports and dashboards provide a visual overview of the imported employee data. Reports can display employee information based on Department, Location, and other relevant fields. A dashboard combines the reports into a single view, helping administrators monitor records, analyze the imported data, and identify trends.</w:t>
            </w:r>
            <w:r>
              <w:rPr>
                <w:sz w:val="17"/>
              </w:rPr>
              <w:br w:type="textWrapping"/>
            </w:r>
            <w:r>
              <w:rPr>
                <w:sz w:val="17"/>
              </w:rPr>
              <w:br w:type="textWrapping"/>
            </w:r>
            <w:r>
              <w:rPr>
                <w:sz w:val="17"/>
              </w:rPr>
              <w:t>Values: No. of Visualizations / Reports - ______</w:t>
            </w:r>
            <w:r>
              <w:rPr>
                <w:sz w:val="17"/>
              </w:rPr>
              <w:br w:type="textWrapping"/>
            </w:r>
            <w:r>
              <w:rPr>
                <w:sz w:val="17"/>
              </w:rPr>
              <w:t>Screenshot: Insert screenshot of the completed ServiceNow reports and dashboard.</w:t>
            </w:r>
          </w:p>
        </w:tc>
      </w:tr>
    </w:tbl>
    <w:p w14:paraId="643C52E7"/>
    <w:p w14:paraId="53CAE36D">
      <w:r>
        <w:rPr>
          <w:b/>
          <w:sz w:val="24"/>
        </w:rPr>
        <w:t>Expected Performance Result</w:t>
      </w:r>
    </w:p>
    <w:p w14:paraId="09051ED0">
      <w:pPr>
        <w:spacing w:after="40"/>
        <w:ind w:left="288"/>
      </w:pPr>
      <w:r>
        <w:t>• Spreadsheet employee data is successfully stored in the Import Set Table.</w:t>
      </w:r>
    </w:p>
    <w:p w14:paraId="5141F112">
      <w:pPr>
        <w:spacing w:after="40"/>
        <w:ind w:left="288"/>
      </w:pPr>
      <w:r>
        <w:t>• Employee ID, Name, Email, Department, and Location are mapped correctly through the Transform Map.</w:t>
      </w:r>
    </w:p>
    <w:p w14:paraId="7C47E17A">
      <w:pPr>
        <w:spacing w:after="40"/>
        <w:ind w:left="288"/>
      </w:pPr>
      <w:r>
        <w:t>• Required data is validated before transformation.</w:t>
      </w:r>
    </w:p>
    <w:p w14:paraId="02F80DD6">
      <w:pPr>
        <w:spacing w:after="40"/>
        <w:ind w:left="288"/>
      </w:pPr>
      <w:r>
        <w:t>• Employee ID coalesce prevents duplicate employee records.</w:t>
      </w:r>
    </w:p>
    <w:p w14:paraId="71224E1B">
      <w:pPr>
        <w:spacing w:after="40"/>
        <w:ind w:left="288"/>
      </w:pPr>
      <w:r>
        <w:t>• Matching Employee IDs update existing records; new Employee IDs create new records.</w:t>
      </w:r>
    </w:p>
    <w:p w14:paraId="0585227A">
      <w:pPr>
        <w:spacing w:after="40"/>
        <w:ind w:left="288"/>
      </w:pPr>
      <w:r>
        <w:t>• Reports and dashboards provide a consolidated view of the imported employee information.</w:t>
      </w:r>
      <w:bookmarkStart w:id="0" w:name="_GoBack"/>
      <w:bookmarkEnd w:id="0"/>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E75F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2026-10-03T21:47:45Z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BBE3607544A3305EA92AC16A99480E64_42</vt:lpwstr>
  </property>
</Properties>
</file>