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CEAE7">
      <w:pPr>
        <w:jc w:val="center"/>
      </w:pPr>
      <w:r>
        <w:rPr>
          <w:b/>
          <w:sz w:val="34"/>
        </w:rPr>
        <w:t>Project Development Phase</w:t>
      </w:r>
    </w:p>
    <w:p w14:paraId="7E665BB5">
      <w:pPr>
        <w:jc w:val="center"/>
      </w:pPr>
      <w:r>
        <w:rPr>
          <w:b/>
          <w:sz w:val="30"/>
        </w:rPr>
        <w:t>Import Data Using Transform Maps (Spreadsheet)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665224A0">
        <w:trPr>
          <w:jc w:val="center"/>
        </w:trPr>
        <w:tc>
          <w:tcPr>
            <w:tcW w:w="5328" w:type="dxa"/>
            <w:tcMar>
              <w:top w:w="80" w:type="dxa"/>
              <w:left w:w="80" w:type="dxa"/>
              <w:bottom w:w="80" w:type="dxa"/>
              <w:right w:w="80" w:type="dxa"/>
            </w:tcMar>
            <w:vAlign w:val="center"/>
          </w:tcPr>
          <w:p w14:paraId="225C96C3">
            <w:pPr>
              <w:spacing w:after="0" w:line="240" w:lineRule="auto"/>
            </w:pPr>
            <w:r>
              <w:rPr>
                <w:b/>
              </w:rPr>
              <w:t>Date</w:t>
            </w:r>
          </w:p>
        </w:tc>
        <w:tc>
          <w:tcPr>
            <w:tcW w:w="5328" w:type="dxa"/>
            <w:tcMar>
              <w:top w:w="80" w:type="dxa"/>
              <w:left w:w="80" w:type="dxa"/>
              <w:bottom w:w="80" w:type="dxa"/>
              <w:right w:w="80" w:type="dxa"/>
            </w:tcMar>
            <w:vAlign w:val="center"/>
          </w:tcPr>
          <w:p w14:paraId="73C46602">
            <w:pPr>
              <w:spacing w:after="0" w:line="240" w:lineRule="auto"/>
            </w:pPr>
            <w:r>
              <w:t>03 October 2026</w:t>
            </w:r>
          </w:p>
        </w:tc>
      </w:tr>
      <w:tr w14:paraId="50A129F8">
        <w:trPr>
          <w:jc w:val="center"/>
        </w:trPr>
        <w:tc>
          <w:tcPr>
            <w:tcW w:w="5328" w:type="dxa"/>
            <w:tcMar>
              <w:top w:w="80" w:type="dxa"/>
              <w:left w:w="80" w:type="dxa"/>
              <w:bottom w:w="80" w:type="dxa"/>
              <w:right w:w="80" w:type="dxa"/>
            </w:tcMar>
            <w:vAlign w:val="center"/>
          </w:tcPr>
          <w:p w14:paraId="6F531B2F">
            <w:pPr>
              <w:spacing w:after="0" w:line="240" w:lineRule="auto"/>
            </w:pPr>
            <w:r>
              <w:rPr>
                <w:b/>
              </w:rPr>
              <w:t>Team ID</w:t>
            </w:r>
          </w:p>
        </w:tc>
        <w:tc>
          <w:tcPr>
            <w:tcW w:w="5328" w:type="dxa"/>
            <w:tcMar>
              <w:top w:w="80" w:type="dxa"/>
              <w:left w:w="80" w:type="dxa"/>
              <w:bottom w:w="80" w:type="dxa"/>
              <w:right w:w="80" w:type="dxa"/>
            </w:tcMar>
            <w:vAlign w:val="center"/>
          </w:tcPr>
          <w:p w14:paraId="15D4CCA3">
            <w:pPr>
              <w:spacing w:after="0" w:line="240" w:lineRule="auto"/>
            </w:pPr>
            <w:r>
              <w:rPr>
                <w:rFonts w:hint="default"/>
              </w:rPr>
              <w:t>SWTID-2026-5432</w:t>
            </w:r>
          </w:p>
        </w:tc>
      </w:tr>
      <w:tr w14:paraId="7FCC23A8">
        <w:trPr>
          <w:jc w:val="center"/>
        </w:trPr>
        <w:tc>
          <w:tcPr>
            <w:tcW w:w="5328" w:type="dxa"/>
            <w:tcMar>
              <w:top w:w="80" w:type="dxa"/>
              <w:left w:w="80" w:type="dxa"/>
              <w:bottom w:w="80" w:type="dxa"/>
              <w:right w:w="80" w:type="dxa"/>
            </w:tcMar>
            <w:vAlign w:val="center"/>
          </w:tcPr>
          <w:p w14:paraId="5D0D53A4">
            <w:pPr>
              <w:spacing w:after="0" w:line="240" w:lineRule="auto"/>
            </w:pPr>
            <w:r>
              <w:rPr>
                <w:b/>
              </w:rPr>
              <w:t>Project Name</w:t>
            </w:r>
          </w:p>
        </w:tc>
        <w:tc>
          <w:tcPr>
            <w:tcW w:w="5328" w:type="dxa"/>
            <w:tcMar>
              <w:top w:w="80" w:type="dxa"/>
              <w:left w:w="80" w:type="dxa"/>
              <w:bottom w:w="80" w:type="dxa"/>
              <w:right w:w="80" w:type="dxa"/>
            </w:tcMar>
            <w:vAlign w:val="center"/>
          </w:tcPr>
          <w:p w14:paraId="5ED1D9E3">
            <w:pPr>
              <w:spacing w:after="0" w:line="240" w:lineRule="auto"/>
            </w:pPr>
            <w:r>
              <w:t>Import Data Using Transform Maps (Spreadsheet)</w:t>
            </w:r>
          </w:p>
        </w:tc>
      </w:tr>
      <w:tr w14:paraId="59F2A637">
        <w:trPr>
          <w:jc w:val="center"/>
        </w:trPr>
        <w:tc>
          <w:tcPr>
            <w:tcW w:w="5328" w:type="dxa"/>
            <w:tcMar>
              <w:top w:w="80" w:type="dxa"/>
              <w:left w:w="80" w:type="dxa"/>
              <w:bottom w:w="80" w:type="dxa"/>
              <w:right w:w="80" w:type="dxa"/>
            </w:tcMar>
            <w:vAlign w:val="center"/>
          </w:tcPr>
          <w:p w14:paraId="0C453A06">
            <w:pPr>
              <w:spacing w:after="0" w:line="240" w:lineRule="auto"/>
            </w:pPr>
            <w:r>
              <w:rPr>
                <w:b/>
              </w:rPr>
              <w:t>Maximum Marks</w:t>
            </w:r>
          </w:p>
        </w:tc>
        <w:tc>
          <w:tcPr>
            <w:tcW w:w="5328" w:type="dxa"/>
            <w:tcMar>
              <w:top w:w="80" w:type="dxa"/>
              <w:left w:w="80" w:type="dxa"/>
              <w:bottom w:w="80" w:type="dxa"/>
              <w:right w:w="80" w:type="dxa"/>
            </w:tcMar>
            <w:vAlign w:val="center"/>
          </w:tcPr>
          <w:p w14:paraId="2B232B72">
            <w:pPr>
              <w:spacing w:after="0" w:line="240" w:lineRule="auto"/>
            </w:pPr>
          </w:p>
        </w:tc>
      </w:tr>
    </w:tbl>
    <w:p w14:paraId="07A1604C"/>
    <w:p w14:paraId="41CF3254">
      <w:r>
        <w:rPr>
          <w:b/>
          <w:sz w:val="24"/>
        </w:rPr>
        <w:t>Import Data Using Transform Maps:</w:t>
      </w:r>
    </w:p>
    <w:p w14:paraId="33BC2EA6">
      <w:pPr>
        <w:spacing w:after="120"/>
      </w:pPr>
      <w:r>
        <w:t>The spreadsheet is used to import employee information into ServiceNow using Import Sets and Transform Maps. It contains Employee ID, Name, Email, Department, and Location. The uploaded spreadsheet data is first stored in an Import Set Table for temporary processing and validation. A Transform Map then transfers the data to the target Employee table. Employee ID is used as the unique identifier so that existing employees are updated and new employees are inserted as new records.</w:t>
      </w:r>
    </w:p>
    <w:p w14:paraId="2A880E95">
      <w:r>
        <w:rPr>
          <w:b/>
          <w:sz w:val="24"/>
        </w:rPr>
        <w:t>Process / Performance Testing:</w:t>
      </w:r>
    </w:p>
    <w:p w14:paraId="1CA786F2">
      <w:pPr>
        <w:spacing w:after="120"/>
      </w:pPr>
      <w:r>
        <w:t>The project team shall fill the following information in the project testing template, following the structure of the reference template. Each row describes an important part of the ServiceNow import and transformation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4"/>
        <w:gridCol w:w="2664"/>
        <w:gridCol w:w="2664"/>
        <w:gridCol w:w="2664"/>
      </w:tblGrid>
      <w:tr w14:paraId="3551155F">
        <w:trPr>
          <w:tblHeader/>
          <w:jc w:val="center"/>
        </w:trPr>
        <w:tc>
          <w:tcPr>
            <w:tcW w:w="648" w:type="dxa"/>
            <w:shd w:val="clear" w:color="auto" w:fill="D9EAF7"/>
            <w:tcMar>
              <w:top w:w="80" w:type="dxa"/>
              <w:left w:w="80" w:type="dxa"/>
              <w:bottom w:w="80" w:type="dxa"/>
              <w:right w:w="80" w:type="dxa"/>
            </w:tcMar>
            <w:vAlign w:val="center"/>
          </w:tcPr>
          <w:p w14:paraId="5B9D36C1">
            <w:pPr>
              <w:spacing w:after="0" w:line="240" w:lineRule="auto"/>
            </w:pPr>
            <w:r>
              <w:rPr>
                <w:b/>
                <w:sz w:val="19"/>
              </w:rPr>
              <w:t>S.No.</w:t>
            </w:r>
          </w:p>
        </w:tc>
        <w:tc>
          <w:tcPr>
            <w:tcW w:w="2088" w:type="dxa"/>
            <w:shd w:val="clear" w:color="auto" w:fill="D9EAF7"/>
            <w:tcMar>
              <w:top w:w="80" w:type="dxa"/>
              <w:left w:w="80" w:type="dxa"/>
              <w:bottom w:w="80" w:type="dxa"/>
              <w:right w:w="80" w:type="dxa"/>
            </w:tcMar>
            <w:vAlign w:val="center"/>
          </w:tcPr>
          <w:p w14:paraId="5D7A538E">
            <w:pPr>
              <w:spacing w:after="0" w:line="240" w:lineRule="auto"/>
            </w:pPr>
            <w:r>
              <w:rPr>
                <w:b/>
                <w:sz w:val="19"/>
              </w:rPr>
              <w:t>Parameter</w:t>
            </w:r>
          </w:p>
        </w:tc>
        <w:tc>
          <w:tcPr>
            <w:tcW w:w="6120" w:type="dxa"/>
            <w:shd w:val="clear" w:color="auto" w:fill="D9EAF7"/>
            <w:tcMar>
              <w:top w:w="80" w:type="dxa"/>
              <w:left w:w="80" w:type="dxa"/>
              <w:bottom w:w="80" w:type="dxa"/>
              <w:right w:w="80" w:type="dxa"/>
            </w:tcMar>
            <w:vAlign w:val="center"/>
          </w:tcPr>
          <w:p w14:paraId="19D46C79">
            <w:pPr>
              <w:spacing w:after="0" w:line="240" w:lineRule="auto"/>
            </w:pPr>
            <w:r>
              <w:rPr>
                <w:b/>
                <w:sz w:val="19"/>
              </w:rPr>
              <w:t>Values / Description</w:t>
            </w:r>
          </w:p>
        </w:tc>
        <w:tc>
          <w:tcPr>
            <w:tcW w:w="2520" w:type="dxa"/>
            <w:shd w:val="clear" w:color="auto" w:fill="D9EAF7"/>
            <w:tcMar>
              <w:top w:w="80" w:type="dxa"/>
              <w:left w:w="80" w:type="dxa"/>
              <w:bottom w:w="80" w:type="dxa"/>
              <w:right w:w="80" w:type="dxa"/>
            </w:tcMar>
            <w:vAlign w:val="center"/>
          </w:tcPr>
          <w:p w14:paraId="4A66C916">
            <w:pPr>
              <w:spacing w:after="0" w:line="240" w:lineRule="auto"/>
            </w:pPr>
            <w:r>
              <w:rPr>
                <w:b/>
                <w:sz w:val="19"/>
              </w:rPr>
              <w:t>Screenshot</w:t>
            </w:r>
          </w:p>
        </w:tc>
      </w:tr>
      <w:tr w14:paraId="421BE8DB">
        <w:trPr>
          <w:jc w:val="center"/>
        </w:trPr>
        <w:tc>
          <w:tcPr>
            <w:tcW w:w="648" w:type="dxa"/>
            <w:tcMar>
              <w:top w:w="75" w:type="dxa"/>
              <w:left w:w="75" w:type="dxa"/>
              <w:bottom w:w="75" w:type="dxa"/>
              <w:right w:w="75" w:type="dxa"/>
            </w:tcMar>
            <w:vAlign w:val="top"/>
          </w:tcPr>
          <w:p w14:paraId="48F64F11">
            <w:pPr>
              <w:spacing w:after="0" w:line="240" w:lineRule="auto"/>
              <w:jc w:val="center"/>
            </w:pPr>
            <w:r>
              <w:rPr>
                <w:sz w:val="17"/>
              </w:rPr>
              <w:t>1</w:t>
            </w:r>
          </w:p>
        </w:tc>
        <w:tc>
          <w:tcPr>
            <w:tcW w:w="2088" w:type="dxa"/>
            <w:tcMar>
              <w:top w:w="75" w:type="dxa"/>
              <w:left w:w="75" w:type="dxa"/>
              <w:bottom w:w="75" w:type="dxa"/>
              <w:right w:w="75" w:type="dxa"/>
            </w:tcMar>
            <w:vAlign w:val="top"/>
          </w:tcPr>
          <w:p w14:paraId="7A1C9BE5">
            <w:pPr>
              <w:spacing w:after="0" w:line="240" w:lineRule="auto"/>
            </w:pPr>
            <w:r>
              <w:rPr>
                <w:sz w:val="17"/>
              </w:rPr>
              <w:t>Project Summary</w:t>
            </w:r>
          </w:p>
        </w:tc>
        <w:tc>
          <w:tcPr>
            <w:tcW w:w="6120" w:type="dxa"/>
            <w:tcMar>
              <w:top w:w="75" w:type="dxa"/>
              <w:left w:w="75" w:type="dxa"/>
              <w:bottom w:w="75" w:type="dxa"/>
              <w:right w:w="75" w:type="dxa"/>
            </w:tcMar>
            <w:vAlign w:val="top"/>
          </w:tcPr>
          <w:p w14:paraId="37D5A062">
            <w:pPr>
              <w:spacing w:after="0" w:line="240" w:lineRule="auto"/>
            </w:pPr>
            <w:r>
              <w:rPr>
                <w:sz w:val="17"/>
              </w:rPr>
              <w:t>ServiceNow automation setup for importing employee data from a spreadsheet using Import Sets and Transform Maps. Employee information includes Employee ID, Name, Email, Department, and Location. The imported data is staged, validated, transformed, and stored in the target Employee table.</w:t>
            </w:r>
          </w:p>
        </w:tc>
        <w:tc>
          <w:tcPr>
            <w:tcW w:w="2520" w:type="dxa"/>
            <w:tcMar>
              <w:top w:w="75" w:type="dxa"/>
              <w:left w:w="75" w:type="dxa"/>
              <w:bottom w:w="75" w:type="dxa"/>
              <w:right w:w="75" w:type="dxa"/>
            </w:tcMar>
            <w:vAlign w:val="top"/>
          </w:tcPr>
          <w:p w14:paraId="6F9203CD">
            <w:pPr>
              <w:spacing w:after="0" w:line="240" w:lineRule="auto"/>
            </w:pPr>
            <w:r>
              <w:rPr>
                <w:sz w:val="17"/>
              </w:rPr>
              <w:t>Insert screenshot of the completed ServiceNow import setup here.</w:t>
            </w:r>
          </w:p>
        </w:tc>
      </w:tr>
      <w:tr w14:paraId="4FAF08D8">
        <w:trPr>
          <w:jc w:val="center"/>
        </w:trPr>
        <w:tc>
          <w:tcPr>
            <w:tcW w:w="648" w:type="dxa"/>
            <w:tcMar>
              <w:top w:w="75" w:type="dxa"/>
              <w:left w:w="75" w:type="dxa"/>
              <w:bottom w:w="75" w:type="dxa"/>
              <w:right w:w="75" w:type="dxa"/>
            </w:tcMar>
            <w:vAlign w:val="top"/>
          </w:tcPr>
          <w:p w14:paraId="5EF28FB6">
            <w:pPr>
              <w:spacing w:after="0" w:line="240" w:lineRule="auto"/>
              <w:jc w:val="center"/>
            </w:pPr>
            <w:r>
              <w:rPr>
                <w:sz w:val="17"/>
              </w:rPr>
              <w:t>2</w:t>
            </w:r>
          </w:p>
        </w:tc>
        <w:tc>
          <w:tcPr>
            <w:tcW w:w="2088" w:type="dxa"/>
            <w:tcMar>
              <w:top w:w="75" w:type="dxa"/>
              <w:left w:w="75" w:type="dxa"/>
              <w:bottom w:w="75" w:type="dxa"/>
              <w:right w:w="75" w:type="dxa"/>
            </w:tcMar>
            <w:vAlign w:val="top"/>
          </w:tcPr>
          <w:p w14:paraId="0744446E">
            <w:pPr>
              <w:spacing w:after="0" w:line="240" w:lineRule="auto"/>
            </w:pPr>
            <w:r>
              <w:rPr>
                <w:sz w:val="17"/>
              </w:rPr>
              <w:t>Import Set Table</w:t>
            </w:r>
          </w:p>
        </w:tc>
        <w:tc>
          <w:tcPr>
            <w:tcW w:w="6120" w:type="dxa"/>
            <w:tcMar>
              <w:top w:w="75" w:type="dxa"/>
              <w:left w:w="75" w:type="dxa"/>
              <w:bottom w:w="75" w:type="dxa"/>
              <w:right w:w="75" w:type="dxa"/>
            </w:tcMar>
            <w:vAlign w:val="top"/>
          </w:tcPr>
          <w:p w14:paraId="729469BB">
            <w:pPr>
              <w:spacing w:after="0" w:line="240" w:lineRule="auto"/>
            </w:pPr>
            <w:r>
              <w:rPr>
                <w:sz w:val="17"/>
              </w:rPr>
              <w:t>The Import Set Table is a temporary staging table used to store employee data uploaded from the spreadsheet before final processing. It contains fields such as Employee ID, Name, Email, Department, and Location. The staging table allows the imported records to be checked before they are transformed into employee records.</w:t>
            </w:r>
          </w:p>
        </w:tc>
        <w:tc>
          <w:tcPr>
            <w:tcW w:w="2520" w:type="dxa"/>
            <w:tcMar>
              <w:top w:w="75" w:type="dxa"/>
              <w:left w:w="75" w:type="dxa"/>
              <w:bottom w:w="75" w:type="dxa"/>
              <w:right w:w="75" w:type="dxa"/>
            </w:tcMar>
            <w:vAlign w:val="top"/>
          </w:tcPr>
          <w:p w14:paraId="729759CF">
            <w:pPr>
              <w:spacing w:after="0" w:line="240" w:lineRule="auto"/>
            </w:pPr>
            <w:r>
              <w:rPr>
                <w:sz w:val="17"/>
              </w:rPr>
              <w:t>Insert screenshot of Import Set Table and imported records here.</w:t>
            </w:r>
          </w:p>
        </w:tc>
      </w:tr>
      <w:tr w14:paraId="5D005394">
        <w:trPr>
          <w:jc w:val="center"/>
        </w:trPr>
        <w:tc>
          <w:tcPr>
            <w:tcW w:w="648" w:type="dxa"/>
            <w:tcMar>
              <w:top w:w="75" w:type="dxa"/>
              <w:left w:w="75" w:type="dxa"/>
              <w:bottom w:w="75" w:type="dxa"/>
              <w:right w:w="75" w:type="dxa"/>
            </w:tcMar>
            <w:vAlign w:val="top"/>
          </w:tcPr>
          <w:p w14:paraId="36C8A0DC">
            <w:pPr>
              <w:spacing w:after="0" w:line="240" w:lineRule="auto"/>
              <w:jc w:val="center"/>
            </w:pPr>
            <w:r>
              <w:rPr>
                <w:sz w:val="17"/>
              </w:rPr>
              <w:t>3</w:t>
            </w:r>
          </w:p>
        </w:tc>
        <w:tc>
          <w:tcPr>
            <w:tcW w:w="2088" w:type="dxa"/>
            <w:tcMar>
              <w:top w:w="75" w:type="dxa"/>
              <w:left w:w="75" w:type="dxa"/>
              <w:bottom w:w="75" w:type="dxa"/>
              <w:right w:w="75" w:type="dxa"/>
            </w:tcMar>
            <w:vAlign w:val="top"/>
          </w:tcPr>
          <w:p w14:paraId="768CF9FB">
            <w:pPr>
              <w:spacing w:after="0" w:line="240" w:lineRule="auto"/>
            </w:pPr>
            <w:r>
              <w:rPr>
                <w:sz w:val="17"/>
              </w:rPr>
              <w:t>Transform Map</w:t>
            </w:r>
          </w:p>
        </w:tc>
        <w:tc>
          <w:tcPr>
            <w:tcW w:w="6120" w:type="dxa"/>
            <w:tcMar>
              <w:top w:w="75" w:type="dxa"/>
              <w:left w:w="75" w:type="dxa"/>
              <w:bottom w:w="75" w:type="dxa"/>
              <w:right w:w="75" w:type="dxa"/>
            </w:tcMar>
            <w:vAlign w:val="top"/>
          </w:tcPr>
          <w:p w14:paraId="7AFD7DCB">
            <w:pPr>
              <w:spacing w:after="0" w:line="240" w:lineRule="auto"/>
            </w:pPr>
            <w:r>
              <w:rPr>
                <w:sz w:val="17"/>
              </w:rPr>
              <w:t>The Transform Map defines how fields from the Import Set Table are transferred to the target Employee table. Employee ID, Name, Email, Department, and Location are mapped to their corresponding target fields. Employee ID is configured as the coalesce field to identify existing employees.</w:t>
            </w:r>
          </w:p>
        </w:tc>
        <w:tc>
          <w:tcPr>
            <w:tcW w:w="2520" w:type="dxa"/>
            <w:tcMar>
              <w:top w:w="75" w:type="dxa"/>
              <w:left w:w="75" w:type="dxa"/>
              <w:bottom w:w="75" w:type="dxa"/>
              <w:right w:w="75" w:type="dxa"/>
            </w:tcMar>
            <w:vAlign w:val="top"/>
          </w:tcPr>
          <w:p w14:paraId="5DAA471B">
            <w:pPr>
              <w:spacing w:after="0" w:line="240" w:lineRule="auto"/>
            </w:pPr>
            <w:r>
              <w:rPr>
                <w:sz w:val="17"/>
              </w:rPr>
              <w:t>Insert screenshot of Transform Map field mappings here.</w:t>
            </w:r>
          </w:p>
        </w:tc>
      </w:tr>
      <w:tr w14:paraId="79AE18C9">
        <w:trPr>
          <w:jc w:val="center"/>
        </w:trPr>
        <w:tc>
          <w:tcPr>
            <w:tcW w:w="648" w:type="dxa"/>
            <w:tcMar>
              <w:top w:w="75" w:type="dxa"/>
              <w:left w:w="75" w:type="dxa"/>
              <w:bottom w:w="75" w:type="dxa"/>
              <w:right w:w="75" w:type="dxa"/>
            </w:tcMar>
            <w:vAlign w:val="top"/>
          </w:tcPr>
          <w:p w14:paraId="17D94B28">
            <w:pPr>
              <w:spacing w:after="0" w:line="240" w:lineRule="auto"/>
              <w:jc w:val="center"/>
            </w:pPr>
            <w:r>
              <w:rPr>
                <w:sz w:val="17"/>
              </w:rPr>
              <w:t>4</w:t>
            </w:r>
          </w:p>
        </w:tc>
        <w:tc>
          <w:tcPr>
            <w:tcW w:w="2088" w:type="dxa"/>
            <w:tcMar>
              <w:top w:w="75" w:type="dxa"/>
              <w:left w:w="75" w:type="dxa"/>
              <w:bottom w:w="75" w:type="dxa"/>
              <w:right w:w="75" w:type="dxa"/>
            </w:tcMar>
            <w:vAlign w:val="top"/>
          </w:tcPr>
          <w:p w14:paraId="3FBC0177">
            <w:pPr>
              <w:spacing w:after="0" w:line="240" w:lineRule="auto"/>
            </w:pPr>
            <w:r>
              <w:rPr>
                <w:sz w:val="17"/>
              </w:rPr>
              <w:t>Transform Data</w:t>
            </w:r>
          </w:p>
        </w:tc>
        <w:tc>
          <w:tcPr>
            <w:tcW w:w="6120" w:type="dxa"/>
            <w:tcMar>
              <w:top w:w="75" w:type="dxa"/>
              <w:left w:w="75" w:type="dxa"/>
              <w:bottom w:w="75" w:type="dxa"/>
              <w:right w:w="75" w:type="dxa"/>
            </w:tcMar>
            <w:vAlign w:val="top"/>
          </w:tcPr>
          <w:p w14:paraId="254DCD4F">
            <w:pPr>
              <w:spacing w:after="0" w:line="240" w:lineRule="auto"/>
            </w:pPr>
            <w:r>
              <w:rPr>
                <w:sz w:val="17"/>
              </w:rPr>
              <w:t>The Transform Data process transfers employee information from the Import Set Table to the target Employee table using the Transform Map. It maps and converts Employee ID, Name, Email, Department, and Location and ensures that the imported information is stored correctly in the target table.</w:t>
            </w:r>
          </w:p>
        </w:tc>
        <w:tc>
          <w:tcPr>
            <w:tcW w:w="2520" w:type="dxa"/>
            <w:tcMar>
              <w:top w:w="75" w:type="dxa"/>
              <w:left w:w="75" w:type="dxa"/>
              <w:bottom w:w="75" w:type="dxa"/>
              <w:right w:w="75" w:type="dxa"/>
            </w:tcMar>
            <w:vAlign w:val="top"/>
          </w:tcPr>
          <w:p w14:paraId="232B8AE8">
            <w:pPr>
              <w:spacing w:after="0" w:line="240" w:lineRule="auto"/>
            </w:pPr>
            <w:r>
              <w:rPr>
                <w:sz w:val="17"/>
              </w:rPr>
              <w:t>Insert screenshot of Transform Data / transformation result here.</w:t>
            </w:r>
          </w:p>
        </w:tc>
      </w:tr>
      <w:tr w14:paraId="29E65FEF">
        <w:trPr>
          <w:jc w:val="center"/>
        </w:trPr>
        <w:tc>
          <w:tcPr>
            <w:tcW w:w="648" w:type="dxa"/>
            <w:tcMar>
              <w:top w:w="75" w:type="dxa"/>
              <w:left w:w="75" w:type="dxa"/>
              <w:bottom w:w="75" w:type="dxa"/>
              <w:right w:w="75" w:type="dxa"/>
            </w:tcMar>
            <w:vAlign w:val="top"/>
          </w:tcPr>
          <w:p w14:paraId="401FA9F5">
            <w:pPr>
              <w:spacing w:after="0" w:line="240" w:lineRule="auto"/>
              <w:jc w:val="center"/>
            </w:pPr>
            <w:r>
              <w:rPr>
                <w:sz w:val="17"/>
              </w:rPr>
              <w:t>5</w:t>
            </w:r>
          </w:p>
        </w:tc>
        <w:tc>
          <w:tcPr>
            <w:tcW w:w="2088" w:type="dxa"/>
            <w:tcMar>
              <w:top w:w="75" w:type="dxa"/>
              <w:left w:w="75" w:type="dxa"/>
              <w:bottom w:w="75" w:type="dxa"/>
              <w:right w:w="75" w:type="dxa"/>
            </w:tcMar>
            <w:vAlign w:val="top"/>
          </w:tcPr>
          <w:p w14:paraId="0D9C1BAA">
            <w:pPr>
              <w:spacing w:after="0" w:line="240" w:lineRule="auto"/>
            </w:pPr>
            <w:r>
              <w:rPr>
                <w:sz w:val="17"/>
              </w:rPr>
              <w:t>Validate Data</w:t>
            </w:r>
          </w:p>
        </w:tc>
        <w:tc>
          <w:tcPr>
            <w:tcW w:w="6120" w:type="dxa"/>
            <w:tcMar>
              <w:top w:w="75" w:type="dxa"/>
              <w:left w:w="75" w:type="dxa"/>
              <w:bottom w:w="75" w:type="dxa"/>
              <w:right w:w="75" w:type="dxa"/>
            </w:tcMar>
            <w:vAlign w:val="top"/>
          </w:tcPr>
          <w:p w14:paraId="3521373B">
            <w:pPr>
              <w:spacing w:after="0" w:line="240" w:lineRule="auto"/>
            </w:pPr>
            <w:r>
              <w:rPr>
                <w:sz w:val="17"/>
              </w:rPr>
              <w:t>The Validate Data process checks the imported employee information before it is added to the target table. It ensures that required fields such as Employee ID, Name, and Email contain valid data and helps identify incorrect or incomplete records so that they can be corrected.</w:t>
            </w:r>
          </w:p>
        </w:tc>
        <w:tc>
          <w:tcPr>
            <w:tcW w:w="2520" w:type="dxa"/>
            <w:tcMar>
              <w:top w:w="75" w:type="dxa"/>
              <w:left w:w="75" w:type="dxa"/>
              <w:bottom w:w="75" w:type="dxa"/>
              <w:right w:w="75" w:type="dxa"/>
            </w:tcMar>
            <w:vAlign w:val="top"/>
          </w:tcPr>
          <w:p w14:paraId="354B2B55">
            <w:pPr>
              <w:spacing w:after="0" w:line="240" w:lineRule="auto"/>
            </w:pPr>
            <w:r>
              <w:rPr>
                <w:sz w:val="17"/>
              </w:rPr>
              <w:t>Insert screenshot showing validation or error records here.</w:t>
            </w:r>
          </w:p>
        </w:tc>
      </w:tr>
      <w:tr w14:paraId="48DDFCA5">
        <w:trPr>
          <w:jc w:val="center"/>
        </w:trPr>
        <w:tc>
          <w:tcPr>
            <w:tcW w:w="648" w:type="dxa"/>
            <w:tcMar>
              <w:top w:w="75" w:type="dxa"/>
              <w:left w:w="75" w:type="dxa"/>
              <w:bottom w:w="75" w:type="dxa"/>
              <w:right w:w="75" w:type="dxa"/>
            </w:tcMar>
            <w:vAlign w:val="top"/>
          </w:tcPr>
          <w:p w14:paraId="63682E52">
            <w:pPr>
              <w:spacing w:after="0" w:line="240" w:lineRule="auto"/>
              <w:jc w:val="center"/>
            </w:pPr>
            <w:r>
              <w:rPr>
                <w:sz w:val="17"/>
              </w:rPr>
              <w:t>6</w:t>
            </w:r>
          </w:p>
        </w:tc>
        <w:tc>
          <w:tcPr>
            <w:tcW w:w="2088" w:type="dxa"/>
            <w:tcMar>
              <w:top w:w="75" w:type="dxa"/>
              <w:left w:w="75" w:type="dxa"/>
              <w:bottom w:w="75" w:type="dxa"/>
              <w:right w:w="75" w:type="dxa"/>
            </w:tcMar>
            <w:vAlign w:val="top"/>
          </w:tcPr>
          <w:p w14:paraId="285479FA">
            <w:pPr>
              <w:spacing w:after="0" w:line="240" w:lineRule="auto"/>
            </w:pPr>
            <w:r>
              <w:rPr>
                <w:sz w:val="17"/>
              </w:rPr>
              <w:t>Enable Coalesce to Avoid Duplicate Records</w:t>
            </w:r>
          </w:p>
        </w:tc>
        <w:tc>
          <w:tcPr>
            <w:tcW w:w="6120" w:type="dxa"/>
            <w:tcMar>
              <w:top w:w="75" w:type="dxa"/>
              <w:left w:w="75" w:type="dxa"/>
              <w:bottom w:w="75" w:type="dxa"/>
              <w:right w:w="75" w:type="dxa"/>
            </w:tcMar>
            <w:vAlign w:val="top"/>
          </w:tcPr>
          <w:p w14:paraId="5BD67E62">
            <w:pPr>
              <w:spacing w:after="0" w:line="240" w:lineRule="auto"/>
            </w:pPr>
            <w:r>
              <w:rPr>
                <w:sz w:val="17"/>
              </w:rPr>
              <w:t>Coalesce uses a unique field such as Employee ID to identify an existing employee. If the Employee ID already exists, ServiceNow updates the existing record instead of creating a duplicate. If the Employee ID does not exist, ServiceNow creates a new employee record.</w:t>
            </w:r>
          </w:p>
        </w:tc>
        <w:tc>
          <w:tcPr>
            <w:tcW w:w="2520" w:type="dxa"/>
            <w:tcMar>
              <w:top w:w="75" w:type="dxa"/>
              <w:left w:w="75" w:type="dxa"/>
              <w:bottom w:w="75" w:type="dxa"/>
              <w:right w:w="75" w:type="dxa"/>
            </w:tcMar>
            <w:vAlign w:val="top"/>
          </w:tcPr>
          <w:p w14:paraId="6C03B33C">
            <w:pPr>
              <w:spacing w:after="0" w:line="240" w:lineRule="auto"/>
            </w:pPr>
            <w:r>
              <w:rPr>
                <w:sz w:val="17"/>
              </w:rPr>
              <w:t>Insert screenshot showing Employee ID configured as Coalesce here.</w:t>
            </w:r>
          </w:p>
        </w:tc>
      </w:tr>
      <w:tr w14:paraId="6DF8310E">
        <w:trPr>
          <w:jc w:val="center"/>
        </w:trPr>
        <w:tc>
          <w:tcPr>
            <w:tcW w:w="648" w:type="dxa"/>
            <w:tcMar>
              <w:top w:w="75" w:type="dxa"/>
              <w:left w:w="75" w:type="dxa"/>
              <w:bottom w:w="75" w:type="dxa"/>
              <w:right w:w="75" w:type="dxa"/>
            </w:tcMar>
            <w:vAlign w:val="top"/>
          </w:tcPr>
          <w:p w14:paraId="0B8CFB67">
            <w:pPr>
              <w:spacing w:after="0" w:line="240" w:lineRule="auto"/>
              <w:jc w:val="center"/>
            </w:pPr>
            <w:r>
              <w:rPr>
                <w:sz w:val="17"/>
              </w:rPr>
              <w:t>7</w:t>
            </w:r>
          </w:p>
        </w:tc>
        <w:tc>
          <w:tcPr>
            <w:tcW w:w="2088" w:type="dxa"/>
            <w:tcMar>
              <w:top w:w="75" w:type="dxa"/>
              <w:left w:w="75" w:type="dxa"/>
              <w:bottom w:w="75" w:type="dxa"/>
              <w:right w:w="75" w:type="dxa"/>
            </w:tcMar>
            <w:vAlign w:val="top"/>
          </w:tcPr>
          <w:p w14:paraId="6633FDD9">
            <w:pPr>
              <w:spacing w:after="0" w:line="240" w:lineRule="auto"/>
            </w:pPr>
            <w:r>
              <w:rPr>
                <w:sz w:val="17"/>
              </w:rPr>
              <w:t>Reports and Dashboards</w:t>
            </w:r>
          </w:p>
        </w:tc>
        <w:tc>
          <w:tcPr>
            <w:tcW w:w="6120" w:type="dxa"/>
            <w:tcMar>
              <w:top w:w="75" w:type="dxa"/>
              <w:left w:w="75" w:type="dxa"/>
              <w:bottom w:w="75" w:type="dxa"/>
              <w:right w:w="75" w:type="dxa"/>
            </w:tcMar>
            <w:vAlign w:val="top"/>
          </w:tcPr>
          <w:p w14:paraId="0743065E">
            <w:pPr>
              <w:spacing w:after="0" w:line="240" w:lineRule="auto"/>
            </w:pPr>
            <w:r>
              <w:rPr>
                <w:sz w:val="17"/>
              </w:rPr>
              <w:t>The Reports and Dashboards module provides a visual overview of the employee data imported into ServiceNow. Reports can display employee information by Department, Location, and other relevant fields. A dashboard combines these reports into a single view to help administrators monitor employee records, analyze data, identify trends, and support data-driven decisions.</w:t>
            </w:r>
          </w:p>
        </w:tc>
        <w:tc>
          <w:tcPr>
            <w:tcW w:w="2520" w:type="dxa"/>
            <w:tcMar>
              <w:top w:w="75" w:type="dxa"/>
              <w:left w:w="75" w:type="dxa"/>
              <w:bottom w:w="75" w:type="dxa"/>
              <w:right w:w="75" w:type="dxa"/>
            </w:tcMar>
            <w:vAlign w:val="top"/>
          </w:tcPr>
          <w:p w14:paraId="7910D1F5">
            <w:pPr>
              <w:spacing w:after="0" w:line="240" w:lineRule="auto"/>
            </w:pPr>
            <w:r>
              <w:rPr>
                <w:sz w:val="17"/>
              </w:rPr>
              <w:t>Insert screenshot of employee report and dashboard here.</w:t>
            </w:r>
          </w:p>
        </w:tc>
      </w:tr>
    </w:tbl>
    <w:p w14:paraId="6981C763"/>
    <w:p w14:paraId="1AAF5951">
      <w:r>
        <w:rPr>
          <w:b/>
          <w:sz w:val="24"/>
        </w:rPr>
        <w:t>Expected Outcome</w:t>
      </w:r>
    </w:p>
    <w:p w14:paraId="45E8D5DF">
      <w:pPr>
        <w:spacing w:after="40"/>
        <w:ind w:left="288"/>
      </w:pPr>
      <w:r>
        <w:t>• Employee data from the spreadsheet is successfully loaded into the Import Set Table.</w:t>
      </w:r>
    </w:p>
    <w:p w14:paraId="424CC3C2">
      <w:pPr>
        <w:spacing w:after="40"/>
        <w:ind w:left="288"/>
      </w:pPr>
      <w:r>
        <w:t>• Imported fields are mapped correctly to the corresponding Employee table fields.</w:t>
      </w:r>
    </w:p>
    <w:p w14:paraId="791A27BA">
      <w:pPr>
        <w:spacing w:after="40"/>
        <w:ind w:left="288"/>
      </w:pPr>
      <w:r>
        <w:t>• Required employee information is validated before transformation.</w:t>
      </w:r>
    </w:p>
    <w:p w14:paraId="5C34A7A5">
      <w:pPr>
        <w:spacing w:after="40"/>
        <w:ind w:left="288"/>
      </w:pPr>
      <w:r>
        <w:t>• Employee ID is used as the coalesce field to prevent duplicate employee records.</w:t>
      </w:r>
    </w:p>
    <w:p w14:paraId="67AB4C41">
      <w:pPr>
        <w:spacing w:after="40"/>
        <w:ind w:left="288"/>
      </w:pPr>
      <w:r>
        <w:t>• Existing employee records are updated and new employee records are inserted.</w:t>
      </w:r>
    </w:p>
    <w:p w14:paraId="4CFC678A">
      <w:pPr>
        <w:spacing w:after="40"/>
        <w:ind w:left="288"/>
      </w:pPr>
      <w:r>
        <w:t>• Reports and dashboards provide a consolidated view of the imported employee data.</w:t>
      </w:r>
      <w:bookmarkStart w:id="0" w:name="_GoBack"/>
      <w:bookmarkEnd w:id="0"/>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7B49C2"/>
    <w:rsid w:val="BFEEAE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Keertanaa ramesh</cp:lastModifiedBy>
  <dcterms:modified xsi:type="dcterms:W3CDTF">2026-10-03T21:46:47Z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0BD5E93A1867D5A4472AC16AB37FA2CD_42</vt:lpwstr>
  </property>
</Properties>
</file>