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PROBLEM–SOLUTION FIT — SERVICENOW EMPLOYEE DATA IMPORT</w:t>
      </w:r>
    </w:p>
    <w:p>
      <w:pPr>
        <w:jc w:val="center"/>
      </w:pPr>
      <w:r>
        <w:rPr>
          <w:b/>
          <w:sz w:val="22"/>
        </w:rPr>
        <w:t>Topic: Import Data using Transform Maps (Spreadsheet)</w:t>
      </w:r>
    </w:p>
    <w:p>
      <w:pPr>
        <w:jc w:val="center"/>
      </w:pPr>
      <w:r>
        <w:rPr>
          <w:i/>
          <w:sz w:val="16"/>
        </w:rPr>
        <w:t>Reference: Problem–Solution Fit template by Daria Nepriakhina / Amaltama.com</w:t>
      </w:r>
    </w:p>
    <w:tbl>
      <w:tblPr>
        <w:tblW w:type="auto" w:w="0"/>
        <w:jc w:val="center"/>
        <w:tblLayout w:type="fixed"/>
        <w:tblLook w:firstColumn="1" w:firstRow="1" w:lastColumn="0" w:lastRow="0" w:noHBand="0" w:noVBand="1" w:val="04A0"/>
        <w:tblBorders>
          <w:top w:val="single" w:sz="4" w:space="0"/>
          <w:left w:val="single" w:sz="4" w:space="0"/>
          <w:bottom w:val="single" w:sz="4" w:space="0"/>
          <w:right w:val="single" w:sz="4" w:space="0"/>
          <w:insideH w:val="single" w:sz="4" w:space="0"/>
          <w:insideV w:val="single" w:sz="4" w:space="0"/>
        </w:tblBorders>
      </w:tblPr>
      <w:tblGrid>
        <w:gridCol w:w="4464"/>
        <w:gridCol w:w="14544"/>
      </w:tblGrid>
      <w:tr>
        <w:tc>
          <w:tcPr>
            <w:tcW w:type="dxa" w:w="7344"/>
            <w:vAlign w:val="center"/>
          </w:tcPr>
          <w:p>
            <w:r>
              <w:rPr>
                <w:b/>
                <w:sz w:val="19"/>
              </w:rPr>
              <w:t>TEMPLATE AREA</w:t>
            </w:r>
          </w:p>
        </w:tc>
        <w:tc>
          <w:tcPr>
            <w:tcW w:type="dxa" w:w="7344"/>
            <w:vAlign w:val="center"/>
          </w:tcPr>
          <w:p>
            <w:r>
              <w:rPr>
                <w:b/>
                <w:sz w:val="19"/>
              </w:rPr>
              <w:t>PROJECT-SPECIFIC DESCRIPTION</w:t>
            </w:r>
          </w:p>
        </w:tc>
      </w:tr>
      <w:tr>
        <w:tc>
          <w:tcPr>
            <w:tcW w:type="dxa" w:w="4464"/>
            <w:vAlign w:val="top"/>
          </w:tcPr>
          <w:p>
            <w:r>
              <w:rPr>
                <w:b/>
                <w:sz w:val="18"/>
              </w:rPr>
              <w:t>1. CUSTOMER SEGMENT(S)</w:t>
            </w:r>
          </w:p>
        </w:tc>
        <w:tc>
          <w:tcPr>
            <w:tcW w:type="dxa" w:w="14544"/>
            <w:vAlign w:val="top"/>
          </w:tcPr>
          <w:p>
            <w:r>
              <w:rPr>
                <w:sz w:val="16"/>
              </w:rPr>
              <w:t>ServiceNow administrators, HR/employee-data administrators, and IT service teams responsible for maintaining employee records.</w:t>
            </w:r>
          </w:p>
          <w:p>
            <w:r>
              <w:rPr>
                <w:b/>
                <w:sz w:val="15"/>
              </w:rPr>
              <w:t xml:space="preserve">Template focus: </w:t>
            </w:r>
            <w:r>
              <w:rPr>
                <w:sz w:val="15"/>
              </w:rPr>
              <w:t>Who is the customer? The people and teams who import, maintain, validate, and monitor employee information in ServiceNow.</w:t>
            </w:r>
          </w:p>
        </w:tc>
      </w:tr>
      <w:tr>
        <w:tc>
          <w:tcPr>
            <w:tcW w:type="dxa" w:w="4464"/>
            <w:vAlign w:val="top"/>
          </w:tcPr>
          <w:p>
            <w:r>
              <w:rPr>
                <w:b/>
                <w:sz w:val="18"/>
              </w:rPr>
              <w:t>2. JOBS-TO-BE-DONE / PROBLEMS</w:t>
            </w:r>
          </w:p>
        </w:tc>
        <w:tc>
          <w:tcPr>
            <w:tcW w:type="dxa" w:w="14544"/>
            <w:vAlign w:val="top"/>
          </w:tcPr>
          <w:p>
            <w:r>
              <w:rPr>
                <w:sz w:val="16"/>
              </w:rPr>
              <w:t>Import employee information from a spreadsheet into ServiceNow and accurately transfer Employee ID, Name, Email, Department, and Location into the target Employee table without unnecessary manual entry or duplicate records.</w:t>
            </w:r>
          </w:p>
          <w:p>
            <w:r>
              <w:rPr>
                <w:b/>
                <w:sz w:val="15"/>
              </w:rPr>
              <w:t xml:space="preserve">Template focus: </w:t>
            </w:r>
            <w:r>
              <w:rPr>
                <w:sz w:val="15"/>
              </w:rPr>
              <w:t>Which jobs/problems are addressed? Reliable spreadsheet-to-ServiceNow data transfer, validation, and record matching.</w:t>
            </w:r>
          </w:p>
        </w:tc>
      </w:tr>
      <w:tr>
        <w:tc>
          <w:tcPr>
            <w:tcW w:type="dxa" w:w="4464"/>
            <w:vAlign w:val="top"/>
          </w:tcPr>
          <w:p>
            <w:r>
              <w:rPr>
                <w:b/>
                <w:sz w:val="18"/>
              </w:rPr>
              <w:t>3. TRIGGERS</w:t>
            </w:r>
          </w:p>
        </w:tc>
        <w:tc>
          <w:tcPr>
            <w:tcW w:type="dxa" w:w="14544"/>
            <w:vAlign w:val="top"/>
          </w:tcPr>
          <w:p>
            <w:r>
              <w:rPr>
                <w:sz w:val="16"/>
              </w:rPr>
              <w:t>A new employee-data spreadsheet is received, employee details change, new employees need to be added, or an administrator needs to synchronize spreadsheet data with ServiceNow.</w:t>
            </w:r>
          </w:p>
          <w:p>
            <w:r>
              <w:rPr>
                <w:b/>
                <w:sz w:val="15"/>
              </w:rPr>
              <w:t xml:space="preserve">Template focus: </w:t>
            </w:r>
            <w:r>
              <w:rPr>
                <w:sz w:val="15"/>
              </w:rPr>
              <w:t>What triggers action? The availability of new or changed employee information and the need to update the Employee table.</w:t>
            </w:r>
          </w:p>
        </w:tc>
      </w:tr>
      <w:tr>
        <w:tc>
          <w:tcPr>
            <w:tcW w:type="dxa" w:w="4464"/>
            <w:vAlign w:val="top"/>
          </w:tcPr>
          <w:p>
            <w:r>
              <w:rPr>
                <w:b/>
                <w:sz w:val="18"/>
              </w:rPr>
              <w:t>4. EMOTIONS: BEFORE / AFTER</w:t>
            </w:r>
          </w:p>
        </w:tc>
        <w:tc>
          <w:tcPr>
            <w:tcW w:type="dxa" w:w="14544"/>
            <w:vAlign w:val="top"/>
          </w:tcPr>
          <w:p>
            <w:r>
              <w:rPr>
                <w:sz w:val="16"/>
              </w:rPr>
              <w:t>BEFORE: Uncertainty about incorrect fields, incomplete records, and duplicate employee records.</w:t>
              <w:br/>
              <w:t>AFTER: Greater confidence that employee data has been validated, mapped, and stored correctly.</w:t>
            </w:r>
          </w:p>
          <w:p>
            <w:r>
              <w:rPr>
                <w:b/>
                <w:sz w:val="15"/>
              </w:rPr>
              <w:t xml:space="preserve">Template focus: </w:t>
            </w:r>
            <w:r>
              <w:rPr>
                <w:sz w:val="15"/>
              </w:rPr>
              <w:t>How do customers feel before and after the job? The process reduces uncertainty during data import and improves confidence in the resulting records.</w:t>
            </w:r>
          </w:p>
        </w:tc>
      </w:tr>
      <w:tr>
        <w:tc>
          <w:tcPr>
            <w:tcW w:type="dxa" w:w="4464"/>
            <w:vAlign w:val="top"/>
          </w:tcPr>
          <w:p>
            <w:r>
              <w:rPr>
                <w:b/>
                <w:sz w:val="18"/>
              </w:rPr>
              <w:t>5. AVAILABLE SOLUTIONS</w:t>
            </w:r>
          </w:p>
        </w:tc>
        <w:tc>
          <w:tcPr>
            <w:tcW w:type="dxa" w:w="14544"/>
            <w:vAlign w:val="top"/>
          </w:tcPr>
          <w:p>
            <w:r>
              <w:rPr>
                <w:sz w:val="16"/>
              </w:rPr>
              <w:t>Manual data entry, spreadsheet uploads, ServiceNow Import Sets, Transform Maps, and existing data-import functionality.</w:t>
            </w:r>
          </w:p>
          <w:p>
            <w:r>
              <w:rPr>
                <w:b/>
                <w:sz w:val="15"/>
              </w:rPr>
              <w:t xml:space="preserve">Template focus: </w:t>
            </w:r>
            <w:r>
              <w:rPr>
                <w:sz w:val="15"/>
              </w:rPr>
              <w:t>What solutions are available? Manual entry is an alternative, while Import Sets and Transform Maps provide a structured staging and transformation process.</w:t>
            </w:r>
          </w:p>
        </w:tc>
      </w:tr>
      <w:tr>
        <w:tc>
          <w:tcPr>
            <w:tcW w:type="dxa" w:w="4464"/>
            <w:vAlign w:val="top"/>
          </w:tcPr>
          <w:p>
            <w:r>
              <w:rPr>
                <w:b/>
                <w:sz w:val="18"/>
              </w:rPr>
              <w:t>6. CUSTOMER CONSTRAINTS</w:t>
            </w:r>
          </w:p>
        </w:tc>
        <w:tc>
          <w:tcPr>
            <w:tcW w:type="dxa" w:w="14544"/>
            <w:vAlign w:val="top"/>
          </w:tcPr>
          <w:p>
            <w:r>
              <w:rPr>
                <w:sz w:val="16"/>
              </w:rPr>
              <w:t>Spreadsheet data may be incomplete or invalid. Field formats must be compatible with the target Employee table. Employee ID must be reliable for identifying records, and required fields such as Employee ID, Name, and Email need valid values.</w:t>
            </w:r>
          </w:p>
          <w:p>
            <w:r>
              <w:rPr>
                <w:b/>
                <w:sz w:val="15"/>
              </w:rPr>
              <w:t xml:space="preserve">Template focus: </w:t>
            </w:r>
            <w:r>
              <w:rPr>
                <w:sz w:val="15"/>
              </w:rPr>
              <w:t>What limits action? Data quality, field compatibility, required values, and the need to prevent duplicate records.</w:t>
            </w:r>
          </w:p>
        </w:tc>
      </w:tr>
      <w:tr>
        <w:tc>
          <w:tcPr>
            <w:tcW w:type="dxa" w:w="4464"/>
            <w:vAlign w:val="top"/>
          </w:tcPr>
          <w:p>
            <w:r>
              <w:rPr>
                <w:b/>
                <w:sz w:val="18"/>
              </w:rPr>
              <w:t>7. BEHAVIOUR</w:t>
            </w:r>
          </w:p>
        </w:tc>
        <w:tc>
          <w:tcPr>
            <w:tcW w:type="dxa" w:w="14544"/>
            <w:vAlign w:val="top"/>
          </w:tcPr>
          <w:p>
            <w:r>
              <w:rPr>
                <w:sz w:val="16"/>
              </w:rPr>
              <w:t>The administrator prepares the spreadsheet, uploads it to ServiceNow, stores the data in the Import Set Table, validates the values, runs the Transform Data process, and reviews the resulting Employee records. Employee ID is used to identify existing records.</w:t>
            </w:r>
          </w:p>
          <w:p>
            <w:r>
              <w:rPr>
                <w:b/>
                <w:sz w:val="15"/>
              </w:rPr>
              <w:t xml:space="preserve">Template focus: </w:t>
            </w:r>
            <w:r>
              <w:rPr>
                <w:sz w:val="15"/>
              </w:rPr>
              <w:t>What does the customer do? Upload → stage → validate → transform → update/insert → review.</w:t>
            </w:r>
          </w:p>
        </w:tc>
      </w:tr>
      <w:tr>
        <w:tc>
          <w:tcPr>
            <w:tcW w:type="dxa" w:w="4464"/>
            <w:vAlign w:val="top"/>
          </w:tcPr>
          <w:p>
            <w:r>
              <w:rPr>
                <w:b/>
                <w:sz w:val="18"/>
              </w:rPr>
              <w:t>8. CHANNELS OF BEHAVIOUR</w:t>
            </w:r>
          </w:p>
        </w:tc>
        <w:tc>
          <w:tcPr>
            <w:tcW w:type="dxa" w:w="14544"/>
            <w:vAlign w:val="top"/>
          </w:tcPr>
          <w:p>
            <w:r>
              <w:rPr>
                <w:sz w:val="16"/>
              </w:rPr>
              <w:t>8.1 ONLINE: ServiceNow Import Sets, Transform Maps, validation results, Reports, and Dashboards.</w:t>
              <w:br/>
              <w:t>8.2 OFFLINE: Preparing, checking, and maintaining employee spreadsheets before upload; collecting employee details from administrative or HR records.</w:t>
            </w:r>
          </w:p>
          <w:p>
            <w:r>
              <w:rPr>
                <w:b/>
                <w:sz w:val="15"/>
              </w:rPr>
              <w:t xml:space="preserve">Template focus: </w:t>
            </w:r>
            <w:r>
              <w:rPr>
                <w:sz w:val="15"/>
              </w:rPr>
              <w:t>Which online/offline channels are used? ServiceNow provides the digital workflow, while spreadsheet preparation and source-data collection occur outside the import process.</w:t>
            </w:r>
          </w:p>
        </w:tc>
      </w:tr>
      <w:tr>
        <w:tc>
          <w:tcPr>
            <w:tcW w:type="dxa" w:w="4464"/>
            <w:vAlign w:val="top"/>
          </w:tcPr>
          <w:p>
            <w:r>
              <w:rPr>
                <w:b/>
                <w:sz w:val="18"/>
              </w:rPr>
              <w:t>9. PROBLEM ROOT CAUSE</w:t>
            </w:r>
          </w:p>
        </w:tc>
        <w:tc>
          <w:tcPr>
            <w:tcW w:type="dxa" w:w="14544"/>
            <w:vAlign w:val="top"/>
          </w:tcPr>
          <w:p>
            <w:r>
              <w:rPr>
                <w:sz w:val="16"/>
              </w:rPr>
              <w:t>Employee information may originate in spreadsheets while operational employee records are maintained in ServiceNow. Direct manual transfer can create risks of incorrect mapping, incomplete data, and duplicate records.</w:t>
            </w:r>
          </w:p>
          <w:p>
            <w:r>
              <w:rPr>
                <w:b/>
                <w:sz w:val="15"/>
              </w:rPr>
              <w:t xml:space="preserve">Template focus: </w:t>
            </w:r>
            <w:r>
              <w:rPr>
                <w:sz w:val="15"/>
              </w:rPr>
              <w:t>What is the real reason the problem exists? Data must be moved from a spreadsheet source into structured ServiceNow employee records while preserving accuracy and uniqueness.</w:t>
            </w:r>
          </w:p>
        </w:tc>
      </w:tr>
      <w:tr>
        <w:tc>
          <w:tcPr>
            <w:tcW w:type="dxa" w:w="4464"/>
            <w:vAlign w:val="top"/>
          </w:tcPr>
          <w:p>
            <w:r>
              <w:rPr>
                <w:b/>
                <w:sz w:val="18"/>
              </w:rPr>
              <w:t>10. YOUR SOLUTION</w:t>
            </w:r>
          </w:p>
        </w:tc>
        <w:tc>
          <w:tcPr>
            <w:tcW w:type="dxa" w:w="14544"/>
            <w:vAlign w:val="top"/>
          </w:tcPr>
          <w:p>
            <w:r>
              <w:rPr>
                <w:sz w:val="16"/>
              </w:rPr>
              <w:t>Use ServiceNow Import Sets and a Transform Map to import employee information from a spreadsheet. The spreadsheet data is first stored in a temporary Import Set Table containing Employee ID, Name, Email, Department, and Location. Validate Data checks required information and identifies incorrect or incomplete records. The Transform Map transfers the fields to the corresponding Employee table fields. Employee ID is configured as the coalesce field: matching IDs update existing employee records, while new IDs create new records. Reports and Dashboards provide a visual overview of employee data by Department, Location, and other relevant fields.</w:t>
            </w:r>
          </w:p>
          <w:p>
            <w:r>
              <w:rPr>
                <w:b/>
                <w:sz w:val="15"/>
              </w:rPr>
              <w:t xml:space="preserve">Template focus: </w:t>
            </w:r>
            <w:r>
              <w:rPr>
                <w:sz w:val="15"/>
              </w:rPr>
              <w:t>What is the proposed solution? A validated, mapped, coalesced import workflow followed by reporting and dashboard monitoring.</w:t>
            </w:r>
          </w:p>
        </w:tc>
      </w:tr>
    </w:tbl>
    <w:p>
      <w:r>
        <w:rPr>
          <w:b/>
          <w:sz w:val="22"/>
        </w:rPr>
        <w:t>PROCESS FLOW</w:t>
      </w:r>
    </w:p>
    <w:p>
      <w:pPr>
        <w:spacing w:after="20"/>
      </w:pPr>
      <w:r>
        <w:rPr>
          <w:sz w:val="17"/>
        </w:rPr>
        <w:t>1. Upload Spreadsheet → employee data is stored in the Import Set Table.</w:t>
      </w:r>
    </w:p>
    <w:p>
      <w:pPr>
        <w:spacing w:after="20"/>
      </w:pPr>
      <w:r>
        <w:rPr>
          <w:sz w:val="17"/>
        </w:rPr>
        <w:t>2. Validate Data → check Employee ID, Name, Email, Department, Location, and other required values.</w:t>
      </w:r>
    </w:p>
    <w:p>
      <w:pPr>
        <w:spacing w:after="20"/>
      </w:pPr>
      <w:r>
        <w:rPr>
          <w:sz w:val="17"/>
        </w:rPr>
        <w:t>3. Transform Data → the Transform Map maps source fields to the Employee table.</w:t>
      </w:r>
    </w:p>
    <w:p>
      <w:pPr>
        <w:spacing w:after="20"/>
      </w:pPr>
      <w:r>
        <w:rPr>
          <w:sz w:val="17"/>
        </w:rPr>
        <w:t>4. Enable Coalesce on Employee ID → update a matching employee; insert a new employee when no match exists.</w:t>
      </w:r>
    </w:p>
    <w:p>
      <w:pPr>
        <w:spacing w:after="20"/>
      </w:pPr>
      <w:r>
        <w:rPr>
          <w:sz w:val="17"/>
        </w:rPr>
        <w:t>5. Reports &amp; Dashboards → monitor imported employee information by Department, Location, and other relevant fields.</w:t>
      </w:r>
    </w:p>
    <w:p>
      <w:pPr>
        <w:jc w:val="center"/>
      </w:pPr>
      <w:r>
        <w:rPr>
          <w:i/>
          <w:sz w:val="14"/>
        </w:rPr>
        <w:t>Template basis: the supplied Problem–Solution Fit canvas, covering Customer Segment(s), Jobs-to-be-Done/Problems, Triggers, Emotions, Available Solutions, Customer Constraints, Behaviour, Channels, Problem Root Cause, and Your Solution.</w:t>
      </w:r>
    </w:p>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