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125674D"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581E3729">
            <w:pPr>
              <w:spacing w:after="0" w:line="240" w:lineRule="auto"/>
            </w:pPr>
            <w:r>
              <w:t>03 October 2026</w:t>
            </w:r>
          </w:p>
        </w:tc>
      </w:tr>
      <w:tr w14:paraId="33078A52"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2877FB7E"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default"/>
              </w:rPr>
              <w:t>SWTID-2026-5432</w:t>
            </w:r>
          </w:p>
        </w:tc>
      </w:tr>
      <w:tr w14:paraId="08DB8BC7"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3532C13E">
            <w:pPr>
              <w:spacing w:after="0" w:line="240" w:lineRule="auto"/>
            </w:pPr>
            <w:r>
              <w:t>ServiceNow Employee Data Import using Transform Maps</w:t>
            </w:r>
          </w:p>
        </w:tc>
      </w:tr>
      <w:tr w14:paraId="0F7C17E4"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326AAC8">
            <w:pPr>
              <w:spacing w:after="0" w:line="240" w:lineRule="auto"/>
            </w:pPr>
            <w: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t>This deliverable presents the architecture and technology stack for importing employee information from a spreadsheet into ServiceNow using Import Sets, validation, Transform Maps, and coalesce. The design includes staging, target employee records, and reporting.</w:t>
      </w:r>
    </w:p>
    <w:p w14:paraId="0000000F">
      <w:pPr>
        <w:spacing w:after="0"/>
        <w:jc w:val="center"/>
        <w:rPr>
          <w:rFonts w:ascii="Arial" w:hAnsi="Arial" w:eastAsia="Arial" w:cs="Arial"/>
          <w:b/>
        </w:rPr>
      </w:pPr>
      <w:r>
        <w:t>Scenario: Spreadsheet-based employee data import and record maintenance</w:t>
      </w:r>
      <w:r>
        <w:br w:type="textWrapping"/>
      </w:r>
      <w:r>
        <w:drawing>
          <wp:inline distT="0" distB="0" distL="114300" distR="114300">
            <wp:extent cx="5760720" cy="2687955"/>
            <wp:effectExtent l="0" t="0" r="508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rPr>
          <w:rFonts w:ascii="Arial" w:hAnsi="Arial" w:eastAsia="Arial" w:cs="Arial"/>
          <w:b/>
        </w:rPr>
      </w:pPr>
      <w:r>
        <w:t>Workflow: Spreadsheet → Import Set Table → Validate → Transform Map → Employee Table → Reports &amp; Dashboards</w:t>
      </w:r>
      <w:r>
        <w:drawing>
          <wp:inline distT="0" distB="0" distL="114300" distR="114300">
            <wp:extent cx="5669280" cy="2645410"/>
            <wp:effectExtent l="0" t="0" r="20320" b="215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C210F4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4AA1CB2E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17A15103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21D4896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23DDB3E5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3885E2C1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CC210F4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4AA1CB2E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17A15103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21D4896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23DDB3E5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3885E2C1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53BEBA55"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Technology</w:t>
            </w:r>
          </w:p>
        </w:tc>
      </w:tr>
      <w:tr w14:paraId="3BB2E6AE">
        <w:trPr>
          <w:trHeight w:val="489" w:hRule="atLeast"/>
        </w:trPr>
        <w:tc>
          <w:tcPr>
            <w:vAlign w:val="center"/>
          </w:tcPr>
          <w:p w14:paraId="127573B2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1.</w:t>
            </w:r>
          </w:p>
        </w:tc>
        <w:tc>
          <w:tcPr>
            <w:vAlign w:val="center"/>
          </w:tcPr>
          <w:p w14:paraId="5D5174E6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User Interface</w:t>
            </w:r>
          </w:p>
        </w:tc>
        <w:tc>
          <w:tcPr>
            <w:vAlign w:val="center"/>
          </w:tcPr>
          <w:p w14:paraId="2153649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Administrator selects and uploads the employee spreadsheet, reviews staged rows, runs transforms, and views reports.</w:t>
            </w:r>
          </w:p>
        </w:tc>
        <w:tc>
          <w:tcPr>
            <w:vAlign w:val="center"/>
          </w:tcPr>
          <w:p w14:paraId="09BAB75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web UI / Import Set interface</w:t>
            </w:r>
          </w:p>
        </w:tc>
      </w:tr>
      <w:tr w14:paraId="0DC61B6C">
        <w:trPr>
          <w:trHeight w:val="470" w:hRule="atLeast"/>
        </w:trPr>
        <w:tc>
          <w:tcPr>
            <w:vAlign w:val="center"/>
          </w:tcPr>
          <w:p w14:paraId="182CFA62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2.</w:t>
            </w:r>
          </w:p>
        </w:tc>
        <w:tc>
          <w:tcPr>
            <w:vAlign w:val="center"/>
          </w:tcPr>
          <w:p w14:paraId="5DFD1559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Application Logic-1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Import Processing</w:t>
            </w:r>
          </w:p>
        </w:tc>
        <w:tc>
          <w:tcPr>
            <w:vAlign w:val="center"/>
          </w:tcPr>
          <w:p w14:paraId="51B57EA9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Receives spreadsheet rows and loads employee data into a temporary import set for processing.</w:t>
            </w:r>
          </w:p>
        </w:tc>
        <w:tc>
          <w:tcPr>
            <w:vAlign w:val="center"/>
          </w:tcPr>
          <w:p w14:paraId="08C5559A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Import Sets</w:t>
            </w:r>
          </w:p>
        </w:tc>
      </w:tr>
      <w:tr w14:paraId="78121FCE">
        <w:trPr>
          <w:trHeight w:val="470" w:hRule="atLeast"/>
        </w:trPr>
        <w:tc>
          <w:tcPr>
            <w:vAlign w:val="center"/>
          </w:tcPr>
          <w:p w14:paraId="10A21611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3.</w:t>
            </w:r>
          </w:p>
        </w:tc>
        <w:tc>
          <w:tcPr>
            <w:vAlign w:val="center"/>
          </w:tcPr>
          <w:p w14:paraId="335D7431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Application Logic-2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Validation</w:t>
            </w:r>
          </w:p>
        </w:tc>
        <w:tc>
          <w:tcPr>
            <w:vAlign w:val="center"/>
          </w:tcPr>
          <w:p w14:paraId="27E00872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Checks required fields such as Employee ID, Name, and Email; flags incomplete or invalid rows for correction.</w:t>
            </w:r>
          </w:p>
        </w:tc>
        <w:tc>
          <w:tcPr>
            <w:vAlign w:val="center"/>
          </w:tcPr>
          <w:p w14:paraId="404891C5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Import set validation / transform scripts (if configured)</w:t>
            </w:r>
          </w:p>
        </w:tc>
      </w:tr>
      <w:tr w14:paraId="2164D9CC">
        <w:trPr>
          <w:trHeight w:val="470" w:hRule="atLeast"/>
        </w:trPr>
        <w:tc>
          <w:tcPr>
            <w:vAlign w:val="center"/>
          </w:tcPr>
          <w:p w14:paraId="16E9D4E3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4.</w:t>
            </w:r>
          </w:p>
        </w:tc>
        <w:tc>
          <w:tcPr>
            <w:vAlign w:val="center"/>
          </w:tcPr>
          <w:p w14:paraId="52F342E6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Application Logic-3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Transformation &amp; Coalesce</w:t>
            </w:r>
          </w:p>
        </w:tc>
        <w:tc>
          <w:tcPr>
            <w:vAlign w:val="center"/>
          </w:tcPr>
          <w:p w14:paraId="002A4E85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Maps source columns to target fields and matches existing employees by Employee ID to update or insert records.</w:t>
            </w:r>
          </w:p>
        </w:tc>
        <w:tc>
          <w:tcPr>
            <w:vAlign w:val="center"/>
          </w:tcPr>
          <w:p w14:paraId="57EDB184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Transform Maps / Coalesce</w:t>
            </w:r>
          </w:p>
        </w:tc>
      </w:tr>
      <w:tr w14:paraId="50C63E69">
        <w:trPr>
          <w:trHeight w:val="489" w:hRule="atLeast"/>
        </w:trPr>
        <w:tc>
          <w:tcPr>
            <w:vAlign w:val="center"/>
          </w:tcPr>
          <w:p w14:paraId="2D18DEE6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5.</w:t>
            </w:r>
          </w:p>
        </w:tc>
        <w:tc>
          <w:tcPr>
            <w:vAlign w:val="center"/>
          </w:tcPr>
          <w:p w14:paraId="3D9290D3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Database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Target Records</w:t>
            </w:r>
          </w:p>
        </w:tc>
        <w:tc>
          <w:tcPr>
            <w:vAlign w:val="center"/>
          </w:tcPr>
          <w:p w14:paraId="6D71933F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Stores finalized employee records with Employee ID, Name, Email, Department, and Location.</w:t>
            </w:r>
          </w:p>
        </w:tc>
        <w:tc>
          <w:tcPr>
            <w:vAlign w:val="center"/>
          </w:tcPr>
          <w:p w14:paraId="6E821852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Employee table (target table)</w:t>
            </w:r>
          </w:p>
        </w:tc>
      </w:tr>
      <w:tr w14:paraId="298C23A7">
        <w:trPr>
          <w:trHeight w:val="489" w:hRule="atLeast"/>
        </w:trPr>
        <w:tc>
          <w:tcPr>
            <w:vAlign w:val="center"/>
          </w:tcPr>
          <w:p w14:paraId="2A13CA48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6.</w:t>
            </w:r>
          </w:p>
        </w:tc>
        <w:tc>
          <w:tcPr>
            <w:vAlign w:val="center"/>
          </w:tcPr>
          <w:p w14:paraId="03738314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Cloud Database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Staging</w:t>
            </w:r>
          </w:p>
        </w:tc>
        <w:tc>
          <w:tcPr>
            <w:vAlign w:val="center"/>
          </w:tcPr>
          <w:p w14:paraId="26BCA08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Temporarily stores uploaded spreadsheet rows before validation and transformation.</w:t>
            </w:r>
          </w:p>
        </w:tc>
        <w:tc>
          <w:tcPr>
            <w:vAlign w:val="center"/>
          </w:tcPr>
          <w:p w14:paraId="4D2E2B97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Import Set Table</w:t>
            </w:r>
          </w:p>
        </w:tc>
      </w:tr>
      <w:tr w14:paraId="2E4025EA">
        <w:trPr>
          <w:trHeight w:val="489" w:hRule="atLeast"/>
        </w:trPr>
        <w:tc>
          <w:tcPr>
            <w:vAlign w:val="center"/>
          </w:tcPr>
          <w:p w14:paraId="2332BABB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7.</w:t>
            </w:r>
          </w:p>
        </w:tc>
        <w:tc>
          <w:tcPr>
            <w:vAlign w:val="center"/>
          </w:tcPr>
          <w:p w14:paraId="1DBD089B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File Storage</w:t>
            </w:r>
          </w:p>
        </w:tc>
        <w:tc>
          <w:tcPr>
            <w:vAlign w:val="center"/>
          </w:tcPr>
          <w:p w14:paraId="14E73D9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Holds the uploaded spreadsheet during the import workflow; exact retention/storage configuration is instance-dependent.</w:t>
            </w:r>
          </w:p>
        </w:tc>
        <w:tc>
          <w:tcPr>
            <w:vAlign w:val="center"/>
          </w:tcPr>
          <w:p w14:paraId="2EEB19C4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attachment/import file storage</w:t>
            </w:r>
          </w:p>
        </w:tc>
      </w:tr>
      <w:tr w14:paraId="4A922A5C">
        <w:trPr>
          <w:trHeight w:val="489" w:hRule="atLeast"/>
        </w:trPr>
        <w:tc>
          <w:tcPr>
            <w:vAlign w:val="center"/>
          </w:tcPr>
          <w:p w14:paraId="0884B814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8.</w:t>
            </w:r>
          </w:p>
        </w:tc>
        <w:tc>
          <w:tcPr>
            <w:vAlign w:val="center"/>
          </w:tcPr>
          <w:p w14:paraId="672CFE05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External API-1</w:t>
            </w:r>
          </w:p>
        </w:tc>
        <w:tc>
          <w:tcPr>
            <w:vAlign w:val="center"/>
          </w:tcPr>
          <w:p w14:paraId="52FC4676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 external API is specified in the provided use case.</w:t>
            </w:r>
          </w:p>
        </w:tc>
        <w:tc>
          <w:tcPr>
            <w:vAlign w:val="center"/>
          </w:tcPr>
          <w:p w14:paraId="5EBB243A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Not applicable / not specified</w:t>
            </w:r>
          </w:p>
        </w:tc>
      </w:tr>
      <w:tr w14:paraId="5EA17122">
        <w:trPr>
          <w:trHeight w:val="489" w:hRule="atLeast"/>
        </w:trPr>
        <w:tc>
          <w:tcPr>
            <w:vAlign w:val="center"/>
          </w:tcPr>
          <w:p w14:paraId="5E4B9133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9.</w:t>
            </w:r>
          </w:p>
        </w:tc>
        <w:tc>
          <w:tcPr>
            <w:vAlign w:val="center"/>
          </w:tcPr>
          <w:p w14:paraId="1FD76C93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External API-2</w:t>
            </w:r>
          </w:p>
        </w:tc>
        <w:tc>
          <w:tcPr>
            <w:vAlign w:val="center"/>
          </w:tcPr>
          <w:p w14:paraId="7F504ADE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 second external API is specified in the provided use case.</w:t>
            </w:r>
          </w:p>
        </w:tc>
        <w:tc>
          <w:tcPr>
            <w:vAlign w:val="center"/>
          </w:tcPr>
          <w:p w14:paraId="68730C5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Not applicable / not specified</w:t>
            </w:r>
          </w:p>
        </w:tc>
      </w:tr>
      <w:tr w14:paraId="65535C0E">
        <w:trPr>
          <w:trHeight w:val="489" w:hRule="atLeast"/>
        </w:trPr>
        <w:tc>
          <w:tcPr>
            <w:vAlign w:val="center"/>
          </w:tcPr>
          <w:p w14:paraId="4A3AE1FB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10.</w:t>
            </w:r>
          </w:p>
        </w:tc>
        <w:tc>
          <w:tcPr>
            <w:vAlign w:val="center"/>
          </w:tcPr>
          <w:p w14:paraId="02301BD4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Machine Learning Model</w:t>
            </w:r>
          </w:p>
        </w:tc>
        <w:tc>
          <w:tcPr>
            <w:vAlign w:val="center"/>
          </w:tcPr>
          <w:p w14:paraId="2A88F9AC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 machine-learning model is required or specified for this import workflow.</w:t>
            </w:r>
          </w:p>
        </w:tc>
        <w:tc>
          <w:tcPr>
            <w:vAlign w:val="center"/>
          </w:tcPr>
          <w:p w14:paraId="70ECC0E3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Not applicable</w:t>
            </w:r>
          </w:p>
        </w:tc>
      </w:tr>
      <w:tr w14:paraId="37B7F049">
        <w:trPr>
          <w:trHeight w:val="489" w:hRule="atLeast"/>
        </w:trPr>
        <w:tc>
          <w:tcPr>
            <w:vAlign w:val="center"/>
          </w:tcPr>
          <w:p w14:paraId="5FF12D6F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11.</w:t>
            </w:r>
          </w:p>
        </w:tc>
        <w:tc>
          <w:tcPr>
            <w:vAlign w:val="center"/>
          </w:tcPr>
          <w:p w14:paraId="4262D475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5"/>
              </w:rPr>
              <w:t>Infrastructure</w:t>
            </w:r>
            <w:r>
              <w:rPr>
                <w:rFonts w:ascii="Aptos" w:hAnsi="Aptos"/>
                <w:b/>
                <w:color w:val="23303C"/>
                <w:sz w:val="15"/>
              </w:rPr>
              <w:br w:type="textWrapping"/>
            </w:r>
            <w:r>
              <w:rPr>
                <w:rFonts w:ascii="Aptos" w:hAnsi="Aptos"/>
                <w:b/>
                <w:color w:val="23303C"/>
                <w:sz w:val="15"/>
              </w:rPr>
              <w:t>(Server / Cloud)</w:t>
            </w:r>
          </w:p>
        </w:tc>
        <w:tc>
          <w:tcPr>
            <w:vAlign w:val="center"/>
          </w:tcPr>
          <w:p w14:paraId="4E19852E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Runs the import, staging, transformation, employee table, and reporting within the ServiceNow environment.</w:t>
            </w:r>
          </w:p>
        </w:tc>
        <w:tc>
          <w:tcPr>
            <w:vAlign w:val="center"/>
          </w:tcPr>
          <w:p w14:paraId="3BD52147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5"/>
              </w:rPr>
              <w:t>ServiceNow instance / managed platform; deployment details depend on organization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26004B2E"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ptos" w:hAnsi="Aptos" w:eastAsia="Arial" w:cs="Arial"/>
                <w:b/>
                <w:sz w:val="16"/>
                <w:rtl w:val="0"/>
              </w:rPr>
              <w:t xml:space="preserve">Technology </w:t>
            </w:r>
          </w:p>
        </w:tc>
      </w:tr>
      <w:tr w14:paraId="472285FA">
        <w:trPr>
          <w:trHeight w:val="229" w:hRule="atLeast"/>
        </w:trPr>
        <w:tc>
          <w:tcPr>
            <w:vAlign w:val="center"/>
          </w:tcPr>
          <w:p w14:paraId="0A71A567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1.</w:t>
            </w:r>
          </w:p>
        </w:tc>
        <w:tc>
          <w:tcPr>
            <w:vAlign w:val="center"/>
          </w:tcPr>
          <w:p w14:paraId="51FA310F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6"/>
              </w:rPr>
              <w:t>Open-Source Frameworks</w:t>
            </w:r>
          </w:p>
        </w:tc>
        <w:tc>
          <w:tcPr>
            <w:vAlign w:val="center"/>
          </w:tcPr>
          <w:p w14:paraId="02DD3DE2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The described workflow uses native ServiceNow import capabilities; no separate open-source framework is identified in the use case.</w:t>
            </w:r>
          </w:p>
        </w:tc>
        <w:tc>
          <w:tcPr>
            <w:vAlign w:val="center"/>
          </w:tcPr>
          <w:p w14:paraId="101F88AF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ServiceNow Import Sets and Transform Maps</w:t>
            </w:r>
          </w:p>
        </w:tc>
      </w:tr>
      <w:tr w14:paraId="66150773">
        <w:trPr>
          <w:trHeight w:val="229" w:hRule="atLeast"/>
        </w:trPr>
        <w:tc>
          <w:tcPr>
            <w:vAlign w:val="center"/>
          </w:tcPr>
          <w:p w14:paraId="78F70891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2.</w:t>
            </w:r>
          </w:p>
        </w:tc>
        <w:tc>
          <w:tcPr>
            <w:vAlign w:val="center"/>
          </w:tcPr>
          <w:p w14:paraId="6FE17E6B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6"/>
              </w:rPr>
              <w:t>Security Implementations</w:t>
            </w:r>
          </w:p>
        </w:tc>
        <w:tc>
          <w:tcPr>
            <w:vAlign w:val="center"/>
          </w:tcPr>
          <w:p w14:paraId="5DF4BA7D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Restrict import and employee-table access to authorized roles; apply table/field ACLs and platform encryption controls where enabled. Validate data before writing target records.</w:t>
            </w:r>
          </w:p>
        </w:tc>
        <w:tc>
          <w:tcPr>
            <w:vAlign w:val="center"/>
          </w:tcPr>
          <w:p w14:paraId="431CFE9F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ServiceNow roles, ACLs, platform security and encryption settings (confirm per instance)</w:t>
            </w:r>
          </w:p>
        </w:tc>
      </w:tr>
      <w:tr w14:paraId="495C499B">
        <w:trPr>
          <w:trHeight w:val="229" w:hRule="atLeast"/>
        </w:trPr>
        <w:tc>
          <w:tcPr>
            <w:vAlign w:val="center"/>
          </w:tcPr>
          <w:p w14:paraId="3BEB4ADE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3.</w:t>
            </w:r>
          </w:p>
        </w:tc>
        <w:tc>
          <w:tcPr>
            <w:vAlign w:val="center"/>
          </w:tcPr>
          <w:p w14:paraId="372AE716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6"/>
              </w:rPr>
              <w:t>Scalable Architecture</w:t>
            </w:r>
          </w:p>
        </w:tc>
        <w:tc>
          <w:tcPr>
            <w:vAlign w:val="center"/>
          </w:tcPr>
          <w:p w14:paraId="44F347C7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Import processing is organized into staging, validation, transformation, and target-data layers. Capacity and batch sizing should be configured for the expected spreadsheet volume.</w:t>
            </w:r>
          </w:p>
        </w:tc>
        <w:tc>
          <w:tcPr>
            <w:vAlign w:val="center"/>
          </w:tcPr>
          <w:p w14:paraId="29691009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ServiceNow platform; import batch/transform configuration</w:t>
            </w:r>
          </w:p>
        </w:tc>
      </w:tr>
      <w:tr w14:paraId="5D0CB1F1">
        <w:trPr>
          <w:trHeight w:val="229" w:hRule="atLeast"/>
        </w:trPr>
        <w:tc>
          <w:tcPr>
            <w:vAlign w:val="center"/>
          </w:tcPr>
          <w:p w14:paraId="7BA8DA9E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4.</w:t>
            </w:r>
          </w:p>
        </w:tc>
        <w:tc>
          <w:tcPr>
            <w:vAlign w:val="center"/>
          </w:tcPr>
          <w:p w14:paraId="4944279B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6"/>
              </w:rPr>
              <w:t>Availability</w:t>
            </w:r>
          </w:p>
        </w:tc>
        <w:tc>
          <w:tcPr>
            <w:vAlign w:val="center"/>
          </w:tcPr>
          <w:p w14:paraId="7669FCD0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The workflow runs within the organization's ServiceNow instance. Availability depends on the ServiceNow service and the organization's instance configuration and operational practices.</w:t>
            </w:r>
          </w:p>
        </w:tc>
        <w:tc>
          <w:tcPr>
            <w:vAlign w:val="center"/>
          </w:tcPr>
          <w:p w14:paraId="4E1A0B70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ServiceNow platform availability; instance/service commitments</w:t>
            </w:r>
          </w:p>
        </w:tc>
      </w:tr>
      <w:tr w14:paraId="6454AB67">
        <w:trPr>
          <w:trHeight w:val="229" w:hRule="atLeast"/>
        </w:trPr>
        <w:tc>
          <w:tcPr>
            <w:vAlign w:val="center"/>
          </w:tcPr>
          <w:p w14:paraId="262184C0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5.</w:t>
            </w:r>
          </w:p>
        </w:tc>
        <w:tc>
          <w:tcPr>
            <w:vAlign w:val="center"/>
          </w:tcPr>
          <w:p w14:paraId="1027EDE8">
            <w:pPr>
              <w:spacing w:before="20" w:after="40" w:line="240" w:lineRule="auto"/>
            </w:pPr>
            <w:r>
              <w:rPr>
                <w:rFonts w:ascii="Aptos" w:hAnsi="Aptos"/>
                <w:b/>
                <w:color w:val="23303C"/>
                <w:sz w:val="16"/>
              </w:rPr>
              <w:t>Performance</w:t>
            </w:r>
          </w:p>
        </w:tc>
        <w:tc>
          <w:tcPr>
            <w:vAlign w:val="center"/>
          </w:tcPr>
          <w:p w14:paraId="1FD3E601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Keep spreadsheets to the required columns, validate early, use Employee ID consistently as the coalesce key, and monitor transform duration and row errors. Performance targets are not specified.</w:t>
            </w:r>
          </w:p>
        </w:tc>
        <w:tc>
          <w:tcPr>
            <w:vAlign w:val="center"/>
          </w:tcPr>
          <w:p w14:paraId="52EEA9CB">
            <w:pPr>
              <w:spacing w:before="20" w:after="40" w:line="240" w:lineRule="auto"/>
            </w:pPr>
            <w:r>
              <w:rPr>
                <w:rFonts w:ascii="Aptos" w:hAnsi="Aptos"/>
                <w:b w:val="0"/>
                <w:color w:val="23303C"/>
                <w:sz w:val="16"/>
              </w:rPr>
              <w:t>Import Set / Transform Map execution; indexed or unique Employee ID where supported and configured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FF86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uiPriority w:val="0"/>
  </w:style>
  <w:style w:type="paragraph" w:styleId="14">
    <w:name w:val="Title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uiPriority w:val="0"/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2022-09-18T22:21:00Z</dcterms:created>
  <dc:creator>Amarender Katkam</dc:creator>
  <cp:lastModifiedBy>Keertanaa ramesh</cp:lastModifiedBy>
  <dcterms:modified xsi:type="dcterms:W3CDTF">2026-10-03T20:18:24Z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983C6EAD350F04E9B815C16A9E6FA3DD_42</vt:lpwstr>
  </property>
</Properties>
</file>