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00806E"/>
          <w:sz w:val="18"/>
        </w:rPr>
        <w:t>SERVICENOW  /  DATA IMPORT</w:t>
      </w:r>
    </w:p>
    <w:p>
      <w:pPr>
        <w:spacing w:after="40"/>
      </w:pPr>
      <w:r>
        <w:rPr>
          <w:rFonts w:ascii="Aptos Display" w:hAnsi="Aptos Display"/>
          <w:b/>
          <w:color w:val="1C2733"/>
          <w:sz w:val="48"/>
        </w:rPr>
        <w:t>Import Data Using Transform Maps (Spreadsheet)</w:t>
      </w:r>
    </w:p>
    <w:p>
      <w:pPr>
        <w:spacing w:after="140"/>
      </w:pPr>
      <w:r>
        <w:rPr>
          <w:b/>
          <w:color w:val="0069A0"/>
          <w:sz w:val="16"/>
        </w:rPr>
        <w:t xml:space="preserve">SCENARIO  </w:t>
      </w:r>
      <w:r>
        <w:rPr>
          <w:color w:val="46505A"/>
          <w:sz w:val="18"/>
        </w:rPr>
        <w:t>Import employee details from a spreadsheet into ServiceNow, validate and transform the data, prevent duplicates with coalesce, and review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5DD"/>
          <w:left w:val="single" w:sz="6" w:space="0" w:color="C9D5DD"/>
          <w:bottom w:val="single" w:sz="6" w:space="0" w:color="C9D5DD"/>
          <w:right w:val="single" w:sz="6" w:space="0" w:color="C9D5DD"/>
          <w:insideH w:val="single" w:sz="6" w:space="0" w:color="C9D5DD"/>
          <w:insideV w:val="single" w:sz="6" w:space="0" w:color="C9D5DD"/>
        </w:tblBorders>
      </w:tblPr>
      <w:tblGrid>
        <w:gridCol w:w="2525"/>
        <w:gridCol w:w="2525"/>
        <w:gridCol w:w="2525"/>
        <w:gridCol w:w="2525"/>
        <w:gridCol w:w="2525"/>
        <w:gridCol w:w="2525"/>
        <w:gridCol w:w="2525"/>
        <w:gridCol w:w="2525"/>
        <w:gridCol w:w="2525"/>
      </w:tblGrid>
      <w:tr>
        <w:tc>
          <w:tcPr>
            <w:tcW w:type="dxa" w:w="19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E5F1F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255B91"/>
                <w:sz w:val="16"/>
              </w:rPr>
              <w:t>PROCESS</w:t>
            </w:r>
          </w:p>
        </w:tc>
        <w:tc>
          <w:tcPr>
            <w:tcW w:type="dxa" w:w="2361"/>
            <w:vAlign w:val="center"/>
            <w:shd w:fill="E5F1FB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255B91"/>
                <w:sz w:val="16"/>
              </w:rPr>
              <w:t>ENTICE</w:t>
            </w:r>
          </w:p>
        </w:tc>
        <w:tc>
          <w:tcPr>
            <w:tcW w:type="dxa" w:w="4722"/>
            <w:gridSpan w:val="2"/>
            <w:vAlign w:val="center"/>
            <w:shd w:fill="E5F1FB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255B91"/>
                <w:sz w:val="16"/>
              </w:rPr>
              <w:t>ENTER</w:t>
            </w:r>
          </w:p>
        </w:tc>
        <w:tc>
          <w:tcPr>
            <w:tcW w:type="dxa" w:w="7083"/>
            <w:gridSpan w:val="3"/>
            <w:vAlign w:val="center"/>
            <w:shd w:fill="E5F1FB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255B91"/>
                <w:sz w:val="16"/>
              </w:rPr>
              <w:t>ENGAGE</w:t>
            </w:r>
          </w:p>
        </w:tc>
        <w:tc>
          <w:tcPr>
            <w:tcW w:type="dxa" w:w="2361"/>
            <w:vAlign w:val="center"/>
            <w:shd w:fill="E5F1FB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255B91"/>
                <w:sz w:val="16"/>
              </w:rPr>
              <w:t>EXIT</w:t>
            </w:r>
          </w:p>
        </w:tc>
        <w:tc>
          <w:tcPr>
            <w:tcW w:type="dxa" w:w="2361"/>
            <w:vAlign w:val="center"/>
            <w:shd w:fill="E5F1FB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255B91"/>
                <w:sz w:val="16"/>
              </w:rPr>
              <w:t>EXTEND</w:t>
            </w:r>
          </w:p>
        </w:tc>
      </w:tr>
      <w:tr>
        <w:tc>
          <w:tcPr>
            <w:tcW w:type="dxa" w:w="19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DCEF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STEPS</w:t>
            </w:r>
          </w:p>
        </w:tc>
        <w:tc>
          <w:tcPr>
            <w:tcW w:type="dxa" w:w="2361"/>
            <w:vAlign w:val="center"/>
            <w:shd w:fill="DCEFE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Prepare spreadsheet</w:t>
            </w:r>
          </w:p>
        </w:tc>
        <w:tc>
          <w:tcPr>
            <w:tcW w:type="dxa" w:w="2361"/>
            <w:vAlign w:val="center"/>
            <w:shd w:fill="DCEFE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Upload spreadsheet</w:t>
            </w:r>
          </w:p>
        </w:tc>
        <w:tc>
          <w:tcPr>
            <w:tcW w:type="dxa" w:w="2361"/>
            <w:vAlign w:val="center"/>
            <w:shd w:fill="DCEFE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Review import set</w:t>
            </w:r>
          </w:p>
        </w:tc>
        <w:tc>
          <w:tcPr>
            <w:tcW w:type="dxa" w:w="2361"/>
            <w:vAlign w:val="center"/>
            <w:shd w:fill="DCEFE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Configure Transform Map</w:t>
            </w:r>
          </w:p>
        </w:tc>
        <w:tc>
          <w:tcPr>
            <w:tcW w:type="dxa" w:w="2361"/>
            <w:vAlign w:val="center"/>
            <w:shd w:fill="DCEFE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Validate data</w:t>
            </w:r>
          </w:p>
        </w:tc>
        <w:tc>
          <w:tcPr>
            <w:tcW w:type="dxa" w:w="2361"/>
            <w:vAlign w:val="center"/>
            <w:shd w:fill="DCEFE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Transform data</w:t>
            </w:r>
          </w:p>
        </w:tc>
        <w:tc>
          <w:tcPr>
            <w:tcW w:type="dxa" w:w="2361"/>
            <w:vAlign w:val="center"/>
            <w:shd w:fill="DCEFE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Apply coalesce</w:t>
            </w:r>
          </w:p>
        </w:tc>
        <w:tc>
          <w:tcPr>
            <w:tcW w:type="dxa" w:w="2361"/>
            <w:vAlign w:val="center"/>
            <w:shd w:fill="DCEFEA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ptos" w:hAnsi="Aptos"/>
                <w:b/>
                <w:color w:val="1A4B42"/>
                <w:sz w:val="16"/>
              </w:rPr>
              <w:t>Review reports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CE2"/>
          <w:left w:val="single" w:sz="5" w:space="0" w:color="D4DCE2"/>
          <w:bottom w:val="single" w:sz="5" w:space="0" w:color="D4DCE2"/>
          <w:right w:val="single" w:sz="5" w:space="0" w:color="D4DCE2"/>
          <w:insideH w:val="single" w:sz="5" w:space="0" w:color="D4DCE2"/>
          <w:insideV w:val="single" w:sz="5" w:space="0" w:color="D4DCE2"/>
        </w:tblBorders>
      </w:tblPr>
      <w:tblGrid>
        <w:gridCol w:w="2525"/>
        <w:gridCol w:w="2525"/>
        <w:gridCol w:w="2525"/>
        <w:gridCol w:w="2525"/>
        <w:gridCol w:w="2525"/>
        <w:gridCol w:w="2525"/>
        <w:gridCol w:w="2525"/>
        <w:gridCol w:w="2525"/>
        <w:gridCol w:w="2525"/>
      </w:tblGrid>
      <w:tr>
        <w:trPr>
          <w:cantSplit/>
        </w:trPr>
        <w:tc>
          <w:tcPr>
            <w:tcW w:type="dxa" w:w="1944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2B3A46"/>
                <w:sz w:val="14"/>
              </w:rPr>
              <w:t>What does the person typically experience?</w:t>
            </w:r>
          </w:p>
        </w:tc>
        <w:tc>
          <w:tcPr>
            <w:tcW w:type="dxa" w:w="2361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The administrator prepares a spreadsheet containing employee details.</w:t>
            </w:r>
          </w:p>
        </w:tc>
        <w:tc>
          <w:tcPr>
            <w:tcW w:type="dxa" w:w="2361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The file is uploaded to ServiceNow to start importing employee information.</w:t>
            </w:r>
          </w:p>
        </w:tc>
        <w:tc>
          <w:tcPr>
            <w:tcW w:type="dxa" w:w="2361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Rows are held temporarily in the Import Set Table before final processing.</w:t>
            </w:r>
          </w:p>
        </w:tc>
        <w:tc>
          <w:tcPr>
            <w:tcW w:type="dxa" w:w="2361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 Transform Map is set up to connect each imported field to its target field.</w:t>
            </w:r>
          </w:p>
        </w:tc>
        <w:tc>
          <w:tcPr>
            <w:tcW w:type="dxa" w:w="2361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Records are checked for required values and incomplete or incorrect data.</w:t>
            </w:r>
          </w:p>
        </w:tc>
        <w:tc>
          <w:tcPr>
            <w:tcW w:type="dxa" w:w="2361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Validated rows are mapped and transferred to the target Employee table.</w:t>
            </w:r>
          </w:p>
        </w:tc>
        <w:tc>
          <w:tcPr>
            <w:tcW w:type="dxa" w:w="2361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Employee ID is checked to determine whether to update or insert a record.</w:t>
            </w:r>
          </w:p>
        </w:tc>
        <w:tc>
          <w:tcPr>
            <w:tcW w:type="dxa" w:w="2361"/>
            <w:shd w:fill="F3F6F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The resulting employee data is reviewed through reports and dashboards.</w:t>
            </w:r>
          </w:p>
        </w:tc>
      </w:tr>
      <w:tr>
        <w:trPr>
          <w:cantSplit/>
        </w:trPr>
        <w:tc>
          <w:tcPr>
            <w:tcW w:type="dxa" w:w="1944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2B3A46"/>
                <w:sz w:val="14"/>
              </w:rPr>
              <w:t>Interactions</w:t>
              <w:br/>
              <w:t>(People, places &amp; things)</w:t>
            </w:r>
          </w:p>
        </w:tc>
        <w:tc>
          <w:tcPr>
            <w:tcW w:type="dxa" w:w="2361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Administrator prepares the spreadsheet using a spreadsheet application; employee data is the source.</w:t>
            </w:r>
          </w:p>
        </w:tc>
        <w:tc>
          <w:tcPr>
            <w:tcW w:type="dxa" w:w="2361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Administrator uses the ServiceNow import/upload interface and selects the spreadsheet.</w:t>
            </w:r>
          </w:p>
        </w:tc>
        <w:tc>
          <w:tcPr>
            <w:tcW w:type="dxa" w:w="2361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Administrator reviews staged rows in the Import Set Table within ServiceNow.</w:t>
            </w:r>
          </w:p>
        </w:tc>
        <w:tc>
          <w:tcPr>
            <w:tcW w:type="dxa" w:w="2361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Administrator configures source-to-target field mappings in the Transform Map.</w:t>
            </w:r>
          </w:p>
        </w:tc>
        <w:tc>
          <w:tcPr>
            <w:tcW w:type="dxa" w:w="2361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Administrator reviews validation results and corrects source data where needed.</w:t>
            </w:r>
          </w:p>
        </w:tc>
        <w:tc>
          <w:tcPr>
            <w:tcW w:type="dxa" w:w="2361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Administrator runs the transform process using the configured map.</w:t>
            </w:r>
          </w:p>
        </w:tc>
        <w:tc>
          <w:tcPr>
            <w:tcW w:type="dxa" w:w="2361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ServiceNow uses Employee ID as the coalesce key to match existing employee records.</w:t>
            </w:r>
          </w:p>
        </w:tc>
        <w:tc>
          <w:tcPr>
            <w:tcW w:type="dxa" w:w="2361"/>
            <w:shd w:fill="E8F7FB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Administrator views employee reports and a consolidated dashboard in ServiceNow.</w:t>
            </w:r>
          </w:p>
        </w:tc>
      </w:tr>
      <w:tr>
        <w:trPr>
          <w:cantSplit/>
        </w:trPr>
        <w:tc>
          <w:tcPr>
            <w:tcW w:type="dxa" w:w="1944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2B3A46"/>
                <w:sz w:val="14"/>
              </w:rPr>
              <w:t>Goals &amp; motivations</w:t>
              <w:br/>
              <w:t>(“Help me…”)</w:t>
            </w:r>
          </w:p>
        </w:tc>
        <w:tc>
          <w:tcPr>
            <w:tcW w:type="dxa" w:w="2361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Help me organize employee information in the required spreadsheet format.</w:t>
            </w:r>
          </w:p>
        </w:tc>
        <w:tc>
          <w:tcPr>
            <w:tcW w:type="dxa" w:w="2361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Help me upload employee data to ServiceNow to begin the import.</w:t>
            </w:r>
          </w:p>
        </w:tc>
        <w:tc>
          <w:tcPr>
            <w:tcW w:type="dxa" w:w="2361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Help me stage the data safely before it is added to employee records.</w:t>
            </w:r>
          </w:p>
        </w:tc>
        <w:tc>
          <w:tcPr>
            <w:tcW w:type="dxa" w:w="2361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Help me ensure each source field is connected to the correct target field.</w:t>
            </w:r>
          </w:p>
        </w:tc>
        <w:tc>
          <w:tcPr>
            <w:tcW w:type="dxa" w:w="2361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Help me find missing or invalid values before transforming records.</w:t>
            </w:r>
          </w:p>
        </w:tc>
        <w:tc>
          <w:tcPr>
            <w:tcW w:type="dxa" w:w="2361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Help me transfer employee data accurately to the target table.</w:t>
            </w:r>
          </w:p>
        </w:tc>
        <w:tc>
          <w:tcPr>
            <w:tcW w:type="dxa" w:w="2361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Help me avoid duplicate employee records and update existing information.</w:t>
            </w:r>
          </w:p>
        </w:tc>
        <w:tc>
          <w:tcPr>
            <w:tcW w:type="dxa" w:w="2361"/>
            <w:shd w:fill="FFF3CD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Help me monitor imported employee information and understand its distribution.</w:t>
            </w:r>
          </w:p>
        </w:tc>
      </w:tr>
      <w:tr>
        <w:trPr>
          <w:cantSplit/>
        </w:trPr>
        <w:tc>
          <w:tcPr>
            <w:tcW w:type="dxa" w:w="1944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2B3A46"/>
                <w:sz w:val="14"/>
              </w:rPr>
              <w:t>Positive moments</w:t>
            </w:r>
          </w:p>
        </w:tc>
        <w:tc>
          <w:tcPr>
            <w:tcW w:type="dxa" w:w="2361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Employee fields are gathered in one spreadsheet for import.</w:t>
            </w:r>
          </w:p>
        </w:tc>
        <w:tc>
          <w:tcPr>
            <w:tcW w:type="dxa" w:w="2361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The import process can start from a single uploaded file.</w:t>
            </w:r>
          </w:p>
        </w:tc>
        <w:tc>
          <w:tcPr>
            <w:tcW w:type="dxa" w:w="2361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Staging separates uploaded data from final employee records.</w:t>
            </w:r>
          </w:p>
        </w:tc>
        <w:tc>
          <w:tcPr>
            <w:tcW w:type="dxa" w:w="2361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Explicit field mapping clarifies how imported values will be stored.</w:t>
            </w:r>
          </w:p>
        </w:tc>
        <w:tc>
          <w:tcPr>
            <w:tcW w:type="dxa" w:w="2361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Validation can surface issues before records reach the target table.</w:t>
            </w:r>
          </w:p>
        </w:tc>
        <w:tc>
          <w:tcPr>
            <w:tcW w:type="dxa" w:w="2361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Mapped employee information is transferred into the target table.</w:t>
            </w:r>
          </w:p>
        </w:tc>
        <w:tc>
          <w:tcPr>
            <w:tcW w:type="dxa" w:w="2361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Existing records can be updated while new employees are inserted.</w:t>
            </w:r>
          </w:p>
        </w:tc>
        <w:tc>
          <w:tcPr>
            <w:tcW w:type="dxa" w:w="2361"/>
            <w:shd w:fill="EAF8E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Reports and dashboards provide a visual overview of imported data.</w:t>
            </w:r>
          </w:p>
        </w:tc>
      </w:tr>
      <w:tr>
        <w:trPr>
          <w:cantSplit/>
        </w:trPr>
        <w:tc>
          <w:tcPr>
            <w:tcW w:type="dxa" w:w="1944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2B3A46"/>
                <w:sz w:val="14"/>
              </w:rPr>
              <w:t>Negative moments / risks</w:t>
            </w:r>
          </w:p>
        </w:tc>
        <w:tc>
          <w:tcPr>
            <w:tcW w:type="dxa" w:w="2361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Missing columns, inconsistent values, or incorrectly formatted data may affect import quality.</w:t>
            </w:r>
          </w:p>
        </w:tc>
        <w:tc>
          <w:tcPr>
            <w:tcW w:type="dxa" w:w="2361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An incorrect or unsupported file may prevent the intended data from being imported.</w:t>
            </w:r>
          </w:p>
        </w:tc>
        <w:tc>
          <w:tcPr>
            <w:tcW w:type="dxa" w:w="2361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Staged rows may contain incomplete or inaccurate information requiring review.</w:t>
            </w:r>
          </w:p>
        </w:tc>
        <w:tc>
          <w:tcPr>
            <w:tcW w:type="dxa" w:w="2361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Incorrect field mappings can place data in the wrong target fields.</w:t>
            </w:r>
          </w:p>
        </w:tc>
        <w:tc>
          <w:tcPr>
            <w:tcW w:type="dxa" w:w="2361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Missing Employee ID, Name, or Email and invalid values can block or compromise processing.</w:t>
            </w:r>
          </w:p>
        </w:tc>
        <w:tc>
          <w:tcPr>
            <w:tcW w:type="dxa" w:w="2361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Incorrect mapping or conversion can lead to inaccurate target records.</w:t>
            </w:r>
          </w:p>
        </w:tc>
        <w:tc>
          <w:tcPr>
            <w:tcW w:type="dxa" w:w="2361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If Employee ID is not unique or coalesce is configured incorrectly, duplicate or unintended updates may occur.</w:t>
            </w:r>
          </w:p>
        </w:tc>
        <w:tc>
          <w:tcPr>
            <w:tcW w:type="dxa" w:w="2361"/>
            <w:shd w:fill="FCE7F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Reports may be less useful if imported records contain errors or inconsistent values.</w:t>
            </w:r>
          </w:p>
        </w:tc>
      </w:tr>
      <w:tr>
        <w:trPr>
          <w:cantSplit/>
        </w:trPr>
        <w:tc>
          <w:tcPr>
            <w:tcW w:type="dxa" w:w="1944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/>
                <w:color w:val="2B3A46"/>
                <w:sz w:val="14"/>
              </w:rPr>
              <w:t>Areas of opportunity</w:t>
            </w:r>
          </w:p>
        </w:tc>
        <w:tc>
          <w:tcPr>
            <w:tcW w:type="dxa" w:w="2361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Provide a clear spreadsheet structure and explain the expected employee fields.</w:t>
            </w:r>
          </w:p>
        </w:tc>
        <w:tc>
          <w:tcPr>
            <w:tcW w:type="dxa" w:w="2361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Show upload guidance and a clear indication that the file has been received.</w:t>
            </w:r>
          </w:p>
        </w:tc>
        <w:tc>
          <w:tcPr>
            <w:tcW w:type="dxa" w:w="2361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Make staged data easy to inspect before transformation.</w:t>
            </w:r>
          </w:p>
        </w:tc>
        <w:tc>
          <w:tcPr>
            <w:tcW w:type="dxa" w:w="2361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Review field mappings before running the transform.</w:t>
            </w:r>
          </w:p>
        </w:tc>
        <w:tc>
          <w:tcPr>
            <w:tcW w:type="dxa" w:w="2361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Highlight missing required values and identify rows that need correction.</w:t>
            </w:r>
          </w:p>
        </w:tc>
        <w:tc>
          <w:tcPr>
            <w:tcW w:type="dxa" w:w="2361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Provide a clear transform outcome so administrators can review processing results.</w:t>
            </w:r>
          </w:p>
        </w:tc>
        <w:tc>
          <w:tcPr>
            <w:tcW w:type="dxa" w:w="2361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Confirm Employee ID coalesce configuration and review which records were updated or inserted.</w:t>
            </w:r>
          </w:p>
        </w:tc>
        <w:tc>
          <w:tcPr>
            <w:tcW w:type="dxa" w:w="2361"/>
            <w:shd w:fill="FFF9D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/>
                <w:b w:val="0"/>
                <w:sz w:val="14"/>
              </w:rPr>
              <w:t>Create reports grouped by Department and Location, and combine relevant views in a dashboard.</w:t>
            </w:r>
          </w:p>
        </w:tc>
      </w:tr>
    </w:tbl>
    <w:p>
      <w:pPr>
        <w:spacing w:before="100" w:after="0"/>
      </w:pPr>
      <w:r>
        <w:rPr>
          <w:b/>
          <w:color w:val="00806E"/>
          <w:sz w:val="16"/>
        </w:rPr>
        <w:t xml:space="preserve">DATA FLOW  </w:t>
      </w:r>
      <w:r>
        <w:rPr>
          <w:color w:val="3C4650"/>
          <w:sz w:val="16"/>
        </w:rPr>
        <w:t>Spreadsheet → Import Set Table (staging) → Validate → Transform Map → Employee table (coalesce on Employee ID) → Reports &amp; Dashboards</w:t>
      </w:r>
    </w:p>
    <w:sectPr w:rsidR="00FC693F" w:rsidRPr="0006063C" w:rsidSect="00034616">
      <w:footerReference w:type="default" r:id="rId9"/>
      <w:pgSz w:w="23818" w:h="16834" w:orient="landscape"/>
      <w:pgMar w:top="547" w:right="547" w:bottom="547" w:left="54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8828C"/>
        <w:sz w:val="14"/>
      </w:rPr>
      <w:t>ServiceNow employee data import  |  Journey 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D374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