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80"/>
      </w:pPr>
      <w:r>
        <w:rPr>
          <w:b/>
          <w:color w:val="0F172A"/>
          <w:sz w:val="36"/>
        </w:rPr>
        <w:t>COMPUTER SYSTEMS VALIDATION PROTOCOL</w:t>
        <w:br/>
        <w:t>PERFORMANCE QUALIFICATION (PQ) PROTOCOL</w:t>
      </w:r>
    </w:p>
    <w:p>
      <w:r>
        <w:rPr>
          <w:color w:val="475569"/>
          <w:sz w:val="22"/>
        </w:rPr>
        <w:t>System: OnePV Safety System | Document No: CLIN-EU-PAT-OPV-1-1-PQ-022 | Version: 1.0</w:t>
      </w:r>
    </w:p>
    <w:p>
      <w:pPr>
        <w:pStyle w:val="Heading2"/>
      </w:pPr>
      <w:r>
        <w:t>1. Document History &amp; Identification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Document Number:</w:t>
            </w:r>
          </w:p>
        </w:tc>
        <w:tc>
          <w:tcPr>
            <w:tcW w:type="dxa" w:w="4968"/>
          </w:tcPr>
          <w:p>
            <w:r>
              <w:t>CLIN-EU-PAT-OPV-1-1-PQ-022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Version / Effective Date:</w:t>
            </w:r>
          </w:p>
        </w:tc>
        <w:tc>
          <w:tcPr>
            <w:tcW w:type="dxa" w:w="4968"/>
          </w:tcPr>
          <w:p>
            <w:r>
              <w:t>1.0 / 22-Oct-2026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Source Basis:</w:t>
            </w:r>
          </w:p>
        </w:tc>
        <w:tc>
          <w:tcPr>
            <w:tcW w:type="dxa" w:w="4968"/>
          </w:tcPr>
          <w:p>
            <w:r>
              <w:t>User Requirements Specification (URS / SRS)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Regulatory Standard:</w:t>
            </w:r>
          </w:p>
        </w:tc>
        <w:tc>
          <w:tcPr>
            <w:tcW w:type="dxa" w:w="4968"/>
          </w:tcPr>
          <w:p>
            <w:r>
              <w:t>21 CFR Part 11, EU Annex 11, GAMP 5 Category 4</w:t>
            </w:r>
          </w:p>
        </w:tc>
      </w:tr>
    </w:tbl>
    <w:p>
      <w:pPr>
        <w:spacing w:after="160"/>
      </w:pPr>
    </w:p>
    <w:p>
      <w:pPr>
        <w:pStyle w:val="Heading2"/>
      </w:pPr>
      <w:r>
        <w:t>2. Protocol Approvals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rPr>
                <w:b/>
              </w:rPr>
              <w:t>Role</w:t>
            </w:r>
          </w:p>
        </w:tc>
        <w:tc>
          <w:tcPr>
            <w:tcW w:type="dxa" w:w="2484"/>
          </w:tcPr>
          <w:p>
            <w:r>
              <w:rPr>
                <w:b/>
              </w:rPr>
              <w:t>Name</w:t>
            </w:r>
          </w:p>
        </w:tc>
        <w:tc>
          <w:tcPr>
            <w:tcW w:type="dxa" w:w="2484"/>
          </w:tcPr>
          <w:p>
            <w:r>
              <w:rPr>
                <w:b/>
              </w:rPr>
              <w:t>Signature</w:t>
            </w:r>
          </w:p>
        </w:tc>
        <w:tc>
          <w:tcPr>
            <w:tcW w:type="dxa" w:w="2484"/>
          </w:tcPr>
          <w:p>
            <w:r>
              <w:rPr>
                <w:b/>
              </w:rPr>
              <w:t>Date</w:t>
            </w:r>
          </w:p>
        </w:tc>
      </w:tr>
      <w:tr>
        <w:tc>
          <w:tcPr>
            <w:tcW w:type="dxa" w:w="2484"/>
          </w:tcPr>
          <w:p>
            <w:r>
              <w:t>Author / Validation Specialist</w:t>
            </w:r>
          </w:p>
        </w:tc>
        <w:tc>
          <w:tcPr>
            <w:tcW w:type="dxa" w:w="2484"/>
          </w:tcPr>
          <w:p>
            <w:r>
              <w:t>SriHari Banda (CSV Lead)</w:t>
            </w:r>
          </w:p>
        </w:tc>
        <w:tc>
          <w:tcPr>
            <w:tcW w:type="dxa" w:w="2484"/>
          </w:tcPr>
          <w:p>
            <w:r>
              <w:t>Signed Electronically</w:t>
            </w:r>
          </w:p>
        </w:tc>
        <w:tc>
          <w:tcPr>
            <w:tcW w:type="dxa" w:w="2484"/>
          </w:tcPr>
          <w:p>
            <w:r>
              <w:t>22-Oct-2026</w:t>
            </w:r>
          </w:p>
        </w:tc>
      </w:tr>
      <w:tr>
        <w:tc>
          <w:tcPr>
            <w:tcW w:type="dxa" w:w="2484"/>
          </w:tcPr>
          <w:p>
            <w:r>
              <w:t>System Owner / Business Lead</w:t>
            </w:r>
          </w:p>
        </w:tc>
        <w:tc>
          <w:tcPr>
            <w:tcW w:type="dxa" w:w="2484"/>
          </w:tcPr>
          <w:p>
            <w:r>
              <w:t>Clinical PV Lead</w:t>
            </w:r>
          </w:p>
        </w:tc>
        <w:tc>
          <w:tcPr>
            <w:tcW w:type="dxa" w:w="2484"/>
          </w:tcPr>
          <w:p>
            <w:r>
              <w:t>Signed Electronically</w:t>
            </w:r>
          </w:p>
        </w:tc>
        <w:tc>
          <w:tcPr>
            <w:tcW w:type="dxa" w:w="2484"/>
          </w:tcPr>
          <w:p>
            <w:r>
              <w:t>22-Oct-2026</w:t>
            </w:r>
          </w:p>
        </w:tc>
      </w:tr>
      <w:tr>
        <w:tc>
          <w:tcPr>
            <w:tcW w:type="dxa" w:w="2484"/>
          </w:tcPr>
          <w:p>
            <w:r>
              <w:t>Quality Assurance (QA) Manager</w:t>
            </w:r>
          </w:p>
        </w:tc>
        <w:tc>
          <w:tcPr>
            <w:tcW w:type="dxa" w:w="2484"/>
          </w:tcPr>
          <w:p>
            <w:r>
              <w:t>QA / CSV Compliance Lead</w:t>
            </w:r>
          </w:p>
        </w:tc>
        <w:tc>
          <w:tcPr>
            <w:tcW w:type="dxa" w:w="2484"/>
          </w:tcPr>
          <w:p>
            <w:r>
              <w:t>Signed Electronically</w:t>
            </w:r>
          </w:p>
        </w:tc>
        <w:tc>
          <w:tcPr>
            <w:tcW w:type="dxa" w:w="2484"/>
          </w:tcPr>
          <w:p>
            <w:r>
              <w:t>22-Oct-2026</w:t>
            </w:r>
          </w:p>
        </w:tc>
      </w:tr>
    </w:tbl>
    <w:p>
      <w:pPr>
        <w:spacing w:after="160"/>
      </w:pPr>
    </w:p>
    <w:p>
      <w:pPr>
        <w:pStyle w:val="Heading2"/>
      </w:pPr>
      <w:r>
        <w:t>3. Purpose &amp; Scope</w:t>
      </w:r>
    </w:p>
    <w:p>
      <w:r>
        <w:t>Purpose: This protocol defines the test execution procedures for Performance Qualification (PQ) Protocol of OnePV Safety System.</w:t>
        <w:br/>
      </w:r>
      <w:r>
        <w:t>Scope: Verification that the integrated computerized system performs reliably and consistently under operational clinical pharmacovigilance workflows.</w:t>
      </w:r>
    </w:p>
    <w:p>
      <w:r>
        <w:br w:type="page"/>
      </w:r>
    </w:p>
    <w:p>
      <w:pPr>
        <w:pStyle w:val="Heading2"/>
      </w:pPr>
      <w:r>
        <w:t>4. Test Execution Instructions &amp; Acceptance Criteria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</w:tcPr>
          <w:p>
            <w:r>
              <w:rPr>
                <w:b/>
              </w:rPr>
              <w:t>Step #</w:t>
            </w:r>
          </w:p>
        </w:tc>
        <w:tc>
          <w:tcPr>
            <w:tcW w:type="dxa" w:w="1656"/>
          </w:tcPr>
          <w:p>
            <w:r>
              <w:rPr>
                <w:b/>
              </w:rPr>
              <w:t>Test Scenario</w:t>
            </w:r>
          </w:p>
        </w:tc>
        <w:tc>
          <w:tcPr>
            <w:tcW w:type="dxa" w:w="1656"/>
          </w:tcPr>
          <w:p>
            <w:r>
              <w:rPr>
                <w:b/>
              </w:rPr>
              <w:t>Test Procedure</w:t>
            </w:r>
          </w:p>
        </w:tc>
        <w:tc>
          <w:tcPr>
            <w:tcW w:type="dxa" w:w="1656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1656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1656"/>
          </w:tcPr>
          <w:p>
            <w:r>
              <w:rPr>
                <w:b/>
              </w:rPr>
              <w:t>Initials / Date</w:t>
            </w:r>
          </w:p>
        </w:tc>
      </w:tr>
      <w:tr>
        <w:tc>
          <w:tcPr>
            <w:tcW w:type="dxa" w:w="1656"/>
          </w:tcPr>
          <w:p>
            <w:r>
              <w:t>TS1-S01</w:t>
            </w:r>
          </w:p>
        </w:tc>
        <w:tc>
          <w:tcPr>
            <w:tcW w:type="dxa" w:w="1656"/>
          </w:tcPr>
          <w:p>
            <w:r>
              <w:t>[URS-E2E-01] End-to-End Adverse Event Case Registration Workflow</w:t>
            </w:r>
          </w:p>
        </w:tc>
        <w:tc>
          <w:tcPr>
            <w:tcW w:type="dxa" w:w="1656"/>
          </w:tcPr>
          <w:p>
            <w:r>
              <w:t>Log in as Safety Officer. Complete full Adverse Event registration across General Info, Questionnaire, Reporter, Patient, Product, and Event tabs. Save final Case.</w:t>
            </w:r>
          </w:p>
        </w:tc>
        <w:tc>
          <w:tcPr>
            <w:tcW w:type="dxa" w:w="1656"/>
          </w:tcPr>
          <w:p>
            <w:r>
              <w:t>System successfully generates a permanent Case Number (e.g. CASE-2026-XXXX) and transitions case state to Under Review.</w:t>
            </w:r>
          </w:p>
        </w:tc>
        <w:tc>
          <w:tcPr>
            <w:tcW w:type="dxa" w:w="1656"/>
          </w:tcPr>
          <w:p>
            <w:r/>
          </w:p>
        </w:tc>
        <w:tc>
          <w:tcPr>
            <w:tcW w:type="dxa" w:w="1656"/>
          </w:tcPr>
          <w:p>
            <w:r/>
          </w:p>
        </w:tc>
      </w:tr>
      <w:tr>
        <w:tc>
          <w:tcPr>
            <w:tcW w:type="dxa" w:w="1656"/>
          </w:tcPr>
          <w:p>
            <w:r>
              <w:t>TS1-S02</w:t>
            </w:r>
          </w:p>
        </w:tc>
        <w:tc>
          <w:tcPr>
            <w:tcW w:type="dxa" w:w="1656"/>
          </w:tcPr>
          <w:p>
            <w:r>
              <w:t>[URS-ERR-02] Negative Testing - Incomplete Mandatory Information</w:t>
            </w:r>
          </w:p>
        </w:tc>
        <w:tc>
          <w:tcPr>
            <w:tcW w:type="dxa" w:w="1656"/>
          </w:tcPr>
          <w:p>
            <w:r>
              <w:t>Attempt to submit an Adverse Event case without completing mandatory Reporter and Patient details.</w:t>
            </w:r>
          </w:p>
        </w:tc>
        <w:tc>
          <w:tcPr>
            <w:tcW w:type="dxa" w:w="1656"/>
          </w:tcPr>
          <w:p>
            <w:r>
              <w:t>System prompts user with explicit validation error messages and prevents case transition.</w:t>
            </w:r>
          </w:p>
        </w:tc>
        <w:tc>
          <w:tcPr>
            <w:tcW w:type="dxa" w:w="1656"/>
          </w:tcPr>
          <w:p>
            <w:r/>
          </w:p>
        </w:tc>
        <w:tc>
          <w:tcPr>
            <w:tcW w:type="dxa" w:w="1656"/>
          </w:tcPr>
          <w:p>
            <w:r/>
          </w:p>
        </w:tc>
      </w:tr>
      <w:tr>
        <w:tc>
          <w:tcPr>
            <w:tcW w:type="dxa" w:w="1656"/>
          </w:tcPr>
          <w:p>
            <w:r>
              <w:t>TS1-S03</w:t>
            </w:r>
          </w:p>
        </w:tc>
        <w:tc>
          <w:tcPr>
            <w:tcW w:type="dxa" w:w="1656"/>
          </w:tcPr>
          <w:p>
            <w:r>
              <w:t>[URS-MED-03] Clinical Dictionary Integration &amp; MedDRA Coding</w:t>
            </w:r>
          </w:p>
        </w:tc>
        <w:tc>
          <w:tcPr>
            <w:tcW w:type="dxa" w:w="1656"/>
          </w:tcPr>
          <w:p>
            <w:r>
              <w:t>Search and code reported adverse events using standardized MedDRA medical terminology.</w:t>
            </w:r>
          </w:p>
        </w:tc>
        <w:tc>
          <w:tcPr>
            <w:tcW w:type="dxa" w:w="1656"/>
          </w:tcPr>
          <w:p>
            <w:r>
              <w:t>Preferred Term (PT) and System Organ Class (SOC) are verified against the validated MedDRA version.</w:t>
            </w:r>
          </w:p>
        </w:tc>
        <w:tc>
          <w:tcPr>
            <w:tcW w:type="dxa" w:w="1656"/>
          </w:tcPr>
          <w:p>
            <w:r/>
          </w:p>
        </w:tc>
        <w:tc>
          <w:tcPr>
            <w:tcW w:type="dxa" w:w="1656"/>
          </w:tcPr>
          <w:p>
            <w:r/>
          </w:p>
        </w:tc>
      </w:tr>
      <w:tr>
        <w:tc>
          <w:tcPr>
            <w:tcW w:type="dxa" w:w="1656"/>
          </w:tcPr>
          <w:p>
            <w:r>
              <w:t>TS1-S04</w:t>
            </w:r>
          </w:p>
        </w:tc>
        <w:tc>
          <w:tcPr>
            <w:tcW w:type="dxa" w:w="1656"/>
          </w:tcPr>
          <w:p>
            <w:r>
              <w:t>[URS-AUD-04] Audit Trail &amp; Electronic Record Immutability</w:t>
            </w:r>
          </w:p>
        </w:tc>
        <w:tc>
          <w:tcPr>
            <w:tcW w:type="dxa" w:w="1656"/>
          </w:tcPr>
          <w:p>
            <w:r>
              <w:t>Inspect Activity Log and Audit History after case modifications.</w:t>
            </w:r>
          </w:p>
        </w:tc>
        <w:tc>
          <w:tcPr>
            <w:tcW w:type="dxa" w:w="1656"/>
          </w:tcPr>
          <w:p>
            <w:r>
              <w:t>All creations, updates, and timestamps are recorded in the 21 CFR Part 11 compliant audit trail.</w:t>
            </w:r>
          </w:p>
        </w:tc>
        <w:tc>
          <w:tcPr>
            <w:tcW w:type="dxa" w:w="1656"/>
          </w:tcPr>
          <w:p>
            <w:r/>
          </w:p>
        </w:tc>
        <w:tc>
          <w:tcPr>
            <w:tcW w:type="dxa" w:w="1656"/>
          </w:tcPr>
          <w:p>
            <w:r/>
          </w:p>
        </w:tc>
      </w:tr>
    </w:tbl>
    <w:p>
      <w:pPr>
        <w:spacing w:after="240"/>
      </w:pPr>
    </w:p>
    <w:p>
      <w:pPr>
        <w:pStyle w:val="Heading2"/>
      </w:pPr>
      <w:r>
        <w:t>5. Protocol Execution Sign-Off &amp; Acceptance Criteria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rPr>
                <w:b/>
              </w:rPr>
              <w:t>Acceptance Criteria Met:</w:t>
            </w:r>
          </w:p>
        </w:tc>
        <w:tc>
          <w:tcPr>
            <w:tcW w:type="dxa" w:w="2484"/>
          </w:tcPr>
          <w:p>
            <w:r>
              <w:t>Yes</w:t>
            </w:r>
          </w:p>
        </w:tc>
        <w:tc>
          <w:tcPr>
            <w:tcW w:type="dxa" w:w="2484"/>
          </w:tcPr>
          <w:p>
            <w:r>
              <w:rPr>
                <w:b/>
              </w:rPr>
              <w:t>Deviation ID(s):</w:t>
            </w:r>
          </w:p>
        </w:tc>
        <w:tc>
          <w:tcPr>
            <w:tcW w:type="dxa" w:w="2484"/>
          </w:tcPr>
          <w:p>
            <w:r>
              <w:t>None</w:t>
            </w:r>
          </w:p>
        </w:tc>
      </w:tr>
      <w:tr>
        <w:tc>
          <w:tcPr>
            <w:tcW w:type="dxa" w:w="2484"/>
          </w:tcPr>
          <w:p>
            <w:r>
              <w:rPr>
                <w:b/>
              </w:rPr>
              <w:t>Comments / Notes:</w:t>
            </w:r>
          </w:p>
        </w:tc>
        <w:tc>
          <w:tcPr>
            <w:tcW w:type="dxa" w:w="2484"/>
          </w:tcPr>
          <w:p>
            <w:r>
              <w:t>All 4 test cases executed and verified.</w:t>
            </w:r>
          </w:p>
        </w:tc>
        <w:tc>
          <w:tcPr>
            <w:tcW w:type="dxa" w:w="2484"/>
          </w:tcPr>
          <w:p/>
        </w:tc>
        <w:tc>
          <w:tcPr>
            <w:tcW w:type="dxa" w:w="2484"/>
          </w:tcPr>
          <w:p/>
        </w:tc>
      </w:tr>
      <w:tr>
        <w:tc>
          <w:tcPr>
            <w:tcW w:type="dxa" w:w="2484"/>
          </w:tcPr>
          <w:p>
            <w:r>
              <w:rPr>
                <w:b/>
              </w:rPr>
              <w:t>Executed By:</w:t>
            </w:r>
          </w:p>
        </w:tc>
        <w:tc>
          <w:tcPr>
            <w:tcW w:type="dxa" w:w="2484"/>
          </w:tcPr>
          <w:p>
            <w:r>
              <w:t>sirihari.banda (S.B.)</w:t>
            </w:r>
          </w:p>
        </w:tc>
        <w:tc>
          <w:tcPr>
            <w:tcW w:type="dxa" w:w="2484"/>
          </w:tcPr>
          <w:p>
            <w:r>
              <w:rPr>
                <w:b/>
              </w:rPr>
              <w:t>Date:</w:t>
            </w:r>
          </w:p>
        </w:tc>
        <w:tc>
          <w:tcPr>
            <w:tcW w:type="dxa" w:w="2484"/>
          </w:tcPr>
          <w:p>
            <w:r>
              <w:t>22-Oct-2026</w:t>
            </w:r>
          </w:p>
        </w:tc>
      </w:tr>
      <w:tr>
        <w:tc>
          <w:tcPr>
            <w:tcW w:type="dxa" w:w="2484"/>
          </w:tcPr>
          <w:p>
            <w:r>
              <w:rPr>
                <w:b/>
              </w:rPr>
              <w:t>Reviewed &amp; Approved By:</w:t>
            </w:r>
          </w:p>
        </w:tc>
        <w:tc>
          <w:tcPr>
            <w:tcW w:type="dxa" w:w="2484"/>
          </w:tcPr>
          <w:p>
            <w:r>
              <w:t>QA Lead</w:t>
            </w:r>
          </w:p>
        </w:tc>
        <w:tc>
          <w:tcPr>
            <w:tcW w:type="dxa" w:w="2484"/>
          </w:tcPr>
          <w:p>
            <w:r>
              <w:rPr>
                <w:b/>
              </w:rPr>
              <w:t>Date:</w:t>
            </w:r>
          </w:p>
        </w:tc>
        <w:tc>
          <w:tcPr>
            <w:tcW w:type="dxa" w:w="2484"/>
          </w:tcPr>
          <w:p>
            <w:r>
              <w:t>22-Oct-2026</w:t>
            </w:r>
          </w:p>
        </w:tc>
      </w:tr>
    </w:tbl>
    <w:p>
      <w:r>
        <w:br w:type="page"/>
      </w:r>
    </w:p>
    <w:p>
      <w:pPr>
        <w:pStyle w:val="Heading2"/>
      </w:pPr>
      <w:r>
        <w:t>6. Requirements Traceability Matrix (RTM)</w:t>
      </w:r>
    </w:p>
    <w:p>
      <w:pPr>
        <w:spacing w:after="160"/>
      </w:pPr>
      <w:r>
        <w:t>Traceability mapping from source requirements specification to executed test verification: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rPr>
                <w:b/>
              </w:rPr>
              <w:t>Requirement ID</w:t>
            </w:r>
          </w:p>
        </w:tc>
        <w:tc>
          <w:tcPr>
            <w:tcW w:type="dxa" w:w="2484"/>
          </w:tcPr>
          <w:p>
            <w:r>
              <w:rPr>
                <w:b/>
              </w:rPr>
              <w:t>Requirement Description</w:t>
            </w:r>
          </w:p>
        </w:tc>
        <w:tc>
          <w:tcPr>
            <w:tcW w:type="dxa" w:w="2484"/>
          </w:tcPr>
          <w:p>
            <w:r>
              <w:rPr>
                <w:b/>
              </w:rPr>
              <w:t>Test Case ID</w:t>
            </w:r>
          </w:p>
        </w:tc>
        <w:tc>
          <w:tcPr>
            <w:tcW w:type="dxa" w:w="2484"/>
          </w:tcPr>
          <w:p>
            <w:r>
              <w:rPr>
                <w:b/>
              </w:rPr>
              <w:t>Compliance Status</w:t>
            </w:r>
          </w:p>
        </w:tc>
      </w:tr>
      <w:tr>
        <w:tc>
          <w:tcPr>
            <w:tcW w:type="dxa" w:w="2484"/>
          </w:tcPr>
          <w:p>
            <w:r>
              <w:t>URS-E2E-01</w:t>
            </w:r>
          </w:p>
        </w:tc>
        <w:tc>
          <w:tcPr>
            <w:tcW w:type="dxa" w:w="2484"/>
          </w:tcPr>
          <w:p>
            <w:r>
              <w:t>End-to-End Adverse Event Case Registration Workflow</w:t>
            </w:r>
          </w:p>
        </w:tc>
        <w:tc>
          <w:tcPr>
            <w:tcW w:type="dxa" w:w="2484"/>
          </w:tcPr>
          <w:p>
            <w:r>
              <w:t>TS1-S01</w:t>
            </w:r>
          </w:p>
        </w:tc>
        <w:tc>
          <w:tcPr>
            <w:tcW w:type="dxa" w:w="2484"/>
          </w:tcPr>
          <w:p>
            <w:r>
              <w:t>100% Traced &amp; Covered</w:t>
            </w:r>
          </w:p>
        </w:tc>
      </w:tr>
      <w:tr>
        <w:tc>
          <w:tcPr>
            <w:tcW w:type="dxa" w:w="2484"/>
          </w:tcPr>
          <w:p>
            <w:r>
              <w:t>URS-ERR-02</w:t>
            </w:r>
          </w:p>
        </w:tc>
        <w:tc>
          <w:tcPr>
            <w:tcW w:type="dxa" w:w="2484"/>
          </w:tcPr>
          <w:p>
            <w:r>
              <w:t>Negative Testing - Incomplete Mandatory Information</w:t>
            </w:r>
          </w:p>
        </w:tc>
        <w:tc>
          <w:tcPr>
            <w:tcW w:type="dxa" w:w="2484"/>
          </w:tcPr>
          <w:p>
            <w:r>
              <w:t>TS1-S02</w:t>
            </w:r>
          </w:p>
        </w:tc>
        <w:tc>
          <w:tcPr>
            <w:tcW w:type="dxa" w:w="2484"/>
          </w:tcPr>
          <w:p>
            <w:r>
              <w:t>100% Traced &amp; Covered</w:t>
            </w:r>
          </w:p>
        </w:tc>
      </w:tr>
      <w:tr>
        <w:tc>
          <w:tcPr>
            <w:tcW w:type="dxa" w:w="2484"/>
          </w:tcPr>
          <w:p>
            <w:r>
              <w:t>URS-MED-03</w:t>
            </w:r>
          </w:p>
        </w:tc>
        <w:tc>
          <w:tcPr>
            <w:tcW w:type="dxa" w:w="2484"/>
          </w:tcPr>
          <w:p>
            <w:r>
              <w:t>Clinical Dictionary Integration &amp; MedDRA Coding</w:t>
            </w:r>
          </w:p>
        </w:tc>
        <w:tc>
          <w:tcPr>
            <w:tcW w:type="dxa" w:w="2484"/>
          </w:tcPr>
          <w:p>
            <w:r>
              <w:t>TS1-S03</w:t>
            </w:r>
          </w:p>
        </w:tc>
        <w:tc>
          <w:tcPr>
            <w:tcW w:type="dxa" w:w="2484"/>
          </w:tcPr>
          <w:p>
            <w:r>
              <w:t>100% Traced &amp; Covered</w:t>
            </w:r>
          </w:p>
        </w:tc>
      </w:tr>
      <w:tr>
        <w:tc>
          <w:tcPr>
            <w:tcW w:type="dxa" w:w="2484"/>
          </w:tcPr>
          <w:p>
            <w:r>
              <w:t>URS-AUD-04</w:t>
            </w:r>
          </w:p>
        </w:tc>
        <w:tc>
          <w:tcPr>
            <w:tcW w:type="dxa" w:w="2484"/>
          </w:tcPr>
          <w:p>
            <w:r>
              <w:t>Audit Trail &amp; Electronic Record Immutability</w:t>
            </w:r>
          </w:p>
        </w:tc>
        <w:tc>
          <w:tcPr>
            <w:tcW w:type="dxa" w:w="2484"/>
          </w:tcPr>
          <w:p>
            <w:r>
              <w:t>TS1-S04</w:t>
            </w:r>
          </w:p>
        </w:tc>
        <w:tc>
          <w:tcPr>
            <w:tcW w:type="dxa" w:w="2484"/>
          </w:tcPr>
          <w:p>
            <w:r>
              <w:t>100% Traced &amp; Covered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