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B0EC" w14:textId="77777777" w:rsidR="00864BE6" w:rsidRDefault="00864BE6">
      <w:pPr>
        <w:jc w:val="center"/>
        <w:rPr>
          <w:b/>
          <w:color w:val="000000"/>
          <w:sz w:val="24"/>
          <w:szCs w:val="24"/>
        </w:rPr>
      </w:pPr>
    </w:p>
    <w:p w14:paraId="7D7720AD" w14:textId="77777777" w:rsidR="00864BE6" w:rsidRDefault="00864BE6">
      <w:pPr>
        <w:jc w:val="center"/>
        <w:rPr>
          <w:b/>
          <w:color w:val="000000"/>
          <w:sz w:val="24"/>
          <w:szCs w:val="24"/>
        </w:rPr>
      </w:pPr>
    </w:p>
    <w:p w14:paraId="5E2D8FF8" w14:textId="77777777" w:rsidR="00864BE6" w:rsidRDefault="00864BE6">
      <w:pPr>
        <w:jc w:val="center"/>
        <w:rPr>
          <w:b/>
          <w:color w:val="000000"/>
          <w:sz w:val="24"/>
          <w:szCs w:val="24"/>
        </w:rPr>
      </w:pPr>
    </w:p>
    <w:p w14:paraId="14F91881" w14:textId="77777777" w:rsidR="00864BE6" w:rsidRDefault="00864BE6">
      <w:pPr>
        <w:jc w:val="center"/>
        <w:rPr>
          <w:b/>
          <w:color w:val="000000"/>
          <w:sz w:val="24"/>
          <w:szCs w:val="24"/>
        </w:rPr>
      </w:pPr>
    </w:p>
    <w:p w14:paraId="332DC68F" w14:textId="77777777" w:rsidR="00864BE6" w:rsidRDefault="00864BE6">
      <w:pPr>
        <w:jc w:val="center"/>
        <w:rPr>
          <w:b/>
          <w:color w:val="000000"/>
          <w:sz w:val="24"/>
          <w:szCs w:val="24"/>
        </w:rPr>
      </w:pPr>
    </w:p>
    <w:p w14:paraId="7E27308A" w14:textId="77777777" w:rsidR="00864BE6" w:rsidRDefault="00864BE6">
      <w:pPr>
        <w:jc w:val="center"/>
        <w:rPr>
          <w:b/>
          <w:color w:val="000000"/>
          <w:sz w:val="24"/>
          <w:szCs w:val="24"/>
        </w:rPr>
      </w:pPr>
    </w:p>
    <w:p w14:paraId="407E211C" w14:textId="77777777" w:rsidR="00864BE6" w:rsidRDefault="00864BE6">
      <w:pPr>
        <w:jc w:val="center"/>
        <w:rPr>
          <w:b/>
          <w:color w:val="000000"/>
          <w:sz w:val="24"/>
          <w:szCs w:val="24"/>
        </w:rPr>
      </w:pPr>
    </w:p>
    <w:p w14:paraId="41C8F621" w14:textId="77777777" w:rsidR="00864BE6" w:rsidRDefault="00864BE6">
      <w:pPr>
        <w:jc w:val="center"/>
        <w:rPr>
          <w:b/>
          <w:color w:val="000000"/>
          <w:sz w:val="24"/>
          <w:szCs w:val="24"/>
        </w:rPr>
      </w:pPr>
    </w:p>
    <w:p w14:paraId="55972A5A" w14:textId="77777777" w:rsidR="00864BE6" w:rsidRDefault="00864BE6">
      <w:pPr>
        <w:jc w:val="center"/>
        <w:rPr>
          <w:b/>
          <w:color w:val="000000"/>
          <w:sz w:val="24"/>
          <w:szCs w:val="24"/>
        </w:rPr>
      </w:pPr>
    </w:p>
    <w:p w14:paraId="23409AC9" w14:textId="77777777" w:rsidR="00864BE6" w:rsidRDefault="00864BE6">
      <w:pPr>
        <w:jc w:val="center"/>
        <w:rPr>
          <w:b/>
          <w:color w:val="000000"/>
          <w:sz w:val="24"/>
          <w:szCs w:val="24"/>
        </w:rPr>
      </w:pPr>
    </w:p>
    <w:p w14:paraId="007ECD91" w14:textId="77777777" w:rsidR="00864BE6" w:rsidRDefault="00864BE6">
      <w:pPr>
        <w:jc w:val="center"/>
        <w:rPr>
          <w:b/>
          <w:color w:val="000000"/>
          <w:sz w:val="24"/>
          <w:szCs w:val="24"/>
        </w:rPr>
      </w:pPr>
    </w:p>
    <w:p w14:paraId="1BA0DE2A" w14:textId="77777777" w:rsidR="00864BE6" w:rsidRDefault="00864BE6">
      <w:pPr>
        <w:jc w:val="center"/>
        <w:rPr>
          <w:b/>
          <w:color w:val="000000"/>
          <w:sz w:val="24"/>
          <w:szCs w:val="24"/>
        </w:rPr>
      </w:pPr>
    </w:p>
    <w:p w14:paraId="0577A45D" w14:textId="77777777" w:rsidR="00864BE6" w:rsidRDefault="00E17744">
      <w:pPr>
        <w:jc w:val="center"/>
        <w:rPr>
          <w:b/>
          <w:color w:val="000000"/>
          <w:sz w:val="24"/>
          <w:szCs w:val="24"/>
        </w:rPr>
      </w:pPr>
      <w:r>
        <w:rPr>
          <w:b/>
          <w:noProof/>
          <w:color w:val="000000"/>
          <w:sz w:val="24"/>
          <w:szCs w:val="24"/>
        </w:rPr>
        <w:drawing>
          <wp:inline distT="0" distB="0" distL="0" distR="0" wp14:anchorId="308BA81E" wp14:editId="78BD4C0E">
            <wp:extent cx="5715000" cy="7715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15000" cy="771525"/>
                    </a:xfrm>
                    <a:prstGeom prst="rect">
                      <a:avLst/>
                    </a:prstGeom>
                    <a:ln/>
                  </pic:spPr>
                </pic:pic>
              </a:graphicData>
            </a:graphic>
          </wp:inline>
        </w:drawing>
      </w:r>
    </w:p>
    <w:p w14:paraId="59E93E1E" w14:textId="77777777" w:rsidR="00864BE6" w:rsidRDefault="00864BE6">
      <w:pPr>
        <w:jc w:val="center"/>
        <w:rPr>
          <w:b/>
          <w:color w:val="000000"/>
          <w:sz w:val="24"/>
          <w:szCs w:val="24"/>
        </w:rPr>
      </w:pPr>
    </w:p>
    <w:p w14:paraId="6400DB2D" w14:textId="77777777" w:rsidR="00864BE6" w:rsidRDefault="00864BE6">
      <w:pPr>
        <w:jc w:val="center"/>
        <w:rPr>
          <w:b/>
          <w:color w:val="000000"/>
          <w:sz w:val="24"/>
          <w:szCs w:val="24"/>
        </w:rPr>
      </w:pPr>
    </w:p>
    <w:p w14:paraId="0FE54071" w14:textId="77777777" w:rsidR="00864BE6" w:rsidRDefault="00864BE6">
      <w:pPr>
        <w:jc w:val="center"/>
        <w:rPr>
          <w:b/>
          <w:color w:val="1F4E79"/>
          <w:sz w:val="52"/>
          <w:szCs w:val="52"/>
        </w:rPr>
      </w:pPr>
    </w:p>
    <w:p w14:paraId="68E5E286" w14:textId="77777777" w:rsidR="00864BE6" w:rsidRDefault="00864BE6">
      <w:pPr>
        <w:jc w:val="center"/>
        <w:rPr>
          <w:b/>
          <w:color w:val="1F4E79"/>
          <w:sz w:val="52"/>
          <w:szCs w:val="52"/>
        </w:rPr>
      </w:pPr>
    </w:p>
    <w:p w14:paraId="563026B7" w14:textId="77777777" w:rsidR="00864BE6" w:rsidRDefault="00E17744">
      <w:pPr>
        <w:jc w:val="center"/>
        <w:rPr>
          <w:b/>
          <w:color w:val="1F4E79"/>
          <w:sz w:val="52"/>
          <w:szCs w:val="52"/>
        </w:rPr>
      </w:pPr>
      <w:r>
        <w:rPr>
          <w:b/>
          <w:color w:val="1F4E79"/>
          <w:sz w:val="52"/>
          <w:szCs w:val="52"/>
        </w:rPr>
        <w:t>Company Profile Project</w:t>
      </w:r>
    </w:p>
    <w:p w14:paraId="104A13E0" w14:textId="77777777" w:rsidR="00864BE6" w:rsidRDefault="00E17744">
      <w:pPr>
        <w:spacing w:before="40"/>
        <w:jc w:val="center"/>
        <w:rPr>
          <w:b/>
          <w:color w:val="1F4E79"/>
          <w:sz w:val="40"/>
          <w:szCs w:val="40"/>
        </w:rPr>
      </w:pPr>
      <w:r>
        <w:rPr>
          <w:b/>
          <w:color w:val="1F4E79"/>
          <w:sz w:val="40"/>
          <w:szCs w:val="40"/>
        </w:rPr>
        <w:t>March 6, 2023</w:t>
      </w:r>
    </w:p>
    <w:p w14:paraId="04E9203E" w14:textId="77777777" w:rsidR="00864BE6" w:rsidRDefault="00864BE6">
      <w:pPr>
        <w:jc w:val="center"/>
        <w:rPr>
          <w:b/>
          <w:color w:val="1F4E79"/>
          <w:sz w:val="52"/>
          <w:szCs w:val="52"/>
        </w:rPr>
      </w:pPr>
    </w:p>
    <w:p w14:paraId="7E868FE9" w14:textId="77777777" w:rsidR="00864BE6" w:rsidRDefault="00864BE6">
      <w:pPr>
        <w:jc w:val="center"/>
        <w:rPr>
          <w:b/>
          <w:color w:val="1F4E79"/>
          <w:sz w:val="52"/>
          <w:szCs w:val="52"/>
        </w:rPr>
      </w:pPr>
    </w:p>
    <w:p w14:paraId="0B4BCFFD" w14:textId="77777777" w:rsidR="00864BE6" w:rsidRDefault="00E17744">
      <w:pPr>
        <w:jc w:val="center"/>
        <w:rPr>
          <w:b/>
          <w:color w:val="1F4E79"/>
          <w:sz w:val="40"/>
          <w:szCs w:val="40"/>
        </w:rPr>
        <w:sectPr w:rsidR="00864BE6">
          <w:pgSz w:w="12240" w:h="15840"/>
          <w:pgMar w:top="1350" w:right="900" w:bottom="630" w:left="900" w:header="720" w:footer="720" w:gutter="0"/>
          <w:pgNumType w:start="1"/>
          <w:cols w:space="720"/>
        </w:sectPr>
      </w:pPr>
      <w:r>
        <w:rPr>
          <w:b/>
          <w:color w:val="1F4E79"/>
          <w:sz w:val="40"/>
          <w:szCs w:val="40"/>
        </w:rPr>
        <w:t>FINA 5170 – Group 07</w:t>
      </w:r>
    </w:p>
    <w:p w14:paraId="7676D793" w14:textId="77777777" w:rsidR="00864BE6" w:rsidRDefault="00E17744">
      <w:pPr>
        <w:keepNext/>
        <w:keepLines/>
        <w:widowControl/>
        <w:pBdr>
          <w:top w:val="nil"/>
          <w:left w:val="nil"/>
          <w:bottom w:val="nil"/>
          <w:right w:val="nil"/>
          <w:between w:val="nil"/>
        </w:pBdr>
        <w:spacing w:before="240" w:line="259" w:lineRule="auto"/>
        <w:rPr>
          <w:b/>
          <w:color w:val="1F4E79"/>
          <w:sz w:val="32"/>
          <w:szCs w:val="32"/>
        </w:rPr>
      </w:pPr>
      <w:r>
        <w:rPr>
          <w:b/>
          <w:color w:val="1F4E79"/>
          <w:sz w:val="32"/>
          <w:szCs w:val="32"/>
        </w:rPr>
        <w:lastRenderedPageBreak/>
        <w:t>Table of Contents</w:t>
      </w:r>
    </w:p>
    <w:p w14:paraId="48392B39" w14:textId="77777777" w:rsidR="00864BE6" w:rsidRDefault="00864BE6"/>
    <w:sdt>
      <w:sdtPr>
        <w:id w:val="260729542"/>
        <w:docPartObj>
          <w:docPartGallery w:val="Table of Contents"/>
          <w:docPartUnique/>
        </w:docPartObj>
      </w:sdtPr>
      <w:sdtContent>
        <w:p w14:paraId="67054B28" w14:textId="462DD8DD" w:rsidR="00D64F36" w:rsidRPr="00D64F36" w:rsidRDefault="00E17744">
          <w:pPr>
            <w:pStyle w:val="TOC1"/>
            <w:tabs>
              <w:tab w:val="right" w:pos="10430"/>
            </w:tabs>
            <w:rPr>
              <w:rFonts w:asciiTheme="minorHAnsi" w:eastAsiaTheme="minorEastAsia" w:hAnsiTheme="minorHAnsi" w:cstheme="minorBidi"/>
              <w:b/>
              <w:bCs/>
              <w:noProof/>
              <w:lang w:bidi="ar-SA"/>
            </w:rPr>
          </w:pPr>
          <w:r w:rsidRPr="00D64F36">
            <w:rPr>
              <w:b/>
              <w:bCs/>
            </w:rPr>
            <w:fldChar w:fldCharType="begin"/>
          </w:r>
          <w:r w:rsidRPr="00D64F36">
            <w:rPr>
              <w:b/>
              <w:bCs/>
            </w:rPr>
            <w:instrText xml:space="preserve"> TOC \h \u \z </w:instrText>
          </w:r>
          <w:r w:rsidRPr="00D64F36">
            <w:rPr>
              <w:b/>
              <w:bCs/>
            </w:rPr>
            <w:fldChar w:fldCharType="separate"/>
          </w:r>
          <w:hyperlink w:anchor="_Toc129024014" w:history="1">
            <w:r w:rsidR="00D64F36" w:rsidRPr="00D64F36">
              <w:rPr>
                <w:rStyle w:val="Hyperlink"/>
                <w:b/>
                <w:bCs/>
                <w:noProof/>
              </w:rPr>
              <w:t>What Does the Firm Do?</w:t>
            </w:r>
            <w:r w:rsidR="00D64F36">
              <w:rPr>
                <w:rStyle w:val="Hyperlink"/>
                <w:b/>
                <w:bCs/>
                <w:noProof/>
              </w:rPr>
              <w:t xml:space="preserve"> (Craig White)</w:t>
            </w:r>
            <w:r w:rsidR="00D64F36" w:rsidRPr="00D64F36">
              <w:rPr>
                <w:b/>
                <w:bCs/>
                <w:noProof/>
                <w:webHidden/>
              </w:rPr>
              <w:tab/>
            </w:r>
            <w:r w:rsidR="00D64F36" w:rsidRPr="00D64F36">
              <w:rPr>
                <w:b/>
                <w:bCs/>
                <w:noProof/>
                <w:webHidden/>
              </w:rPr>
              <w:fldChar w:fldCharType="begin"/>
            </w:r>
            <w:r w:rsidR="00D64F36" w:rsidRPr="00D64F36">
              <w:rPr>
                <w:b/>
                <w:bCs/>
                <w:noProof/>
                <w:webHidden/>
              </w:rPr>
              <w:instrText xml:space="preserve"> PAGEREF _Toc129024014 \h </w:instrText>
            </w:r>
            <w:r w:rsidR="00D64F36" w:rsidRPr="00D64F36">
              <w:rPr>
                <w:b/>
                <w:bCs/>
                <w:noProof/>
                <w:webHidden/>
              </w:rPr>
            </w:r>
            <w:r w:rsidR="00D64F36" w:rsidRPr="00D64F36">
              <w:rPr>
                <w:b/>
                <w:bCs/>
                <w:noProof/>
                <w:webHidden/>
              </w:rPr>
              <w:fldChar w:fldCharType="separate"/>
            </w:r>
            <w:r w:rsidR="00D64F36" w:rsidRPr="00D64F36">
              <w:rPr>
                <w:b/>
                <w:bCs/>
                <w:noProof/>
                <w:webHidden/>
              </w:rPr>
              <w:t>2</w:t>
            </w:r>
            <w:r w:rsidR="00D64F36" w:rsidRPr="00D64F36">
              <w:rPr>
                <w:b/>
                <w:bCs/>
                <w:noProof/>
                <w:webHidden/>
              </w:rPr>
              <w:fldChar w:fldCharType="end"/>
            </w:r>
          </w:hyperlink>
        </w:p>
        <w:p w14:paraId="51213A23" w14:textId="1BE273F6" w:rsidR="00D64F36" w:rsidRPr="00D64F36" w:rsidRDefault="00000000">
          <w:pPr>
            <w:pStyle w:val="TOC1"/>
            <w:tabs>
              <w:tab w:val="right" w:pos="10430"/>
            </w:tabs>
            <w:rPr>
              <w:rFonts w:asciiTheme="minorHAnsi" w:eastAsiaTheme="minorEastAsia" w:hAnsiTheme="minorHAnsi" w:cstheme="minorBidi"/>
              <w:b/>
              <w:bCs/>
              <w:noProof/>
              <w:lang w:bidi="ar-SA"/>
            </w:rPr>
          </w:pPr>
          <w:hyperlink w:anchor="_Toc129024015" w:history="1">
            <w:r w:rsidR="00D64F36" w:rsidRPr="00D64F36">
              <w:rPr>
                <w:rStyle w:val="Hyperlink"/>
                <w:b/>
                <w:bCs/>
                <w:noProof/>
              </w:rPr>
              <w:t>How Does The Firm Make Money?</w:t>
            </w:r>
            <w:r w:rsidR="00D64F36">
              <w:rPr>
                <w:rStyle w:val="Hyperlink"/>
                <w:b/>
                <w:bCs/>
                <w:noProof/>
              </w:rPr>
              <w:t xml:space="preserve"> (Sai Sankhet Gubbala)</w:t>
            </w:r>
            <w:r w:rsidR="00D64F36" w:rsidRPr="00D64F36">
              <w:rPr>
                <w:b/>
                <w:bCs/>
                <w:noProof/>
                <w:webHidden/>
              </w:rPr>
              <w:tab/>
            </w:r>
            <w:r w:rsidR="00D64F36" w:rsidRPr="00D64F36">
              <w:rPr>
                <w:b/>
                <w:bCs/>
                <w:noProof/>
                <w:webHidden/>
              </w:rPr>
              <w:fldChar w:fldCharType="begin"/>
            </w:r>
            <w:r w:rsidR="00D64F36" w:rsidRPr="00D64F36">
              <w:rPr>
                <w:b/>
                <w:bCs/>
                <w:noProof/>
                <w:webHidden/>
              </w:rPr>
              <w:instrText xml:space="preserve"> PAGEREF _Toc129024015 \h </w:instrText>
            </w:r>
            <w:r w:rsidR="00D64F36" w:rsidRPr="00D64F36">
              <w:rPr>
                <w:b/>
                <w:bCs/>
                <w:noProof/>
                <w:webHidden/>
              </w:rPr>
            </w:r>
            <w:r w:rsidR="00D64F36" w:rsidRPr="00D64F36">
              <w:rPr>
                <w:b/>
                <w:bCs/>
                <w:noProof/>
                <w:webHidden/>
              </w:rPr>
              <w:fldChar w:fldCharType="separate"/>
            </w:r>
            <w:r w:rsidR="00D64F36" w:rsidRPr="00D64F36">
              <w:rPr>
                <w:b/>
                <w:bCs/>
                <w:noProof/>
                <w:webHidden/>
              </w:rPr>
              <w:t>5</w:t>
            </w:r>
            <w:r w:rsidR="00D64F36" w:rsidRPr="00D64F36">
              <w:rPr>
                <w:b/>
                <w:bCs/>
                <w:noProof/>
                <w:webHidden/>
              </w:rPr>
              <w:fldChar w:fldCharType="end"/>
            </w:r>
          </w:hyperlink>
        </w:p>
        <w:p w14:paraId="02C02D2E" w14:textId="71DEEAA5" w:rsidR="00D64F36" w:rsidRPr="00D64F36" w:rsidRDefault="00000000">
          <w:pPr>
            <w:pStyle w:val="TOC1"/>
            <w:tabs>
              <w:tab w:val="right" w:pos="10430"/>
            </w:tabs>
            <w:rPr>
              <w:rFonts w:asciiTheme="minorHAnsi" w:eastAsiaTheme="minorEastAsia" w:hAnsiTheme="minorHAnsi" w:cstheme="minorBidi"/>
              <w:b/>
              <w:bCs/>
              <w:noProof/>
              <w:lang w:bidi="ar-SA"/>
            </w:rPr>
          </w:pPr>
          <w:hyperlink w:anchor="_Toc129024016" w:history="1">
            <w:r w:rsidR="00D64F36" w:rsidRPr="00D64F36">
              <w:rPr>
                <w:rStyle w:val="Hyperlink"/>
                <w:b/>
                <w:bCs/>
                <w:noProof/>
              </w:rPr>
              <w:t>Effects of the Pandemic on the Firm</w:t>
            </w:r>
            <w:r w:rsidR="00D64F36">
              <w:rPr>
                <w:rStyle w:val="Hyperlink"/>
                <w:b/>
                <w:bCs/>
                <w:noProof/>
              </w:rPr>
              <w:t xml:space="preserve"> (Luke Williams)</w:t>
            </w:r>
            <w:r w:rsidR="00D64F36" w:rsidRPr="00D64F36">
              <w:rPr>
                <w:b/>
                <w:bCs/>
                <w:noProof/>
                <w:webHidden/>
              </w:rPr>
              <w:tab/>
            </w:r>
            <w:r w:rsidR="00D64F36" w:rsidRPr="00D64F36">
              <w:rPr>
                <w:b/>
                <w:bCs/>
                <w:noProof/>
                <w:webHidden/>
              </w:rPr>
              <w:fldChar w:fldCharType="begin"/>
            </w:r>
            <w:r w:rsidR="00D64F36" w:rsidRPr="00D64F36">
              <w:rPr>
                <w:b/>
                <w:bCs/>
                <w:noProof/>
                <w:webHidden/>
              </w:rPr>
              <w:instrText xml:space="preserve"> PAGEREF _Toc129024016 \h </w:instrText>
            </w:r>
            <w:r w:rsidR="00D64F36" w:rsidRPr="00D64F36">
              <w:rPr>
                <w:b/>
                <w:bCs/>
                <w:noProof/>
                <w:webHidden/>
              </w:rPr>
            </w:r>
            <w:r w:rsidR="00D64F36" w:rsidRPr="00D64F36">
              <w:rPr>
                <w:b/>
                <w:bCs/>
                <w:noProof/>
                <w:webHidden/>
              </w:rPr>
              <w:fldChar w:fldCharType="separate"/>
            </w:r>
            <w:r w:rsidR="00D64F36" w:rsidRPr="00D64F36">
              <w:rPr>
                <w:b/>
                <w:bCs/>
                <w:noProof/>
                <w:webHidden/>
              </w:rPr>
              <w:t>10</w:t>
            </w:r>
            <w:r w:rsidR="00D64F36" w:rsidRPr="00D64F36">
              <w:rPr>
                <w:b/>
                <w:bCs/>
                <w:noProof/>
                <w:webHidden/>
              </w:rPr>
              <w:fldChar w:fldCharType="end"/>
            </w:r>
          </w:hyperlink>
        </w:p>
        <w:p w14:paraId="2191F6BC" w14:textId="524738D4" w:rsidR="00D64F36" w:rsidRPr="00D64F36" w:rsidRDefault="00000000">
          <w:pPr>
            <w:pStyle w:val="TOC1"/>
            <w:tabs>
              <w:tab w:val="right" w:pos="10430"/>
            </w:tabs>
            <w:rPr>
              <w:rFonts w:asciiTheme="minorHAnsi" w:eastAsiaTheme="minorEastAsia" w:hAnsiTheme="minorHAnsi" w:cstheme="minorBidi"/>
              <w:b/>
              <w:bCs/>
              <w:noProof/>
              <w:lang w:bidi="ar-SA"/>
            </w:rPr>
          </w:pPr>
          <w:hyperlink w:anchor="_Toc129024017" w:history="1">
            <w:r w:rsidR="00D64F36" w:rsidRPr="00D64F36">
              <w:rPr>
                <w:rStyle w:val="Hyperlink"/>
                <w:b/>
                <w:bCs/>
                <w:noProof/>
              </w:rPr>
              <w:t>Returns and Standard Deviation</w:t>
            </w:r>
            <w:r w:rsidR="00D64F36">
              <w:rPr>
                <w:rStyle w:val="Hyperlink"/>
                <w:b/>
                <w:bCs/>
                <w:noProof/>
              </w:rPr>
              <w:t xml:space="preserve"> (Buddha Satya Sriharsha)</w:t>
            </w:r>
            <w:r w:rsidR="00D64F36" w:rsidRPr="00D64F36">
              <w:rPr>
                <w:b/>
                <w:bCs/>
                <w:noProof/>
                <w:webHidden/>
              </w:rPr>
              <w:tab/>
            </w:r>
            <w:r w:rsidR="00D64F36" w:rsidRPr="00D64F36">
              <w:rPr>
                <w:b/>
                <w:bCs/>
                <w:noProof/>
                <w:webHidden/>
              </w:rPr>
              <w:fldChar w:fldCharType="begin"/>
            </w:r>
            <w:r w:rsidR="00D64F36" w:rsidRPr="00D64F36">
              <w:rPr>
                <w:b/>
                <w:bCs/>
                <w:noProof/>
                <w:webHidden/>
              </w:rPr>
              <w:instrText xml:space="preserve"> PAGEREF _Toc129024017 \h </w:instrText>
            </w:r>
            <w:r w:rsidR="00D64F36" w:rsidRPr="00D64F36">
              <w:rPr>
                <w:b/>
                <w:bCs/>
                <w:noProof/>
                <w:webHidden/>
              </w:rPr>
            </w:r>
            <w:r w:rsidR="00D64F36" w:rsidRPr="00D64F36">
              <w:rPr>
                <w:b/>
                <w:bCs/>
                <w:noProof/>
                <w:webHidden/>
              </w:rPr>
              <w:fldChar w:fldCharType="separate"/>
            </w:r>
            <w:r w:rsidR="00D64F36" w:rsidRPr="00D64F36">
              <w:rPr>
                <w:b/>
                <w:bCs/>
                <w:noProof/>
                <w:webHidden/>
              </w:rPr>
              <w:t>12</w:t>
            </w:r>
            <w:r w:rsidR="00D64F36" w:rsidRPr="00D64F36">
              <w:rPr>
                <w:b/>
                <w:bCs/>
                <w:noProof/>
                <w:webHidden/>
              </w:rPr>
              <w:fldChar w:fldCharType="end"/>
            </w:r>
          </w:hyperlink>
        </w:p>
        <w:p w14:paraId="77B3468A" w14:textId="6278B6AA" w:rsidR="00D64F36" w:rsidRPr="00D64F36" w:rsidRDefault="00000000">
          <w:pPr>
            <w:pStyle w:val="TOC1"/>
            <w:tabs>
              <w:tab w:val="right" w:pos="10430"/>
            </w:tabs>
            <w:rPr>
              <w:rFonts w:asciiTheme="minorHAnsi" w:eastAsiaTheme="minorEastAsia" w:hAnsiTheme="minorHAnsi" w:cstheme="minorBidi"/>
              <w:b/>
              <w:bCs/>
              <w:noProof/>
              <w:lang w:bidi="ar-SA"/>
            </w:rPr>
          </w:pPr>
          <w:hyperlink w:anchor="_Toc129024018" w:history="1">
            <w:r w:rsidR="00D64F36" w:rsidRPr="00D64F36">
              <w:rPr>
                <w:rStyle w:val="Hyperlink"/>
                <w:b/>
                <w:bCs/>
                <w:noProof/>
              </w:rPr>
              <w:t>Governance</w:t>
            </w:r>
            <w:r w:rsidR="00D64F36">
              <w:rPr>
                <w:rStyle w:val="Hyperlink"/>
                <w:b/>
                <w:bCs/>
                <w:noProof/>
              </w:rPr>
              <w:t xml:space="preserve"> (Andy Donovan)</w:t>
            </w:r>
            <w:r w:rsidR="00D64F36" w:rsidRPr="00D64F36">
              <w:rPr>
                <w:b/>
                <w:bCs/>
                <w:noProof/>
                <w:webHidden/>
              </w:rPr>
              <w:tab/>
            </w:r>
            <w:r w:rsidR="00D64F36" w:rsidRPr="00D64F36">
              <w:rPr>
                <w:b/>
                <w:bCs/>
                <w:noProof/>
                <w:webHidden/>
              </w:rPr>
              <w:fldChar w:fldCharType="begin"/>
            </w:r>
            <w:r w:rsidR="00D64F36" w:rsidRPr="00D64F36">
              <w:rPr>
                <w:b/>
                <w:bCs/>
                <w:noProof/>
                <w:webHidden/>
              </w:rPr>
              <w:instrText xml:space="preserve"> PAGEREF _Toc129024018 \h </w:instrText>
            </w:r>
            <w:r w:rsidR="00D64F36" w:rsidRPr="00D64F36">
              <w:rPr>
                <w:b/>
                <w:bCs/>
                <w:noProof/>
                <w:webHidden/>
              </w:rPr>
            </w:r>
            <w:r w:rsidR="00D64F36" w:rsidRPr="00D64F36">
              <w:rPr>
                <w:b/>
                <w:bCs/>
                <w:noProof/>
                <w:webHidden/>
              </w:rPr>
              <w:fldChar w:fldCharType="separate"/>
            </w:r>
            <w:r w:rsidR="00D64F36" w:rsidRPr="00D64F36">
              <w:rPr>
                <w:b/>
                <w:bCs/>
                <w:noProof/>
                <w:webHidden/>
              </w:rPr>
              <w:t>12</w:t>
            </w:r>
            <w:r w:rsidR="00D64F36" w:rsidRPr="00D64F36">
              <w:rPr>
                <w:b/>
                <w:bCs/>
                <w:noProof/>
                <w:webHidden/>
              </w:rPr>
              <w:fldChar w:fldCharType="end"/>
            </w:r>
          </w:hyperlink>
        </w:p>
        <w:p w14:paraId="33A60E79" w14:textId="7231532E" w:rsidR="00D64F36" w:rsidRPr="00D64F36" w:rsidRDefault="00000000">
          <w:pPr>
            <w:pStyle w:val="TOC1"/>
            <w:tabs>
              <w:tab w:val="right" w:pos="10430"/>
            </w:tabs>
            <w:rPr>
              <w:rFonts w:asciiTheme="minorHAnsi" w:eastAsiaTheme="minorEastAsia" w:hAnsiTheme="minorHAnsi" w:cstheme="minorBidi"/>
              <w:b/>
              <w:bCs/>
              <w:noProof/>
              <w:lang w:bidi="ar-SA"/>
            </w:rPr>
          </w:pPr>
          <w:hyperlink w:anchor="_Toc129024019" w:history="1">
            <w:r w:rsidR="00D64F36" w:rsidRPr="00D64F36">
              <w:rPr>
                <w:rStyle w:val="Hyperlink"/>
                <w:b/>
                <w:bCs/>
                <w:noProof/>
              </w:rPr>
              <w:t>References</w:t>
            </w:r>
            <w:r w:rsidR="00D64F36" w:rsidRPr="00D64F36">
              <w:rPr>
                <w:b/>
                <w:bCs/>
                <w:noProof/>
                <w:webHidden/>
              </w:rPr>
              <w:tab/>
            </w:r>
            <w:r w:rsidR="00D64F36" w:rsidRPr="00D64F36">
              <w:rPr>
                <w:b/>
                <w:bCs/>
                <w:noProof/>
                <w:webHidden/>
              </w:rPr>
              <w:fldChar w:fldCharType="begin"/>
            </w:r>
            <w:r w:rsidR="00D64F36" w:rsidRPr="00D64F36">
              <w:rPr>
                <w:b/>
                <w:bCs/>
                <w:noProof/>
                <w:webHidden/>
              </w:rPr>
              <w:instrText xml:space="preserve"> PAGEREF _Toc129024019 \h </w:instrText>
            </w:r>
            <w:r w:rsidR="00D64F36" w:rsidRPr="00D64F36">
              <w:rPr>
                <w:b/>
                <w:bCs/>
                <w:noProof/>
                <w:webHidden/>
              </w:rPr>
            </w:r>
            <w:r w:rsidR="00D64F36" w:rsidRPr="00D64F36">
              <w:rPr>
                <w:b/>
                <w:bCs/>
                <w:noProof/>
                <w:webHidden/>
              </w:rPr>
              <w:fldChar w:fldCharType="separate"/>
            </w:r>
            <w:r w:rsidR="00D64F36" w:rsidRPr="00D64F36">
              <w:rPr>
                <w:b/>
                <w:bCs/>
                <w:noProof/>
                <w:webHidden/>
              </w:rPr>
              <w:t>17</w:t>
            </w:r>
            <w:r w:rsidR="00D64F36" w:rsidRPr="00D64F36">
              <w:rPr>
                <w:b/>
                <w:bCs/>
                <w:noProof/>
                <w:webHidden/>
              </w:rPr>
              <w:fldChar w:fldCharType="end"/>
            </w:r>
          </w:hyperlink>
        </w:p>
        <w:p w14:paraId="048618FE" w14:textId="44857529" w:rsidR="00D64F36" w:rsidRPr="00D64F36" w:rsidRDefault="00000000">
          <w:pPr>
            <w:pStyle w:val="TOC1"/>
            <w:tabs>
              <w:tab w:val="right" w:pos="10430"/>
            </w:tabs>
            <w:rPr>
              <w:rFonts w:asciiTheme="minorHAnsi" w:eastAsiaTheme="minorEastAsia" w:hAnsiTheme="minorHAnsi" w:cstheme="minorBidi"/>
              <w:b/>
              <w:bCs/>
              <w:noProof/>
              <w:lang w:bidi="ar-SA"/>
            </w:rPr>
          </w:pPr>
          <w:hyperlink w:anchor="_Toc129024020" w:history="1">
            <w:r w:rsidR="00D64F36" w:rsidRPr="00D64F36">
              <w:rPr>
                <w:rStyle w:val="Hyperlink"/>
                <w:b/>
                <w:bCs/>
                <w:noProof/>
              </w:rPr>
              <w:t>Appendices</w:t>
            </w:r>
            <w:r w:rsidR="00D64F36" w:rsidRPr="00D64F36">
              <w:rPr>
                <w:b/>
                <w:bCs/>
                <w:noProof/>
                <w:webHidden/>
              </w:rPr>
              <w:tab/>
            </w:r>
            <w:r w:rsidR="00D64F36" w:rsidRPr="00D64F36">
              <w:rPr>
                <w:b/>
                <w:bCs/>
                <w:noProof/>
                <w:webHidden/>
              </w:rPr>
              <w:fldChar w:fldCharType="begin"/>
            </w:r>
            <w:r w:rsidR="00D64F36" w:rsidRPr="00D64F36">
              <w:rPr>
                <w:b/>
                <w:bCs/>
                <w:noProof/>
                <w:webHidden/>
              </w:rPr>
              <w:instrText xml:space="preserve"> PAGEREF _Toc129024020 \h </w:instrText>
            </w:r>
            <w:r w:rsidR="00D64F36" w:rsidRPr="00D64F36">
              <w:rPr>
                <w:b/>
                <w:bCs/>
                <w:noProof/>
                <w:webHidden/>
              </w:rPr>
            </w:r>
            <w:r w:rsidR="00D64F36" w:rsidRPr="00D64F36">
              <w:rPr>
                <w:b/>
                <w:bCs/>
                <w:noProof/>
                <w:webHidden/>
              </w:rPr>
              <w:fldChar w:fldCharType="separate"/>
            </w:r>
            <w:r w:rsidR="00D64F36" w:rsidRPr="00D64F36">
              <w:rPr>
                <w:b/>
                <w:bCs/>
                <w:noProof/>
                <w:webHidden/>
              </w:rPr>
              <w:t>18</w:t>
            </w:r>
            <w:r w:rsidR="00D64F36" w:rsidRPr="00D64F36">
              <w:rPr>
                <w:b/>
                <w:bCs/>
                <w:noProof/>
                <w:webHidden/>
              </w:rPr>
              <w:fldChar w:fldCharType="end"/>
            </w:r>
          </w:hyperlink>
        </w:p>
        <w:p w14:paraId="63E9E493" w14:textId="2779845E" w:rsidR="00864BE6" w:rsidRDefault="00E17744">
          <w:pPr>
            <w:rPr>
              <w:b/>
            </w:rPr>
          </w:pPr>
          <w:r w:rsidRPr="00D64F36">
            <w:rPr>
              <w:b/>
              <w:bCs/>
            </w:rPr>
            <w:fldChar w:fldCharType="end"/>
          </w:r>
        </w:p>
      </w:sdtContent>
    </w:sdt>
    <w:p w14:paraId="1EF2C880" w14:textId="77777777" w:rsidR="00864BE6" w:rsidRDefault="00E17744">
      <w:pPr>
        <w:rPr>
          <w:b/>
          <w:color w:val="1F4E79"/>
          <w:sz w:val="32"/>
          <w:szCs w:val="32"/>
        </w:rPr>
      </w:pPr>
      <w:r>
        <w:br w:type="page"/>
      </w:r>
    </w:p>
    <w:p w14:paraId="63029BF5" w14:textId="77777777" w:rsidR="00864BE6" w:rsidRDefault="00E17744">
      <w:pPr>
        <w:pStyle w:val="Heading1"/>
        <w:rPr>
          <w:color w:val="1F4E79"/>
          <w:sz w:val="32"/>
          <w:szCs w:val="32"/>
        </w:rPr>
      </w:pPr>
      <w:bookmarkStart w:id="0" w:name="_Toc129024014"/>
      <w:r>
        <w:rPr>
          <w:color w:val="1F4E79"/>
          <w:sz w:val="32"/>
          <w:szCs w:val="32"/>
        </w:rPr>
        <w:lastRenderedPageBreak/>
        <w:t>What Does the Firm Do?</w:t>
      </w:r>
      <w:bookmarkEnd w:id="0"/>
    </w:p>
    <w:p w14:paraId="7625EE73" w14:textId="77777777" w:rsidR="00864BE6" w:rsidRDefault="00E17744">
      <w:pPr>
        <w:shd w:val="clear" w:color="auto" w:fill="FFFFFF"/>
        <w:spacing w:before="240" w:line="480" w:lineRule="auto"/>
        <w:rPr>
          <w:sz w:val="24"/>
          <w:szCs w:val="24"/>
        </w:rPr>
      </w:pPr>
      <w:r>
        <w:rPr>
          <w:sz w:val="24"/>
          <w:szCs w:val="24"/>
        </w:rPr>
        <w:t>McKesson is a Fortune 9 organization that deals with a variety of different areas within the healthcare realm. They utilize principles which they call I</w:t>
      </w:r>
      <w:r>
        <w:rPr>
          <w:sz w:val="24"/>
          <w:szCs w:val="24"/>
          <w:vertAlign w:val="superscript"/>
        </w:rPr>
        <w:t>2</w:t>
      </w:r>
      <w:r>
        <w:rPr>
          <w:sz w:val="24"/>
          <w:szCs w:val="24"/>
        </w:rPr>
        <w:t xml:space="preserve"> CARE and ILEAD, which help their employees make the best decisions possible. One of the major goals of McKesson is to improve health outcomes to improve tomorrow. They provide affordable, accessible products, care, and services, as well as insights to major pharmaceutical and biopharma companies, as well as hospital systems, healthcare providers, big box and individual local pharmacies, manufacturers, and government entities, such as the Veterans’ Administration.  Their innovative distribution and technology solutions help the healthcare industry improve patient outcomes, operate with lower costs, and work with more efficiency. The companies operate five major divisions that provide these services to the healthcare world. They are the Pharmaceutical Distribution, Medical-Surgical, Specialty Practice Solutions, Cover My Meds, and McKesson Canada/Europe.</w:t>
      </w:r>
    </w:p>
    <w:p w14:paraId="2839B9ED" w14:textId="77777777" w:rsidR="00864BE6" w:rsidRDefault="00E17744">
      <w:pPr>
        <w:shd w:val="clear" w:color="auto" w:fill="FFFFFF"/>
        <w:spacing w:before="240" w:after="300" w:line="276" w:lineRule="auto"/>
        <w:rPr>
          <w:b/>
          <w:color w:val="007BC7"/>
          <w:sz w:val="24"/>
          <w:szCs w:val="24"/>
        </w:rPr>
      </w:pPr>
      <w:r>
        <w:rPr>
          <w:b/>
          <w:color w:val="1F4E79"/>
          <w:sz w:val="24"/>
          <w:szCs w:val="24"/>
        </w:rPr>
        <w:t>Pharmaceutical Distribution</w:t>
      </w:r>
    </w:p>
    <w:p w14:paraId="499E6E39" w14:textId="77777777" w:rsidR="00864BE6" w:rsidRDefault="00E17744">
      <w:pPr>
        <w:shd w:val="clear" w:color="auto" w:fill="FFFFFF"/>
        <w:spacing w:before="240" w:line="480" w:lineRule="auto"/>
        <w:rPr>
          <w:sz w:val="24"/>
          <w:szCs w:val="24"/>
        </w:rPr>
      </w:pPr>
      <w:r>
        <w:rPr>
          <w:sz w:val="24"/>
          <w:szCs w:val="24"/>
        </w:rPr>
        <w:t>McKesson is the largest pharmaceutical distributor in the United States, and they demonstrate a strong commitment to delivering superior service. To do this, they focus on order accuracy and safety. This focus allows them to provide branded, generic, and over-the-counter pharmaceuticals to approximately 40,000 customers worldwide. Those customers include retail chain and local independent pharmacies, hospital systems large and small, academic medical centers, long-term care providers, and integrated delivery networks. This is achieved by utilizing their unique supply chain technology, marketing programs, managed care, and repackaging of products.</w:t>
      </w:r>
    </w:p>
    <w:p w14:paraId="5DF7523A" w14:textId="77777777" w:rsidR="00864BE6" w:rsidRDefault="00E17744">
      <w:pPr>
        <w:rPr>
          <w:sz w:val="24"/>
          <w:szCs w:val="24"/>
        </w:rPr>
      </w:pPr>
      <w:r>
        <w:br w:type="page"/>
      </w:r>
    </w:p>
    <w:p w14:paraId="741A6CE2" w14:textId="77777777" w:rsidR="00864BE6" w:rsidRDefault="00E17744">
      <w:pPr>
        <w:shd w:val="clear" w:color="auto" w:fill="FFFFFF"/>
        <w:spacing w:before="240" w:line="480" w:lineRule="auto"/>
        <w:rPr>
          <w:sz w:val="24"/>
          <w:szCs w:val="24"/>
        </w:rPr>
      </w:pPr>
      <w:r>
        <w:rPr>
          <w:sz w:val="24"/>
          <w:szCs w:val="24"/>
        </w:rPr>
        <w:lastRenderedPageBreak/>
        <w:t>Some of their most influential major customers are CVS/Caremark, Walmart, Rite-Aid, and the US Government Department of Defense.  They maintain several strong supplier relationships, have a great deal of deep supply-chain expertise, allowing them to deliver the right drug at the right time to those who may need it the most, such as vaccines during the COVID-19 pandemic.</w:t>
      </w:r>
    </w:p>
    <w:p w14:paraId="34D016EF" w14:textId="77777777" w:rsidR="00864BE6" w:rsidRDefault="00E17744">
      <w:pPr>
        <w:shd w:val="clear" w:color="auto" w:fill="FFFFFF"/>
        <w:spacing w:before="240" w:after="300" w:line="276" w:lineRule="auto"/>
        <w:rPr>
          <w:b/>
          <w:color w:val="1F4E79"/>
          <w:sz w:val="24"/>
          <w:szCs w:val="24"/>
        </w:rPr>
      </w:pPr>
      <w:r>
        <w:rPr>
          <w:b/>
          <w:color w:val="1F4E79"/>
          <w:sz w:val="24"/>
          <w:szCs w:val="24"/>
        </w:rPr>
        <w:t>Medical-Surgical</w:t>
      </w:r>
    </w:p>
    <w:p w14:paraId="2E0C99FB" w14:textId="77777777" w:rsidR="00864BE6" w:rsidRDefault="00E17744">
      <w:pPr>
        <w:shd w:val="clear" w:color="auto" w:fill="FFFFFF"/>
        <w:spacing w:before="240" w:line="480" w:lineRule="auto"/>
        <w:rPr>
          <w:sz w:val="24"/>
          <w:szCs w:val="24"/>
        </w:rPr>
      </w:pPr>
      <w:r>
        <w:rPr>
          <w:sz w:val="24"/>
          <w:szCs w:val="24"/>
        </w:rPr>
        <w:t>McKesson’s Medical-Surgical division provides a complete range of medical-surgical supplies and equipment to healthcare providers’ offices, post-acute care facilities and surgical centers. Their catalog of over 150,000 products starts as simple as bandages and includes most healthcare supplies including exam tables, lab equipment, and other medical equipment, all of which is either a nationally recognized name brand or one of their own line of products. Their philosophy is that a better product will allow a healthcare provider to give better care to the people who need it most, their patients. Because these products are delivered from a single, experienced source, providers and facilities can work with better efficiency and with improved time savings.</w:t>
      </w:r>
    </w:p>
    <w:p w14:paraId="347BECC7" w14:textId="77777777" w:rsidR="00864BE6" w:rsidRDefault="00E17744">
      <w:pPr>
        <w:shd w:val="clear" w:color="auto" w:fill="FFFFFF"/>
        <w:spacing w:before="240" w:line="480" w:lineRule="auto"/>
        <w:rPr>
          <w:sz w:val="24"/>
          <w:szCs w:val="24"/>
        </w:rPr>
      </w:pPr>
      <w:r>
        <w:rPr>
          <w:sz w:val="24"/>
          <w:szCs w:val="24"/>
        </w:rPr>
        <w:t>Again, McKesson’s national distribution network helps to provide these supplies quickly. Delivery to 95% of their customers for the majority of their products occurs within the next day. This service can alleviate the stress of ordering that can occur in healthcare facilities.</w:t>
      </w:r>
    </w:p>
    <w:p w14:paraId="113769C9" w14:textId="77777777" w:rsidR="00864BE6" w:rsidRDefault="00E17744">
      <w:pPr>
        <w:shd w:val="clear" w:color="auto" w:fill="FFFFFF"/>
        <w:spacing w:before="240" w:after="300" w:line="276" w:lineRule="auto"/>
        <w:rPr>
          <w:b/>
          <w:color w:val="1F4E79"/>
          <w:sz w:val="24"/>
          <w:szCs w:val="24"/>
        </w:rPr>
      </w:pPr>
      <w:r>
        <w:rPr>
          <w:b/>
          <w:color w:val="1F4E79"/>
          <w:sz w:val="24"/>
          <w:szCs w:val="24"/>
        </w:rPr>
        <w:t>Specialty Practice Solutions</w:t>
      </w:r>
    </w:p>
    <w:p w14:paraId="15E1EF2E" w14:textId="77777777" w:rsidR="00864BE6" w:rsidRDefault="00E17744">
      <w:pPr>
        <w:shd w:val="clear" w:color="auto" w:fill="FFFFFF"/>
        <w:spacing w:before="240" w:after="300" w:line="480" w:lineRule="auto"/>
        <w:rPr>
          <w:sz w:val="24"/>
          <w:szCs w:val="24"/>
        </w:rPr>
      </w:pPr>
      <w:r>
        <w:rPr>
          <w:sz w:val="24"/>
          <w:szCs w:val="24"/>
        </w:rPr>
        <w:t xml:space="preserve">Within the Specialty Practice Solutions, McKesson brings providers together with the manufacturers and payers to help improve the strength of their business foundations. The Specialty units within the Specialty Practice Solutions help specific groups of healthcare providers give better care to their patients who need more focused care for their individual health concerns. They use an “all-in” approach to bring solutions to the specialists’ offices and facilities to make the practices more </w:t>
      </w:r>
      <w:r>
        <w:rPr>
          <w:sz w:val="24"/>
          <w:szCs w:val="24"/>
        </w:rPr>
        <w:lastRenderedPageBreak/>
        <w:t>manageable. McKesson uses advocacy, consultancy, and collaboration with the providers and their practices to make sure patients have better outcomes. Currently, there are services over 10,000 community-based specialty providers across the country that McKesson provides this service to.  These are segments that fall under this division:</w:t>
      </w:r>
    </w:p>
    <w:p w14:paraId="17A1832B" w14:textId="77777777" w:rsidR="00864BE6" w:rsidRDefault="00E17744">
      <w:pPr>
        <w:shd w:val="clear" w:color="auto" w:fill="FFFFFF"/>
        <w:spacing w:before="240" w:after="300" w:line="276" w:lineRule="auto"/>
        <w:rPr>
          <w:b/>
          <w:sz w:val="24"/>
          <w:szCs w:val="24"/>
        </w:rPr>
      </w:pPr>
      <w:r>
        <w:rPr>
          <w:sz w:val="24"/>
          <w:szCs w:val="24"/>
        </w:rPr>
        <w:t>·</w:t>
      </w:r>
      <w:r>
        <w:rPr>
          <w:rFonts w:ascii="Times New Roman" w:eastAsia="Times New Roman" w:hAnsi="Times New Roman" w:cs="Times New Roman"/>
          <w:sz w:val="14"/>
          <w:szCs w:val="14"/>
        </w:rPr>
        <w:t xml:space="preserve">         </w:t>
      </w:r>
      <w:r>
        <w:rPr>
          <w:b/>
          <w:sz w:val="24"/>
          <w:szCs w:val="24"/>
        </w:rPr>
        <w:t>Oncology Practice Solutions</w:t>
      </w:r>
    </w:p>
    <w:p w14:paraId="2A31B8BA" w14:textId="77777777" w:rsidR="00864BE6" w:rsidRDefault="00E17744">
      <w:pPr>
        <w:shd w:val="clear" w:color="auto" w:fill="FFFFFF"/>
        <w:spacing w:before="240" w:after="300" w:line="276" w:lineRule="auto"/>
        <w:rPr>
          <w:b/>
          <w:sz w:val="24"/>
          <w:szCs w:val="24"/>
        </w:rPr>
      </w:pPr>
      <w:r>
        <w:rPr>
          <w:sz w:val="24"/>
          <w:szCs w:val="24"/>
        </w:rPr>
        <w:t>·</w:t>
      </w:r>
      <w:r>
        <w:rPr>
          <w:rFonts w:ascii="Times New Roman" w:eastAsia="Times New Roman" w:hAnsi="Times New Roman" w:cs="Times New Roman"/>
          <w:sz w:val="14"/>
          <w:szCs w:val="14"/>
        </w:rPr>
        <w:t xml:space="preserve">         </w:t>
      </w:r>
      <w:r>
        <w:rPr>
          <w:b/>
          <w:sz w:val="24"/>
          <w:szCs w:val="24"/>
        </w:rPr>
        <w:t>Rheumatology Practice Solutions</w:t>
      </w:r>
    </w:p>
    <w:p w14:paraId="50888293" w14:textId="77777777" w:rsidR="00864BE6" w:rsidRDefault="00E17744">
      <w:pPr>
        <w:shd w:val="clear" w:color="auto" w:fill="FFFFFF"/>
        <w:spacing w:before="240" w:after="300" w:line="276" w:lineRule="auto"/>
        <w:rPr>
          <w:b/>
          <w:sz w:val="24"/>
          <w:szCs w:val="24"/>
        </w:rPr>
      </w:pPr>
      <w:r>
        <w:rPr>
          <w:sz w:val="24"/>
          <w:szCs w:val="24"/>
        </w:rPr>
        <w:t>·</w:t>
      </w:r>
      <w:r>
        <w:rPr>
          <w:rFonts w:ascii="Times New Roman" w:eastAsia="Times New Roman" w:hAnsi="Times New Roman" w:cs="Times New Roman"/>
          <w:sz w:val="14"/>
          <w:szCs w:val="14"/>
        </w:rPr>
        <w:t xml:space="preserve">         </w:t>
      </w:r>
      <w:r>
        <w:rPr>
          <w:b/>
          <w:sz w:val="24"/>
          <w:szCs w:val="24"/>
        </w:rPr>
        <w:t>Gastroenterology Practice Solutions</w:t>
      </w:r>
    </w:p>
    <w:p w14:paraId="2006146D" w14:textId="77777777" w:rsidR="00864BE6" w:rsidRDefault="00E17744">
      <w:pPr>
        <w:shd w:val="clear" w:color="auto" w:fill="FFFFFF"/>
        <w:spacing w:before="240" w:after="300" w:line="276" w:lineRule="auto"/>
        <w:rPr>
          <w:b/>
          <w:sz w:val="24"/>
          <w:szCs w:val="24"/>
        </w:rPr>
      </w:pPr>
      <w:r>
        <w:rPr>
          <w:sz w:val="24"/>
          <w:szCs w:val="24"/>
        </w:rPr>
        <w:t>·</w:t>
      </w:r>
      <w:r>
        <w:rPr>
          <w:rFonts w:ascii="Times New Roman" w:eastAsia="Times New Roman" w:hAnsi="Times New Roman" w:cs="Times New Roman"/>
          <w:sz w:val="14"/>
          <w:szCs w:val="14"/>
        </w:rPr>
        <w:t xml:space="preserve">         </w:t>
      </w:r>
      <w:r>
        <w:rPr>
          <w:b/>
          <w:sz w:val="24"/>
          <w:szCs w:val="24"/>
        </w:rPr>
        <w:t>Retina Practice Solutions</w:t>
      </w:r>
    </w:p>
    <w:p w14:paraId="244A56F7" w14:textId="77777777" w:rsidR="00864BE6" w:rsidRDefault="00E17744">
      <w:pPr>
        <w:shd w:val="clear" w:color="auto" w:fill="FFFFFF"/>
        <w:spacing w:before="240" w:line="276" w:lineRule="auto"/>
        <w:rPr>
          <w:b/>
          <w:sz w:val="24"/>
          <w:szCs w:val="24"/>
        </w:rPr>
      </w:pPr>
      <w:r>
        <w:rPr>
          <w:sz w:val="24"/>
          <w:szCs w:val="24"/>
        </w:rPr>
        <w:t>·</w:t>
      </w:r>
      <w:r>
        <w:rPr>
          <w:rFonts w:ascii="Times New Roman" w:eastAsia="Times New Roman" w:hAnsi="Times New Roman" w:cs="Times New Roman"/>
          <w:sz w:val="14"/>
          <w:szCs w:val="14"/>
        </w:rPr>
        <w:t xml:space="preserve">         </w:t>
      </w:r>
      <w:r>
        <w:rPr>
          <w:b/>
          <w:sz w:val="24"/>
          <w:szCs w:val="24"/>
        </w:rPr>
        <w:t>Neurology Practice Solutions</w:t>
      </w:r>
    </w:p>
    <w:p w14:paraId="52F71281" w14:textId="77777777" w:rsidR="00864BE6" w:rsidRDefault="00E17744">
      <w:pPr>
        <w:shd w:val="clear" w:color="auto" w:fill="FFFFFF"/>
        <w:spacing w:before="240" w:after="300" w:line="276" w:lineRule="auto"/>
        <w:rPr>
          <w:b/>
          <w:color w:val="1F4E79"/>
          <w:sz w:val="24"/>
          <w:szCs w:val="24"/>
        </w:rPr>
      </w:pPr>
      <w:proofErr w:type="spellStart"/>
      <w:r>
        <w:rPr>
          <w:b/>
          <w:color w:val="1F4E79"/>
          <w:sz w:val="24"/>
          <w:szCs w:val="24"/>
        </w:rPr>
        <w:t>CoverMyMeds</w:t>
      </w:r>
      <w:proofErr w:type="spellEnd"/>
    </w:p>
    <w:p w14:paraId="6B8DB15B" w14:textId="77777777" w:rsidR="00864BE6" w:rsidRDefault="00E17744">
      <w:pPr>
        <w:shd w:val="clear" w:color="auto" w:fill="FFFFFF"/>
        <w:spacing w:before="240" w:after="300" w:line="480" w:lineRule="auto"/>
        <w:rPr>
          <w:sz w:val="24"/>
          <w:szCs w:val="24"/>
        </w:rPr>
      </w:pPr>
      <w:r>
        <w:rPr>
          <w:sz w:val="24"/>
          <w:szCs w:val="24"/>
        </w:rPr>
        <w:t>Many individuals worldwide have a hard time getting their medications for a variety of reasons. McKesson uses collaboration with pharmacies and providers to help patients get access to the medications they need to live a healthier life. Doing this improves patient outcomes by getting medications to start therapies quicker and decreasing the risk of patient’s abandoning those prescriptions due to cost or inability to obtain. McKesson’s network includes approximately 75 percent of electronic health record systems (EHRs), 50,000+ pharmacies, 750,000 providers and most health plans and pharmacy benefit managers (PBMs). As pharmaceutical companies, pharmacies, providers, and payers continue to evolve in the ever-changing healthcare environment, their technology and connectivity solutions keep them competitive, compliant, and focused on healthy patient outcomes.</w:t>
      </w:r>
    </w:p>
    <w:p w14:paraId="35D9EFBD" w14:textId="77777777" w:rsidR="00864BE6" w:rsidRDefault="00E17744">
      <w:pPr>
        <w:shd w:val="clear" w:color="auto" w:fill="FFFFFF"/>
        <w:spacing w:before="240" w:after="300" w:line="480" w:lineRule="auto"/>
        <w:rPr>
          <w:sz w:val="24"/>
          <w:szCs w:val="24"/>
        </w:rPr>
      </w:pPr>
      <w:proofErr w:type="spellStart"/>
      <w:r>
        <w:rPr>
          <w:sz w:val="24"/>
          <w:szCs w:val="24"/>
        </w:rPr>
        <w:t>CoverMyMeds</w:t>
      </w:r>
      <w:proofErr w:type="spellEnd"/>
      <w:r>
        <w:rPr>
          <w:sz w:val="24"/>
          <w:szCs w:val="24"/>
        </w:rPr>
        <w:t xml:space="preserve"> is McKesson’s solution to these challenges that can be present in every step of an individual’s healthcare journey. This unified brand now includes other groups such as </w:t>
      </w:r>
      <w:proofErr w:type="spellStart"/>
      <w:r>
        <w:rPr>
          <w:sz w:val="24"/>
          <w:szCs w:val="24"/>
        </w:rPr>
        <w:t>RelayHealth</w:t>
      </w:r>
      <w:proofErr w:type="spellEnd"/>
      <w:r>
        <w:rPr>
          <w:sz w:val="24"/>
          <w:szCs w:val="24"/>
        </w:rPr>
        <w:t xml:space="preserve">, </w:t>
      </w:r>
      <w:proofErr w:type="spellStart"/>
      <w:r>
        <w:rPr>
          <w:sz w:val="24"/>
          <w:szCs w:val="24"/>
        </w:rPr>
        <w:lastRenderedPageBreak/>
        <w:t>RxCrossroads</w:t>
      </w:r>
      <w:proofErr w:type="spellEnd"/>
      <w:r>
        <w:rPr>
          <w:sz w:val="24"/>
          <w:szCs w:val="24"/>
        </w:rPr>
        <w:t xml:space="preserve"> by McKesson, and McKesson Prescription Automation. They accelerate state-of-the-art solutions for medication access, affordability, and adherence for all stakeholders involved, from providers to pharmacies, payers to biopharma and, but most importantly, the patients.</w:t>
      </w:r>
    </w:p>
    <w:p w14:paraId="04CEECEC" w14:textId="77777777" w:rsidR="00864BE6" w:rsidRDefault="00E17744">
      <w:pPr>
        <w:shd w:val="clear" w:color="auto" w:fill="FFFFFF"/>
        <w:spacing w:before="240" w:after="300" w:line="276" w:lineRule="auto"/>
        <w:rPr>
          <w:b/>
          <w:color w:val="4472C4"/>
          <w:sz w:val="24"/>
          <w:szCs w:val="24"/>
        </w:rPr>
      </w:pPr>
      <w:r>
        <w:rPr>
          <w:b/>
          <w:color w:val="1F4E79"/>
          <w:sz w:val="24"/>
          <w:szCs w:val="24"/>
        </w:rPr>
        <w:t>McKesson Canada and Europe</w:t>
      </w:r>
    </w:p>
    <w:p w14:paraId="1163C33F" w14:textId="77777777" w:rsidR="00864BE6" w:rsidRDefault="00E17744">
      <w:pPr>
        <w:shd w:val="clear" w:color="auto" w:fill="FFFFFF"/>
        <w:spacing w:before="240" w:after="300" w:line="480" w:lineRule="auto"/>
        <w:rPr>
          <w:sz w:val="24"/>
          <w:szCs w:val="24"/>
        </w:rPr>
      </w:pPr>
      <w:r>
        <w:rPr>
          <w:sz w:val="24"/>
          <w:szCs w:val="24"/>
        </w:rPr>
        <w:t>McKesson partners with the Canadian and European health care industry to do as it has in the United States: provide enhanced, safer care by delivering supplies, necessary medications and supplements, and information technologies. They have done this for over 100 years and provide the same solutions worldwide to Canada and Europe, improving patient outcomes on a daily basis.</w:t>
      </w:r>
    </w:p>
    <w:p w14:paraId="3B46137D" w14:textId="77777777" w:rsidR="00864BE6" w:rsidRDefault="00E17744">
      <w:pPr>
        <w:pStyle w:val="Heading1"/>
        <w:rPr>
          <w:color w:val="1F4E79"/>
          <w:sz w:val="32"/>
          <w:szCs w:val="32"/>
        </w:rPr>
      </w:pPr>
      <w:bookmarkStart w:id="1" w:name="_Toc129024015"/>
      <w:r>
        <w:rPr>
          <w:color w:val="1F4E79"/>
          <w:sz w:val="32"/>
          <w:szCs w:val="32"/>
        </w:rPr>
        <w:t>How Does The Firm Make Money?</w:t>
      </w:r>
      <w:bookmarkEnd w:id="1"/>
    </w:p>
    <w:p w14:paraId="0A6686D1" w14:textId="77777777" w:rsidR="00864BE6" w:rsidRDefault="00E17744">
      <w:pPr>
        <w:spacing w:before="240" w:after="300"/>
        <w:rPr>
          <w:sz w:val="24"/>
          <w:szCs w:val="24"/>
        </w:rPr>
      </w:pPr>
      <w:r>
        <w:rPr>
          <w:sz w:val="24"/>
          <w:szCs w:val="24"/>
        </w:rPr>
        <w:t>Table 1 displays the sales revenue and operating profit and margin for each segment.</w:t>
      </w:r>
    </w:p>
    <w:tbl>
      <w:tblPr>
        <w:tblStyle w:val="a8"/>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1065"/>
        <w:gridCol w:w="1020"/>
        <w:gridCol w:w="1020"/>
        <w:gridCol w:w="1050"/>
        <w:gridCol w:w="1005"/>
        <w:gridCol w:w="1035"/>
      </w:tblGrid>
      <w:tr w:rsidR="00864BE6" w14:paraId="4EBF7A2B" w14:textId="77777777">
        <w:trPr>
          <w:trHeight w:val="575"/>
        </w:trPr>
        <w:tc>
          <w:tcPr>
            <w:tcW w:w="3600" w:type="dxa"/>
            <w:shd w:val="clear" w:color="auto" w:fill="1F4E79"/>
          </w:tcPr>
          <w:p w14:paraId="1A4EC2B1" w14:textId="77777777" w:rsidR="00864BE6" w:rsidRDefault="00E17744">
            <w:pPr>
              <w:rPr>
                <w:b/>
                <w:color w:val="FFFFFF"/>
              </w:rPr>
            </w:pPr>
            <w:r>
              <w:rPr>
                <w:b/>
                <w:color w:val="FFFFFF"/>
              </w:rPr>
              <w:t>Segment</w:t>
            </w:r>
          </w:p>
        </w:tc>
        <w:tc>
          <w:tcPr>
            <w:tcW w:w="1065" w:type="dxa"/>
            <w:shd w:val="clear" w:color="auto" w:fill="1F4E79"/>
          </w:tcPr>
          <w:p w14:paraId="5A8FADB5" w14:textId="77777777" w:rsidR="00864BE6" w:rsidRDefault="00E17744">
            <w:pPr>
              <w:rPr>
                <w:b/>
                <w:color w:val="FFFFFF"/>
              </w:rPr>
            </w:pPr>
            <w:r>
              <w:rPr>
                <w:b/>
                <w:color w:val="FFFFFF"/>
              </w:rPr>
              <w:t>2018</w:t>
            </w:r>
          </w:p>
        </w:tc>
        <w:tc>
          <w:tcPr>
            <w:tcW w:w="1020" w:type="dxa"/>
            <w:shd w:val="clear" w:color="auto" w:fill="1F4E79"/>
          </w:tcPr>
          <w:p w14:paraId="5507D570" w14:textId="77777777" w:rsidR="00864BE6" w:rsidRDefault="00E17744">
            <w:pPr>
              <w:rPr>
                <w:b/>
                <w:color w:val="FFFFFF"/>
              </w:rPr>
            </w:pPr>
            <w:r>
              <w:rPr>
                <w:b/>
                <w:color w:val="FFFFFF"/>
              </w:rPr>
              <w:t>2019</w:t>
            </w:r>
          </w:p>
        </w:tc>
        <w:tc>
          <w:tcPr>
            <w:tcW w:w="1020" w:type="dxa"/>
            <w:shd w:val="clear" w:color="auto" w:fill="1F4E79"/>
          </w:tcPr>
          <w:p w14:paraId="28941DFA" w14:textId="77777777" w:rsidR="00864BE6" w:rsidRDefault="00E17744">
            <w:pPr>
              <w:rPr>
                <w:b/>
                <w:color w:val="FFFFFF"/>
              </w:rPr>
            </w:pPr>
            <w:r>
              <w:rPr>
                <w:b/>
                <w:color w:val="FFFFFF"/>
              </w:rPr>
              <w:t>2020</w:t>
            </w:r>
          </w:p>
        </w:tc>
        <w:tc>
          <w:tcPr>
            <w:tcW w:w="1050" w:type="dxa"/>
            <w:shd w:val="clear" w:color="auto" w:fill="1F4E79"/>
          </w:tcPr>
          <w:p w14:paraId="554ED610" w14:textId="77777777" w:rsidR="00864BE6" w:rsidRDefault="00E17744">
            <w:pPr>
              <w:rPr>
                <w:b/>
                <w:color w:val="FFFFFF"/>
              </w:rPr>
            </w:pPr>
            <w:r>
              <w:rPr>
                <w:b/>
                <w:color w:val="FFFFFF"/>
              </w:rPr>
              <w:t>2021</w:t>
            </w:r>
          </w:p>
        </w:tc>
        <w:tc>
          <w:tcPr>
            <w:tcW w:w="1005" w:type="dxa"/>
            <w:shd w:val="clear" w:color="auto" w:fill="1F4E79"/>
          </w:tcPr>
          <w:p w14:paraId="4C770046" w14:textId="77777777" w:rsidR="00864BE6" w:rsidRDefault="00E17744">
            <w:pPr>
              <w:rPr>
                <w:b/>
                <w:color w:val="FFFFFF"/>
              </w:rPr>
            </w:pPr>
            <w:r>
              <w:rPr>
                <w:b/>
                <w:color w:val="FFFFFF"/>
              </w:rPr>
              <w:t>2022</w:t>
            </w:r>
          </w:p>
        </w:tc>
        <w:tc>
          <w:tcPr>
            <w:tcW w:w="1035" w:type="dxa"/>
            <w:shd w:val="clear" w:color="auto" w:fill="1F4E79"/>
          </w:tcPr>
          <w:p w14:paraId="0C525CD1" w14:textId="77777777" w:rsidR="00864BE6" w:rsidRDefault="00E17744">
            <w:pPr>
              <w:rPr>
                <w:b/>
                <w:color w:val="FFFFFF"/>
              </w:rPr>
            </w:pPr>
            <w:r>
              <w:rPr>
                <w:b/>
                <w:color w:val="FFFFFF"/>
              </w:rPr>
              <w:t>2022 Change</w:t>
            </w:r>
          </w:p>
        </w:tc>
      </w:tr>
      <w:tr w:rsidR="00864BE6" w14:paraId="05E506F5" w14:textId="77777777">
        <w:trPr>
          <w:trHeight w:val="290"/>
        </w:trPr>
        <w:tc>
          <w:tcPr>
            <w:tcW w:w="9795" w:type="dxa"/>
            <w:gridSpan w:val="7"/>
            <w:shd w:val="clear" w:color="auto" w:fill="FFC000"/>
          </w:tcPr>
          <w:p w14:paraId="22BE9EF6" w14:textId="77777777" w:rsidR="00864BE6" w:rsidRDefault="00E17744">
            <w:pPr>
              <w:jc w:val="center"/>
            </w:pPr>
            <w:r>
              <w:rPr>
                <w:b/>
              </w:rPr>
              <w:t>Segment Sales Revenue (Millions)</w:t>
            </w:r>
          </w:p>
        </w:tc>
      </w:tr>
      <w:tr w:rsidR="00864BE6" w14:paraId="7CADE7FD" w14:textId="77777777">
        <w:trPr>
          <w:trHeight w:val="290"/>
        </w:trPr>
        <w:tc>
          <w:tcPr>
            <w:tcW w:w="3600" w:type="dxa"/>
            <w:shd w:val="clear" w:color="auto" w:fill="auto"/>
          </w:tcPr>
          <w:p w14:paraId="3E489256" w14:textId="77777777" w:rsidR="00864BE6" w:rsidRDefault="00E17744">
            <w:r>
              <w:t xml:space="preserve">U.S. Pharmaceuticals </w:t>
            </w:r>
          </w:p>
        </w:tc>
        <w:tc>
          <w:tcPr>
            <w:tcW w:w="1065" w:type="dxa"/>
          </w:tcPr>
          <w:p w14:paraId="0122C2F7" w14:textId="77777777" w:rsidR="00864BE6" w:rsidRDefault="00E17744">
            <w:pPr>
              <w:rPr>
                <w:sz w:val="20"/>
                <w:szCs w:val="20"/>
              </w:rPr>
            </w:pPr>
            <w:r>
              <w:rPr>
                <w:sz w:val="20"/>
                <w:szCs w:val="20"/>
              </w:rPr>
              <w:t>162,587</w:t>
            </w:r>
          </w:p>
        </w:tc>
        <w:tc>
          <w:tcPr>
            <w:tcW w:w="1020" w:type="dxa"/>
          </w:tcPr>
          <w:p w14:paraId="2D9E296A" w14:textId="77777777" w:rsidR="00864BE6" w:rsidRDefault="00E17744">
            <w:pPr>
              <w:rPr>
                <w:sz w:val="20"/>
                <w:szCs w:val="20"/>
              </w:rPr>
            </w:pPr>
            <w:r>
              <w:rPr>
                <w:sz w:val="20"/>
                <w:szCs w:val="20"/>
              </w:rPr>
              <w:t>167,763</w:t>
            </w:r>
          </w:p>
        </w:tc>
        <w:tc>
          <w:tcPr>
            <w:tcW w:w="1020" w:type="dxa"/>
          </w:tcPr>
          <w:p w14:paraId="27A79D61" w14:textId="77777777" w:rsidR="00864BE6" w:rsidRDefault="00E17744">
            <w:pPr>
              <w:rPr>
                <w:sz w:val="20"/>
                <w:szCs w:val="20"/>
              </w:rPr>
            </w:pPr>
            <w:r>
              <w:rPr>
                <w:sz w:val="20"/>
                <w:szCs w:val="20"/>
              </w:rPr>
              <w:t>183,341</w:t>
            </w:r>
          </w:p>
        </w:tc>
        <w:tc>
          <w:tcPr>
            <w:tcW w:w="1050" w:type="dxa"/>
          </w:tcPr>
          <w:p w14:paraId="644D575C" w14:textId="77777777" w:rsidR="00864BE6" w:rsidRDefault="00E17744">
            <w:pPr>
              <w:rPr>
                <w:sz w:val="20"/>
                <w:szCs w:val="20"/>
              </w:rPr>
            </w:pPr>
            <w:r>
              <w:rPr>
                <w:sz w:val="20"/>
                <w:szCs w:val="20"/>
              </w:rPr>
              <w:t>189,274</w:t>
            </w:r>
          </w:p>
        </w:tc>
        <w:tc>
          <w:tcPr>
            <w:tcW w:w="1005" w:type="dxa"/>
          </w:tcPr>
          <w:p w14:paraId="061D40B3" w14:textId="77777777" w:rsidR="00864BE6" w:rsidRDefault="00E17744">
            <w:pPr>
              <w:rPr>
                <w:sz w:val="20"/>
                <w:szCs w:val="20"/>
              </w:rPr>
            </w:pPr>
            <w:r>
              <w:rPr>
                <w:sz w:val="20"/>
                <w:szCs w:val="20"/>
              </w:rPr>
              <w:t>212,149</w:t>
            </w:r>
          </w:p>
        </w:tc>
        <w:tc>
          <w:tcPr>
            <w:tcW w:w="1035" w:type="dxa"/>
          </w:tcPr>
          <w:p w14:paraId="2B47CDC6" w14:textId="77777777" w:rsidR="00864BE6" w:rsidRDefault="00E17744">
            <w:pPr>
              <w:rPr>
                <w:sz w:val="20"/>
                <w:szCs w:val="20"/>
              </w:rPr>
            </w:pPr>
            <w:r>
              <w:rPr>
                <w:sz w:val="20"/>
                <w:szCs w:val="20"/>
              </w:rPr>
              <w:t>12%</w:t>
            </w:r>
          </w:p>
        </w:tc>
      </w:tr>
      <w:tr w:rsidR="00864BE6" w14:paraId="5A34D098" w14:textId="77777777">
        <w:trPr>
          <w:trHeight w:val="290"/>
        </w:trPr>
        <w:tc>
          <w:tcPr>
            <w:tcW w:w="3600" w:type="dxa"/>
            <w:shd w:val="clear" w:color="auto" w:fill="auto"/>
          </w:tcPr>
          <w:p w14:paraId="36A9C48E" w14:textId="77777777" w:rsidR="00864BE6" w:rsidRDefault="00E17744">
            <w:r>
              <w:t>Prescription Technology Solutions</w:t>
            </w:r>
            <w:r>
              <w:rPr>
                <w:vertAlign w:val="superscript"/>
              </w:rPr>
              <w:t xml:space="preserve">1 </w:t>
            </w:r>
          </w:p>
        </w:tc>
        <w:tc>
          <w:tcPr>
            <w:tcW w:w="1065" w:type="dxa"/>
          </w:tcPr>
          <w:p w14:paraId="29E647F1" w14:textId="77777777" w:rsidR="00864BE6" w:rsidRDefault="00E17744">
            <w:pPr>
              <w:rPr>
                <w:sz w:val="20"/>
                <w:szCs w:val="20"/>
              </w:rPr>
            </w:pPr>
            <w:r>
              <w:rPr>
                <w:sz w:val="20"/>
                <w:szCs w:val="20"/>
              </w:rPr>
              <w:t>--</w:t>
            </w:r>
          </w:p>
        </w:tc>
        <w:tc>
          <w:tcPr>
            <w:tcW w:w="1020" w:type="dxa"/>
          </w:tcPr>
          <w:p w14:paraId="02629F8D" w14:textId="77777777" w:rsidR="00864BE6" w:rsidRDefault="00E17744">
            <w:pPr>
              <w:rPr>
                <w:sz w:val="20"/>
                <w:szCs w:val="20"/>
              </w:rPr>
            </w:pPr>
            <w:r>
              <w:rPr>
                <w:sz w:val="20"/>
                <w:szCs w:val="20"/>
              </w:rPr>
              <w:t>--</w:t>
            </w:r>
          </w:p>
        </w:tc>
        <w:tc>
          <w:tcPr>
            <w:tcW w:w="1020" w:type="dxa"/>
          </w:tcPr>
          <w:p w14:paraId="1C8FA424" w14:textId="77777777" w:rsidR="00864BE6" w:rsidRDefault="00E17744">
            <w:pPr>
              <w:rPr>
                <w:sz w:val="20"/>
                <w:szCs w:val="20"/>
              </w:rPr>
            </w:pPr>
            <w:r>
              <w:rPr>
                <w:sz w:val="20"/>
                <w:szCs w:val="20"/>
              </w:rPr>
              <w:t>--</w:t>
            </w:r>
          </w:p>
        </w:tc>
        <w:tc>
          <w:tcPr>
            <w:tcW w:w="1050" w:type="dxa"/>
          </w:tcPr>
          <w:p w14:paraId="4D98AA3C" w14:textId="77777777" w:rsidR="00864BE6" w:rsidRDefault="00E17744">
            <w:pPr>
              <w:rPr>
                <w:sz w:val="20"/>
                <w:szCs w:val="20"/>
              </w:rPr>
            </w:pPr>
            <w:r>
              <w:rPr>
                <w:sz w:val="20"/>
                <w:szCs w:val="20"/>
              </w:rPr>
              <w:t>2,890</w:t>
            </w:r>
          </w:p>
        </w:tc>
        <w:tc>
          <w:tcPr>
            <w:tcW w:w="1005" w:type="dxa"/>
          </w:tcPr>
          <w:p w14:paraId="74C79044" w14:textId="77777777" w:rsidR="00864BE6" w:rsidRDefault="00E17744">
            <w:pPr>
              <w:rPr>
                <w:sz w:val="20"/>
                <w:szCs w:val="20"/>
              </w:rPr>
            </w:pPr>
            <w:r>
              <w:rPr>
                <w:sz w:val="20"/>
                <w:szCs w:val="20"/>
              </w:rPr>
              <w:t>3,864</w:t>
            </w:r>
          </w:p>
        </w:tc>
        <w:tc>
          <w:tcPr>
            <w:tcW w:w="1035" w:type="dxa"/>
          </w:tcPr>
          <w:p w14:paraId="26F6840E" w14:textId="77777777" w:rsidR="00864BE6" w:rsidRDefault="00E17744">
            <w:pPr>
              <w:rPr>
                <w:sz w:val="20"/>
                <w:szCs w:val="20"/>
              </w:rPr>
            </w:pPr>
            <w:r>
              <w:rPr>
                <w:sz w:val="20"/>
                <w:szCs w:val="20"/>
              </w:rPr>
              <w:t>34%</w:t>
            </w:r>
          </w:p>
        </w:tc>
      </w:tr>
      <w:tr w:rsidR="00864BE6" w14:paraId="6B6977B8" w14:textId="77777777">
        <w:trPr>
          <w:trHeight w:val="290"/>
        </w:trPr>
        <w:tc>
          <w:tcPr>
            <w:tcW w:w="3600" w:type="dxa"/>
            <w:shd w:val="clear" w:color="auto" w:fill="auto"/>
          </w:tcPr>
          <w:p w14:paraId="37334A4F" w14:textId="77777777" w:rsidR="00864BE6" w:rsidRDefault="00E17744">
            <w:r>
              <w:t xml:space="preserve">Medical-Surgical Solutions </w:t>
            </w:r>
          </w:p>
        </w:tc>
        <w:tc>
          <w:tcPr>
            <w:tcW w:w="1065" w:type="dxa"/>
          </w:tcPr>
          <w:p w14:paraId="45B6928A" w14:textId="77777777" w:rsidR="00864BE6" w:rsidRDefault="00E17744">
            <w:pPr>
              <w:rPr>
                <w:sz w:val="20"/>
                <w:szCs w:val="20"/>
              </w:rPr>
            </w:pPr>
            <w:r>
              <w:rPr>
                <w:sz w:val="20"/>
                <w:szCs w:val="20"/>
              </w:rPr>
              <w:t>6,611</w:t>
            </w:r>
          </w:p>
        </w:tc>
        <w:tc>
          <w:tcPr>
            <w:tcW w:w="1020" w:type="dxa"/>
          </w:tcPr>
          <w:p w14:paraId="082089CF" w14:textId="77777777" w:rsidR="00864BE6" w:rsidRDefault="00E17744">
            <w:pPr>
              <w:rPr>
                <w:sz w:val="20"/>
                <w:szCs w:val="20"/>
              </w:rPr>
            </w:pPr>
            <w:r>
              <w:rPr>
                <w:sz w:val="20"/>
                <w:szCs w:val="20"/>
              </w:rPr>
              <w:t>7,618</w:t>
            </w:r>
          </w:p>
        </w:tc>
        <w:tc>
          <w:tcPr>
            <w:tcW w:w="1020" w:type="dxa"/>
          </w:tcPr>
          <w:p w14:paraId="63537D39" w14:textId="77777777" w:rsidR="00864BE6" w:rsidRDefault="00E17744">
            <w:pPr>
              <w:rPr>
                <w:sz w:val="20"/>
                <w:szCs w:val="20"/>
              </w:rPr>
            </w:pPr>
            <w:r>
              <w:rPr>
                <w:sz w:val="20"/>
                <w:szCs w:val="20"/>
              </w:rPr>
              <w:t>8,305</w:t>
            </w:r>
          </w:p>
        </w:tc>
        <w:tc>
          <w:tcPr>
            <w:tcW w:w="1050" w:type="dxa"/>
          </w:tcPr>
          <w:p w14:paraId="14F7E84C" w14:textId="77777777" w:rsidR="00864BE6" w:rsidRDefault="00E17744">
            <w:pPr>
              <w:rPr>
                <w:sz w:val="20"/>
                <w:szCs w:val="20"/>
              </w:rPr>
            </w:pPr>
            <w:r>
              <w:rPr>
                <w:sz w:val="20"/>
                <w:szCs w:val="20"/>
              </w:rPr>
              <w:t>10,099</w:t>
            </w:r>
          </w:p>
        </w:tc>
        <w:tc>
          <w:tcPr>
            <w:tcW w:w="1005" w:type="dxa"/>
          </w:tcPr>
          <w:p w14:paraId="0597775E" w14:textId="77777777" w:rsidR="00864BE6" w:rsidRDefault="00E17744">
            <w:pPr>
              <w:rPr>
                <w:sz w:val="20"/>
                <w:szCs w:val="20"/>
              </w:rPr>
            </w:pPr>
            <w:r>
              <w:rPr>
                <w:sz w:val="20"/>
                <w:szCs w:val="20"/>
              </w:rPr>
              <w:t>11,608</w:t>
            </w:r>
          </w:p>
        </w:tc>
        <w:tc>
          <w:tcPr>
            <w:tcW w:w="1035" w:type="dxa"/>
          </w:tcPr>
          <w:p w14:paraId="1ECAF6C4" w14:textId="77777777" w:rsidR="00864BE6" w:rsidRDefault="00E17744">
            <w:pPr>
              <w:rPr>
                <w:sz w:val="20"/>
                <w:szCs w:val="20"/>
              </w:rPr>
            </w:pPr>
            <w:r>
              <w:rPr>
                <w:sz w:val="20"/>
                <w:szCs w:val="20"/>
              </w:rPr>
              <w:t>15%</w:t>
            </w:r>
          </w:p>
        </w:tc>
      </w:tr>
      <w:tr w:rsidR="00864BE6" w14:paraId="30498197" w14:textId="77777777">
        <w:trPr>
          <w:trHeight w:val="290"/>
        </w:trPr>
        <w:tc>
          <w:tcPr>
            <w:tcW w:w="3600" w:type="dxa"/>
            <w:tcBorders>
              <w:bottom w:val="single" w:sz="12" w:space="0" w:color="000000"/>
            </w:tcBorders>
            <w:shd w:val="clear" w:color="auto" w:fill="auto"/>
          </w:tcPr>
          <w:p w14:paraId="4822C8BA" w14:textId="77777777" w:rsidR="00864BE6" w:rsidRDefault="00E17744">
            <w:r>
              <w:t>International</w:t>
            </w:r>
          </w:p>
        </w:tc>
        <w:tc>
          <w:tcPr>
            <w:tcW w:w="1065" w:type="dxa"/>
            <w:tcBorders>
              <w:bottom w:val="single" w:sz="12" w:space="0" w:color="000000"/>
            </w:tcBorders>
          </w:tcPr>
          <w:p w14:paraId="797B5D36" w14:textId="77777777" w:rsidR="00864BE6" w:rsidRDefault="00E17744">
            <w:pPr>
              <w:rPr>
                <w:sz w:val="20"/>
                <w:szCs w:val="20"/>
              </w:rPr>
            </w:pPr>
            <w:r>
              <w:rPr>
                <w:sz w:val="20"/>
                <w:szCs w:val="20"/>
              </w:rPr>
              <w:t>11,839</w:t>
            </w:r>
          </w:p>
        </w:tc>
        <w:tc>
          <w:tcPr>
            <w:tcW w:w="1020" w:type="dxa"/>
            <w:tcBorders>
              <w:bottom w:val="single" w:sz="12" w:space="0" w:color="000000"/>
            </w:tcBorders>
          </w:tcPr>
          <w:p w14:paraId="0CB3D210" w14:textId="77777777" w:rsidR="00864BE6" w:rsidRDefault="00E17744">
            <w:pPr>
              <w:rPr>
                <w:sz w:val="20"/>
                <w:szCs w:val="20"/>
              </w:rPr>
            </w:pPr>
            <w:r>
              <w:rPr>
                <w:sz w:val="20"/>
                <w:szCs w:val="20"/>
              </w:rPr>
              <w:t>11,696</w:t>
            </w:r>
          </w:p>
        </w:tc>
        <w:tc>
          <w:tcPr>
            <w:tcW w:w="1020" w:type="dxa"/>
            <w:tcBorders>
              <w:bottom w:val="single" w:sz="12" w:space="0" w:color="000000"/>
            </w:tcBorders>
          </w:tcPr>
          <w:p w14:paraId="698E6396" w14:textId="77777777" w:rsidR="00864BE6" w:rsidRDefault="00E17744">
            <w:pPr>
              <w:rPr>
                <w:sz w:val="20"/>
                <w:szCs w:val="20"/>
              </w:rPr>
            </w:pPr>
            <w:r>
              <w:rPr>
                <w:sz w:val="20"/>
                <w:szCs w:val="20"/>
              </w:rPr>
              <w:t>12,015</w:t>
            </w:r>
          </w:p>
        </w:tc>
        <w:tc>
          <w:tcPr>
            <w:tcW w:w="1050" w:type="dxa"/>
            <w:tcBorders>
              <w:bottom w:val="single" w:sz="12" w:space="0" w:color="000000"/>
            </w:tcBorders>
          </w:tcPr>
          <w:p w14:paraId="168F5F0A" w14:textId="77777777" w:rsidR="00864BE6" w:rsidRDefault="00E17744">
            <w:pPr>
              <w:rPr>
                <w:sz w:val="20"/>
                <w:szCs w:val="20"/>
              </w:rPr>
            </w:pPr>
            <w:r>
              <w:rPr>
                <w:sz w:val="20"/>
                <w:szCs w:val="20"/>
              </w:rPr>
              <w:t>35,965</w:t>
            </w:r>
          </w:p>
        </w:tc>
        <w:tc>
          <w:tcPr>
            <w:tcW w:w="1005" w:type="dxa"/>
            <w:tcBorders>
              <w:bottom w:val="single" w:sz="12" w:space="0" w:color="000000"/>
            </w:tcBorders>
          </w:tcPr>
          <w:p w14:paraId="153DCB8A" w14:textId="77777777" w:rsidR="00864BE6" w:rsidRDefault="00E17744">
            <w:pPr>
              <w:rPr>
                <w:sz w:val="20"/>
                <w:szCs w:val="20"/>
              </w:rPr>
            </w:pPr>
            <w:r>
              <w:rPr>
                <w:sz w:val="20"/>
                <w:szCs w:val="20"/>
              </w:rPr>
              <w:t>36,345</w:t>
            </w:r>
          </w:p>
        </w:tc>
        <w:tc>
          <w:tcPr>
            <w:tcW w:w="1035" w:type="dxa"/>
            <w:tcBorders>
              <w:bottom w:val="single" w:sz="12" w:space="0" w:color="000000"/>
            </w:tcBorders>
          </w:tcPr>
          <w:p w14:paraId="7EB63CDA" w14:textId="77777777" w:rsidR="00864BE6" w:rsidRDefault="00E17744">
            <w:pPr>
              <w:rPr>
                <w:sz w:val="20"/>
                <w:szCs w:val="20"/>
              </w:rPr>
            </w:pPr>
            <w:r>
              <w:rPr>
                <w:sz w:val="20"/>
                <w:szCs w:val="20"/>
              </w:rPr>
              <w:t>1%</w:t>
            </w:r>
          </w:p>
        </w:tc>
      </w:tr>
      <w:tr w:rsidR="00864BE6" w14:paraId="61DCAD00" w14:textId="77777777">
        <w:trPr>
          <w:trHeight w:val="290"/>
        </w:trPr>
        <w:tc>
          <w:tcPr>
            <w:tcW w:w="3600" w:type="dxa"/>
            <w:tcBorders>
              <w:top w:val="single" w:sz="12" w:space="0" w:color="000000"/>
              <w:left w:val="single" w:sz="12" w:space="0" w:color="000000"/>
              <w:bottom w:val="single" w:sz="12" w:space="0" w:color="000000"/>
              <w:right w:val="single" w:sz="12" w:space="0" w:color="000000"/>
            </w:tcBorders>
            <w:shd w:val="clear" w:color="auto" w:fill="auto"/>
          </w:tcPr>
          <w:p w14:paraId="0EFD4437" w14:textId="77777777" w:rsidR="00864BE6" w:rsidRDefault="00E17744">
            <w:pPr>
              <w:rPr>
                <w:b/>
              </w:rPr>
            </w:pPr>
            <w:r>
              <w:rPr>
                <w:b/>
              </w:rPr>
              <w:t>Total sale revenue</w:t>
            </w:r>
          </w:p>
        </w:tc>
        <w:tc>
          <w:tcPr>
            <w:tcW w:w="1065" w:type="dxa"/>
            <w:tcBorders>
              <w:top w:val="single" w:sz="12" w:space="0" w:color="000000"/>
              <w:left w:val="single" w:sz="12" w:space="0" w:color="000000"/>
              <w:bottom w:val="single" w:sz="12" w:space="0" w:color="000000"/>
              <w:right w:val="single" w:sz="12" w:space="0" w:color="000000"/>
            </w:tcBorders>
          </w:tcPr>
          <w:p w14:paraId="252EBAF6" w14:textId="77777777" w:rsidR="00864BE6" w:rsidRDefault="00E17744">
            <w:pPr>
              <w:rPr>
                <w:b/>
                <w:sz w:val="20"/>
                <w:szCs w:val="20"/>
              </w:rPr>
            </w:pPr>
            <w:r>
              <w:rPr>
                <w:b/>
                <w:sz w:val="20"/>
                <w:szCs w:val="20"/>
              </w:rPr>
              <w:t>181,037</w:t>
            </w:r>
          </w:p>
        </w:tc>
        <w:tc>
          <w:tcPr>
            <w:tcW w:w="1020" w:type="dxa"/>
            <w:tcBorders>
              <w:top w:val="single" w:sz="12" w:space="0" w:color="000000"/>
              <w:left w:val="single" w:sz="12" w:space="0" w:color="000000"/>
              <w:bottom w:val="single" w:sz="12" w:space="0" w:color="000000"/>
              <w:right w:val="single" w:sz="12" w:space="0" w:color="000000"/>
            </w:tcBorders>
          </w:tcPr>
          <w:p w14:paraId="0CC74610" w14:textId="77777777" w:rsidR="00864BE6" w:rsidRDefault="00E17744">
            <w:pPr>
              <w:rPr>
                <w:b/>
                <w:sz w:val="20"/>
                <w:szCs w:val="20"/>
              </w:rPr>
            </w:pPr>
            <w:r>
              <w:rPr>
                <w:b/>
                <w:sz w:val="20"/>
                <w:szCs w:val="20"/>
              </w:rPr>
              <w:t>187,077</w:t>
            </w:r>
          </w:p>
        </w:tc>
        <w:tc>
          <w:tcPr>
            <w:tcW w:w="1020" w:type="dxa"/>
            <w:tcBorders>
              <w:top w:val="single" w:sz="12" w:space="0" w:color="000000"/>
              <w:left w:val="single" w:sz="12" w:space="0" w:color="000000"/>
              <w:bottom w:val="single" w:sz="12" w:space="0" w:color="000000"/>
              <w:right w:val="single" w:sz="12" w:space="0" w:color="000000"/>
            </w:tcBorders>
          </w:tcPr>
          <w:p w14:paraId="53D78D5B" w14:textId="77777777" w:rsidR="00864BE6" w:rsidRDefault="00E17744">
            <w:pPr>
              <w:rPr>
                <w:b/>
                <w:sz w:val="20"/>
                <w:szCs w:val="20"/>
              </w:rPr>
            </w:pPr>
            <w:r>
              <w:rPr>
                <w:b/>
                <w:sz w:val="20"/>
                <w:szCs w:val="20"/>
              </w:rPr>
              <w:t>203,661</w:t>
            </w:r>
          </w:p>
        </w:tc>
        <w:tc>
          <w:tcPr>
            <w:tcW w:w="1050" w:type="dxa"/>
            <w:tcBorders>
              <w:top w:val="single" w:sz="12" w:space="0" w:color="000000"/>
              <w:left w:val="single" w:sz="12" w:space="0" w:color="000000"/>
              <w:bottom w:val="single" w:sz="12" w:space="0" w:color="000000"/>
              <w:right w:val="single" w:sz="12" w:space="0" w:color="000000"/>
            </w:tcBorders>
          </w:tcPr>
          <w:p w14:paraId="0F56C915" w14:textId="57DEAC1B" w:rsidR="00864BE6" w:rsidRDefault="00E17744">
            <w:pPr>
              <w:rPr>
                <w:b/>
                <w:sz w:val="20"/>
                <w:szCs w:val="20"/>
              </w:rPr>
            </w:pPr>
            <w:r>
              <w:rPr>
                <w:b/>
                <w:sz w:val="20"/>
                <w:szCs w:val="20"/>
              </w:rPr>
              <w:t>238</w:t>
            </w:r>
            <w:r w:rsidR="00FF097E">
              <w:rPr>
                <w:b/>
                <w:sz w:val="20"/>
                <w:szCs w:val="20"/>
              </w:rPr>
              <w:t>,</w:t>
            </w:r>
            <w:r>
              <w:rPr>
                <w:b/>
                <w:sz w:val="20"/>
                <w:szCs w:val="20"/>
              </w:rPr>
              <w:t>228</w:t>
            </w:r>
          </w:p>
        </w:tc>
        <w:tc>
          <w:tcPr>
            <w:tcW w:w="1005" w:type="dxa"/>
            <w:tcBorders>
              <w:top w:val="single" w:sz="12" w:space="0" w:color="000000"/>
              <w:left w:val="single" w:sz="12" w:space="0" w:color="000000"/>
              <w:bottom w:val="single" w:sz="12" w:space="0" w:color="000000"/>
              <w:right w:val="single" w:sz="12" w:space="0" w:color="000000"/>
            </w:tcBorders>
          </w:tcPr>
          <w:p w14:paraId="0F6CE91F" w14:textId="2D56F956" w:rsidR="00864BE6" w:rsidRDefault="00E17744">
            <w:pPr>
              <w:rPr>
                <w:b/>
                <w:sz w:val="20"/>
                <w:szCs w:val="20"/>
              </w:rPr>
            </w:pPr>
            <w:r>
              <w:rPr>
                <w:b/>
                <w:sz w:val="20"/>
                <w:szCs w:val="20"/>
              </w:rPr>
              <w:t>263</w:t>
            </w:r>
            <w:r w:rsidR="00FF097E">
              <w:rPr>
                <w:b/>
                <w:sz w:val="20"/>
                <w:szCs w:val="20"/>
              </w:rPr>
              <w:t>,</w:t>
            </w:r>
            <w:r>
              <w:rPr>
                <w:b/>
                <w:sz w:val="20"/>
                <w:szCs w:val="20"/>
              </w:rPr>
              <w:t>966</w:t>
            </w:r>
          </w:p>
        </w:tc>
        <w:tc>
          <w:tcPr>
            <w:tcW w:w="1035" w:type="dxa"/>
            <w:tcBorders>
              <w:top w:val="single" w:sz="12" w:space="0" w:color="000000"/>
              <w:left w:val="single" w:sz="12" w:space="0" w:color="000000"/>
              <w:bottom w:val="single" w:sz="12" w:space="0" w:color="000000"/>
              <w:right w:val="single" w:sz="12" w:space="0" w:color="000000"/>
            </w:tcBorders>
          </w:tcPr>
          <w:p w14:paraId="60381078" w14:textId="77777777" w:rsidR="00864BE6" w:rsidRDefault="00864BE6">
            <w:pPr>
              <w:rPr>
                <w:b/>
                <w:sz w:val="20"/>
                <w:szCs w:val="20"/>
              </w:rPr>
            </w:pPr>
          </w:p>
        </w:tc>
      </w:tr>
      <w:tr w:rsidR="00864BE6" w14:paraId="2CCE2AFC" w14:textId="77777777">
        <w:trPr>
          <w:trHeight w:val="290"/>
        </w:trPr>
        <w:tc>
          <w:tcPr>
            <w:tcW w:w="9795" w:type="dxa"/>
            <w:gridSpan w:val="7"/>
            <w:tcBorders>
              <w:top w:val="single" w:sz="12" w:space="0" w:color="000000"/>
            </w:tcBorders>
            <w:shd w:val="clear" w:color="auto" w:fill="FFC000"/>
          </w:tcPr>
          <w:p w14:paraId="69E5B7EF" w14:textId="77777777" w:rsidR="00864BE6" w:rsidRDefault="00E17744">
            <w:pPr>
              <w:jc w:val="center"/>
              <w:rPr>
                <w:b/>
                <w:sz w:val="20"/>
                <w:szCs w:val="20"/>
              </w:rPr>
            </w:pPr>
            <w:r>
              <w:rPr>
                <w:b/>
              </w:rPr>
              <w:t>Segment Operating Profit (Millions)</w:t>
            </w:r>
          </w:p>
        </w:tc>
      </w:tr>
      <w:tr w:rsidR="00864BE6" w14:paraId="699C09DF" w14:textId="77777777">
        <w:trPr>
          <w:trHeight w:val="290"/>
        </w:trPr>
        <w:tc>
          <w:tcPr>
            <w:tcW w:w="3600" w:type="dxa"/>
            <w:shd w:val="clear" w:color="auto" w:fill="auto"/>
          </w:tcPr>
          <w:p w14:paraId="7C53D33F" w14:textId="77777777" w:rsidR="00864BE6" w:rsidRDefault="00E17744">
            <w:r>
              <w:t xml:space="preserve">U.S. Pharmaceuticals </w:t>
            </w:r>
          </w:p>
        </w:tc>
        <w:tc>
          <w:tcPr>
            <w:tcW w:w="1065" w:type="dxa"/>
          </w:tcPr>
          <w:p w14:paraId="36DBFF97" w14:textId="77777777" w:rsidR="00864BE6" w:rsidRDefault="00E17744">
            <w:pPr>
              <w:rPr>
                <w:sz w:val="20"/>
                <w:szCs w:val="20"/>
              </w:rPr>
            </w:pPr>
            <w:r>
              <w:rPr>
                <w:sz w:val="20"/>
                <w:szCs w:val="20"/>
              </w:rPr>
              <w:t>2,535</w:t>
            </w:r>
          </w:p>
        </w:tc>
        <w:tc>
          <w:tcPr>
            <w:tcW w:w="1020" w:type="dxa"/>
          </w:tcPr>
          <w:p w14:paraId="30E90651" w14:textId="77777777" w:rsidR="00864BE6" w:rsidRDefault="00E17744">
            <w:pPr>
              <w:rPr>
                <w:sz w:val="20"/>
                <w:szCs w:val="20"/>
              </w:rPr>
            </w:pPr>
            <w:r>
              <w:rPr>
                <w:sz w:val="20"/>
                <w:szCs w:val="20"/>
              </w:rPr>
              <w:t>2,697</w:t>
            </w:r>
          </w:p>
        </w:tc>
        <w:tc>
          <w:tcPr>
            <w:tcW w:w="1020" w:type="dxa"/>
          </w:tcPr>
          <w:p w14:paraId="76A42FAF" w14:textId="77777777" w:rsidR="00864BE6" w:rsidRDefault="00E17744">
            <w:pPr>
              <w:rPr>
                <w:sz w:val="20"/>
                <w:szCs w:val="20"/>
              </w:rPr>
            </w:pPr>
            <w:r>
              <w:rPr>
                <w:sz w:val="20"/>
                <w:szCs w:val="20"/>
              </w:rPr>
              <w:t>2,767</w:t>
            </w:r>
          </w:p>
        </w:tc>
        <w:tc>
          <w:tcPr>
            <w:tcW w:w="1050" w:type="dxa"/>
          </w:tcPr>
          <w:p w14:paraId="13C639BF" w14:textId="77777777" w:rsidR="00864BE6" w:rsidRDefault="00E17744">
            <w:pPr>
              <w:rPr>
                <w:sz w:val="20"/>
                <w:szCs w:val="20"/>
              </w:rPr>
            </w:pPr>
            <w:r>
              <w:rPr>
                <w:sz w:val="20"/>
                <w:szCs w:val="20"/>
              </w:rPr>
              <w:t>2,763</w:t>
            </w:r>
          </w:p>
        </w:tc>
        <w:tc>
          <w:tcPr>
            <w:tcW w:w="1005" w:type="dxa"/>
          </w:tcPr>
          <w:p w14:paraId="36A220E4" w14:textId="77777777" w:rsidR="00864BE6" w:rsidRDefault="00E17744">
            <w:pPr>
              <w:rPr>
                <w:sz w:val="20"/>
                <w:szCs w:val="20"/>
              </w:rPr>
            </w:pPr>
            <w:r>
              <w:rPr>
                <w:sz w:val="20"/>
                <w:szCs w:val="20"/>
              </w:rPr>
              <w:t>2,879</w:t>
            </w:r>
          </w:p>
        </w:tc>
        <w:tc>
          <w:tcPr>
            <w:tcW w:w="1035" w:type="dxa"/>
          </w:tcPr>
          <w:p w14:paraId="04D48FC4" w14:textId="77777777" w:rsidR="00864BE6" w:rsidRDefault="00E17744">
            <w:pPr>
              <w:rPr>
                <w:sz w:val="20"/>
                <w:szCs w:val="20"/>
              </w:rPr>
            </w:pPr>
            <w:r>
              <w:rPr>
                <w:sz w:val="20"/>
                <w:szCs w:val="20"/>
              </w:rPr>
              <w:t>4%</w:t>
            </w:r>
          </w:p>
        </w:tc>
      </w:tr>
      <w:tr w:rsidR="00864BE6" w14:paraId="3A523F50" w14:textId="77777777">
        <w:trPr>
          <w:trHeight w:val="290"/>
        </w:trPr>
        <w:tc>
          <w:tcPr>
            <w:tcW w:w="3600" w:type="dxa"/>
            <w:shd w:val="clear" w:color="auto" w:fill="auto"/>
          </w:tcPr>
          <w:p w14:paraId="2233AEA5" w14:textId="77777777" w:rsidR="00864BE6" w:rsidRDefault="00E17744">
            <w:r>
              <w:t>Prescription Technology Solutions</w:t>
            </w:r>
            <w:r>
              <w:rPr>
                <w:vertAlign w:val="superscript"/>
              </w:rPr>
              <w:t>1</w:t>
            </w:r>
            <w:r>
              <w:t xml:space="preserve"> </w:t>
            </w:r>
          </w:p>
        </w:tc>
        <w:tc>
          <w:tcPr>
            <w:tcW w:w="1065" w:type="dxa"/>
          </w:tcPr>
          <w:p w14:paraId="33BFA25F" w14:textId="77777777" w:rsidR="00864BE6" w:rsidRDefault="00E17744">
            <w:pPr>
              <w:rPr>
                <w:sz w:val="20"/>
                <w:szCs w:val="20"/>
              </w:rPr>
            </w:pPr>
            <w:r>
              <w:rPr>
                <w:sz w:val="20"/>
                <w:szCs w:val="20"/>
              </w:rPr>
              <w:t>--</w:t>
            </w:r>
          </w:p>
        </w:tc>
        <w:tc>
          <w:tcPr>
            <w:tcW w:w="1020" w:type="dxa"/>
          </w:tcPr>
          <w:p w14:paraId="59C4D35A" w14:textId="77777777" w:rsidR="00864BE6" w:rsidRDefault="00E17744">
            <w:pPr>
              <w:rPr>
                <w:sz w:val="20"/>
                <w:szCs w:val="20"/>
              </w:rPr>
            </w:pPr>
            <w:r>
              <w:rPr>
                <w:sz w:val="20"/>
                <w:szCs w:val="20"/>
              </w:rPr>
              <w:t>--</w:t>
            </w:r>
          </w:p>
        </w:tc>
        <w:tc>
          <w:tcPr>
            <w:tcW w:w="1020" w:type="dxa"/>
          </w:tcPr>
          <w:p w14:paraId="6EED106A" w14:textId="77777777" w:rsidR="00864BE6" w:rsidRDefault="00E17744">
            <w:pPr>
              <w:rPr>
                <w:sz w:val="20"/>
                <w:szCs w:val="20"/>
              </w:rPr>
            </w:pPr>
            <w:r>
              <w:rPr>
                <w:sz w:val="20"/>
                <w:szCs w:val="20"/>
              </w:rPr>
              <w:t>--</w:t>
            </w:r>
          </w:p>
        </w:tc>
        <w:tc>
          <w:tcPr>
            <w:tcW w:w="1050" w:type="dxa"/>
          </w:tcPr>
          <w:p w14:paraId="179BA1DB" w14:textId="77777777" w:rsidR="00864BE6" w:rsidRDefault="00E17744">
            <w:pPr>
              <w:rPr>
                <w:sz w:val="20"/>
                <w:szCs w:val="20"/>
              </w:rPr>
            </w:pPr>
            <w:r>
              <w:rPr>
                <w:sz w:val="20"/>
                <w:szCs w:val="20"/>
              </w:rPr>
              <w:t>395</w:t>
            </w:r>
          </w:p>
        </w:tc>
        <w:tc>
          <w:tcPr>
            <w:tcW w:w="1005" w:type="dxa"/>
          </w:tcPr>
          <w:p w14:paraId="489CFF09" w14:textId="77777777" w:rsidR="00864BE6" w:rsidRDefault="00E17744">
            <w:pPr>
              <w:rPr>
                <w:sz w:val="20"/>
                <w:szCs w:val="20"/>
              </w:rPr>
            </w:pPr>
            <w:r>
              <w:rPr>
                <w:sz w:val="20"/>
                <w:szCs w:val="20"/>
              </w:rPr>
              <w:t>500</w:t>
            </w:r>
          </w:p>
        </w:tc>
        <w:tc>
          <w:tcPr>
            <w:tcW w:w="1035" w:type="dxa"/>
          </w:tcPr>
          <w:p w14:paraId="49F0EA1D" w14:textId="77777777" w:rsidR="00864BE6" w:rsidRDefault="00E17744">
            <w:pPr>
              <w:rPr>
                <w:sz w:val="20"/>
                <w:szCs w:val="20"/>
              </w:rPr>
            </w:pPr>
            <w:r>
              <w:rPr>
                <w:sz w:val="20"/>
                <w:szCs w:val="20"/>
              </w:rPr>
              <w:t>27%</w:t>
            </w:r>
          </w:p>
        </w:tc>
      </w:tr>
      <w:tr w:rsidR="00864BE6" w14:paraId="2AEE2A00" w14:textId="77777777">
        <w:trPr>
          <w:trHeight w:val="290"/>
        </w:trPr>
        <w:tc>
          <w:tcPr>
            <w:tcW w:w="3600" w:type="dxa"/>
            <w:shd w:val="clear" w:color="auto" w:fill="auto"/>
          </w:tcPr>
          <w:p w14:paraId="0053C5AB" w14:textId="77777777" w:rsidR="00864BE6" w:rsidRDefault="00E17744">
            <w:r>
              <w:t xml:space="preserve">Medical-Surgical Solutions </w:t>
            </w:r>
          </w:p>
        </w:tc>
        <w:tc>
          <w:tcPr>
            <w:tcW w:w="1065" w:type="dxa"/>
          </w:tcPr>
          <w:p w14:paraId="28D2F04A" w14:textId="77777777" w:rsidR="00864BE6" w:rsidRDefault="00E17744">
            <w:pPr>
              <w:rPr>
                <w:sz w:val="20"/>
                <w:szCs w:val="20"/>
              </w:rPr>
            </w:pPr>
            <w:r>
              <w:rPr>
                <w:sz w:val="20"/>
                <w:szCs w:val="20"/>
              </w:rPr>
              <w:t>461</w:t>
            </w:r>
          </w:p>
        </w:tc>
        <w:tc>
          <w:tcPr>
            <w:tcW w:w="1020" w:type="dxa"/>
          </w:tcPr>
          <w:p w14:paraId="3F58FF15" w14:textId="77777777" w:rsidR="00864BE6" w:rsidRDefault="00E17744">
            <w:pPr>
              <w:rPr>
                <w:sz w:val="20"/>
                <w:szCs w:val="20"/>
              </w:rPr>
            </w:pPr>
            <w:r>
              <w:rPr>
                <w:sz w:val="20"/>
                <w:szCs w:val="20"/>
              </w:rPr>
              <w:t>455</w:t>
            </w:r>
          </w:p>
        </w:tc>
        <w:tc>
          <w:tcPr>
            <w:tcW w:w="1020" w:type="dxa"/>
          </w:tcPr>
          <w:p w14:paraId="543E9355" w14:textId="77777777" w:rsidR="00864BE6" w:rsidRDefault="00E17744">
            <w:pPr>
              <w:rPr>
                <w:sz w:val="20"/>
                <w:szCs w:val="20"/>
              </w:rPr>
            </w:pPr>
            <w:r>
              <w:rPr>
                <w:sz w:val="20"/>
                <w:szCs w:val="20"/>
              </w:rPr>
              <w:t>499</w:t>
            </w:r>
          </w:p>
        </w:tc>
        <w:tc>
          <w:tcPr>
            <w:tcW w:w="1050" w:type="dxa"/>
          </w:tcPr>
          <w:p w14:paraId="7FA70163" w14:textId="77777777" w:rsidR="00864BE6" w:rsidRDefault="00E17744">
            <w:pPr>
              <w:rPr>
                <w:sz w:val="20"/>
                <w:szCs w:val="20"/>
              </w:rPr>
            </w:pPr>
            <w:r>
              <w:rPr>
                <w:sz w:val="20"/>
                <w:szCs w:val="20"/>
              </w:rPr>
              <w:t>707</w:t>
            </w:r>
          </w:p>
        </w:tc>
        <w:tc>
          <w:tcPr>
            <w:tcW w:w="1005" w:type="dxa"/>
          </w:tcPr>
          <w:p w14:paraId="44ED272E" w14:textId="77777777" w:rsidR="00864BE6" w:rsidRDefault="00E17744">
            <w:pPr>
              <w:rPr>
                <w:sz w:val="20"/>
                <w:szCs w:val="20"/>
              </w:rPr>
            </w:pPr>
            <w:r>
              <w:rPr>
                <w:sz w:val="20"/>
                <w:szCs w:val="20"/>
              </w:rPr>
              <w:t>959</w:t>
            </w:r>
          </w:p>
        </w:tc>
        <w:tc>
          <w:tcPr>
            <w:tcW w:w="1035" w:type="dxa"/>
          </w:tcPr>
          <w:p w14:paraId="5904DF0F" w14:textId="77777777" w:rsidR="00864BE6" w:rsidRDefault="00E17744">
            <w:pPr>
              <w:rPr>
                <w:sz w:val="20"/>
                <w:szCs w:val="20"/>
              </w:rPr>
            </w:pPr>
            <w:r>
              <w:rPr>
                <w:sz w:val="20"/>
                <w:szCs w:val="20"/>
              </w:rPr>
              <w:t>36%</w:t>
            </w:r>
          </w:p>
        </w:tc>
      </w:tr>
      <w:tr w:rsidR="00864BE6" w14:paraId="0BCB440B" w14:textId="77777777">
        <w:trPr>
          <w:trHeight w:val="290"/>
        </w:trPr>
        <w:tc>
          <w:tcPr>
            <w:tcW w:w="3600" w:type="dxa"/>
            <w:tcBorders>
              <w:bottom w:val="single" w:sz="12" w:space="0" w:color="000000"/>
            </w:tcBorders>
            <w:shd w:val="clear" w:color="auto" w:fill="auto"/>
          </w:tcPr>
          <w:p w14:paraId="0DCE1CE4" w14:textId="77777777" w:rsidR="00864BE6" w:rsidRDefault="00E17744">
            <w:r>
              <w:t>International</w:t>
            </w:r>
          </w:p>
        </w:tc>
        <w:tc>
          <w:tcPr>
            <w:tcW w:w="1065" w:type="dxa"/>
            <w:tcBorders>
              <w:bottom w:val="single" w:sz="12" w:space="0" w:color="000000"/>
            </w:tcBorders>
          </w:tcPr>
          <w:p w14:paraId="373716F8" w14:textId="77777777" w:rsidR="00864BE6" w:rsidRDefault="00E17744">
            <w:pPr>
              <w:rPr>
                <w:sz w:val="20"/>
                <w:szCs w:val="20"/>
              </w:rPr>
            </w:pPr>
            <w:r>
              <w:rPr>
                <w:sz w:val="20"/>
                <w:szCs w:val="20"/>
              </w:rPr>
              <w:t>-107</w:t>
            </w:r>
          </w:p>
        </w:tc>
        <w:tc>
          <w:tcPr>
            <w:tcW w:w="1020" w:type="dxa"/>
            <w:tcBorders>
              <w:bottom w:val="single" w:sz="12" w:space="0" w:color="000000"/>
            </w:tcBorders>
          </w:tcPr>
          <w:p w14:paraId="5778EE27" w14:textId="77777777" w:rsidR="00864BE6" w:rsidRDefault="00E17744">
            <w:pPr>
              <w:rPr>
                <w:sz w:val="20"/>
                <w:szCs w:val="20"/>
              </w:rPr>
            </w:pPr>
            <w:r>
              <w:rPr>
                <w:sz w:val="20"/>
                <w:szCs w:val="20"/>
              </w:rPr>
              <w:t>394</w:t>
            </w:r>
          </w:p>
        </w:tc>
        <w:tc>
          <w:tcPr>
            <w:tcW w:w="1020" w:type="dxa"/>
            <w:tcBorders>
              <w:bottom w:val="single" w:sz="12" w:space="0" w:color="000000"/>
            </w:tcBorders>
          </w:tcPr>
          <w:p w14:paraId="555521A3" w14:textId="77777777" w:rsidR="00864BE6" w:rsidRDefault="00E17744">
            <w:pPr>
              <w:rPr>
                <w:sz w:val="20"/>
                <w:szCs w:val="20"/>
              </w:rPr>
            </w:pPr>
            <w:r>
              <w:rPr>
                <w:sz w:val="20"/>
                <w:szCs w:val="20"/>
              </w:rPr>
              <w:t>-595</w:t>
            </w:r>
          </w:p>
        </w:tc>
        <w:tc>
          <w:tcPr>
            <w:tcW w:w="1050" w:type="dxa"/>
            <w:tcBorders>
              <w:bottom w:val="single" w:sz="12" w:space="0" w:color="000000"/>
            </w:tcBorders>
          </w:tcPr>
          <w:p w14:paraId="3DF85164" w14:textId="77777777" w:rsidR="00864BE6" w:rsidRDefault="00E17744">
            <w:pPr>
              <w:rPr>
                <w:sz w:val="20"/>
                <w:szCs w:val="20"/>
              </w:rPr>
            </w:pPr>
            <w:r>
              <w:rPr>
                <w:sz w:val="20"/>
                <w:szCs w:val="20"/>
              </w:rPr>
              <w:t>-37</w:t>
            </w:r>
          </w:p>
        </w:tc>
        <w:tc>
          <w:tcPr>
            <w:tcW w:w="1005" w:type="dxa"/>
            <w:tcBorders>
              <w:bottom w:val="single" w:sz="12" w:space="0" w:color="000000"/>
            </w:tcBorders>
          </w:tcPr>
          <w:p w14:paraId="7A5747BC" w14:textId="77777777" w:rsidR="00864BE6" w:rsidRDefault="00E17744">
            <w:pPr>
              <w:rPr>
                <w:sz w:val="20"/>
                <w:szCs w:val="20"/>
              </w:rPr>
            </w:pPr>
            <w:r>
              <w:rPr>
                <w:sz w:val="20"/>
                <w:szCs w:val="20"/>
              </w:rPr>
              <w:t>-968</w:t>
            </w:r>
          </w:p>
        </w:tc>
        <w:tc>
          <w:tcPr>
            <w:tcW w:w="1035" w:type="dxa"/>
            <w:tcBorders>
              <w:bottom w:val="single" w:sz="12" w:space="0" w:color="000000"/>
            </w:tcBorders>
          </w:tcPr>
          <w:p w14:paraId="0167F269" w14:textId="77777777" w:rsidR="00864BE6" w:rsidRDefault="00E17744">
            <w:pPr>
              <w:rPr>
                <w:sz w:val="20"/>
                <w:szCs w:val="20"/>
              </w:rPr>
            </w:pPr>
            <w:r>
              <w:rPr>
                <w:sz w:val="20"/>
                <w:szCs w:val="20"/>
              </w:rPr>
              <w:t>-2,500%</w:t>
            </w:r>
          </w:p>
        </w:tc>
      </w:tr>
      <w:tr w:rsidR="00864BE6" w14:paraId="3A41FB51" w14:textId="77777777">
        <w:trPr>
          <w:trHeight w:val="290"/>
        </w:trPr>
        <w:tc>
          <w:tcPr>
            <w:tcW w:w="3600" w:type="dxa"/>
            <w:tcBorders>
              <w:top w:val="single" w:sz="12" w:space="0" w:color="000000"/>
              <w:left w:val="single" w:sz="12" w:space="0" w:color="000000"/>
              <w:bottom w:val="single" w:sz="12" w:space="0" w:color="000000"/>
              <w:right w:val="single" w:sz="12" w:space="0" w:color="000000"/>
            </w:tcBorders>
            <w:shd w:val="clear" w:color="auto" w:fill="auto"/>
          </w:tcPr>
          <w:p w14:paraId="0FFE1FAF" w14:textId="77777777" w:rsidR="00864BE6" w:rsidRDefault="00E17744">
            <w:pPr>
              <w:rPr>
                <w:b/>
              </w:rPr>
            </w:pPr>
            <w:r>
              <w:rPr>
                <w:b/>
              </w:rPr>
              <w:t>Total operating margin</w:t>
            </w:r>
          </w:p>
        </w:tc>
        <w:tc>
          <w:tcPr>
            <w:tcW w:w="1065" w:type="dxa"/>
            <w:tcBorders>
              <w:top w:val="single" w:sz="12" w:space="0" w:color="000000"/>
              <w:left w:val="single" w:sz="12" w:space="0" w:color="000000"/>
              <w:bottom w:val="single" w:sz="12" w:space="0" w:color="000000"/>
              <w:right w:val="single" w:sz="12" w:space="0" w:color="000000"/>
            </w:tcBorders>
          </w:tcPr>
          <w:p w14:paraId="231238B5" w14:textId="77777777" w:rsidR="00864BE6" w:rsidRDefault="00E17744">
            <w:pPr>
              <w:rPr>
                <w:b/>
                <w:sz w:val="20"/>
                <w:szCs w:val="20"/>
              </w:rPr>
            </w:pPr>
            <w:r>
              <w:rPr>
                <w:b/>
                <w:sz w:val="20"/>
                <w:szCs w:val="20"/>
              </w:rPr>
              <w:t>2,889</w:t>
            </w:r>
          </w:p>
        </w:tc>
        <w:tc>
          <w:tcPr>
            <w:tcW w:w="1020" w:type="dxa"/>
            <w:tcBorders>
              <w:top w:val="single" w:sz="12" w:space="0" w:color="000000"/>
              <w:left w:val="single" w:sz="12" w:space="0" w:color="000000"/>
              <w:bottom w:val="single" w:sz="12" w:space="0" w:color="000000"/>
              <w:right w:val="single" w:sz="12" w:space="0" w:color="000000"/>
            </w:tcBorders>
          </w:tcPr>
          <w:p w14:paraId="0D163576" w14:textId="77777777" w:rsidR="00864BE6" w:rsidRDefault="00E17744">
            <w:pPr>
              <w:rPr>
                <w:b/>
                <w:sz w:val="20"/>
                <w:szCs w:val="20"/>
              </w:rPr>
            </w:pPr>
            <w:r>
              <w:rPr>
                <w:b/>
                <w:sz w:val="20"/>
                <w:szCs w:val="20"/>
              </w:rPr>
              <w:t>3,546</w:t>
            </w:r>
          </w:p>
        </w:tc>
        <w:tc>
          <w:tcPr>
            <w:tcW w:w="1020" w:type="dxa"/>
            <w:tcBorders>
              <w:top w:val="single" w:sz="12" w:space="0" w:color="000000"/>
              <w:left w:val="single" w:sz="12" w:space="0" w:color="000000"/>
              <w:bottom w:val="single" w:sz="12" w:space="0" w:color="000000"/>
              <w:right w:val="single" w:sz="12" w:space="0" w:color="000000"/>
            </w:tcBorders>
          </w:tcPr>
          <w:p w14:paraId="280DA674" w14:textId="77777777" w:rsidR="00864BE6" w:rsidRDefault="00E17744">
            <w:pPr>
              <w:rPr>
                <w:b/>
                <w:sz w:val="20"/>
                <w:szCs w:val="20"/>
              </w:rPr>
            </w:pPr>
            <w:r>
              <w:rPr>
                <w:b/>
                <w:sz w:val="20"/>
                <w:szCs w:val="20"/>
              </w:rPr>
              <w:t>2,671</w:t>
            </w:r>
          </w:p>
        </w:tc>
        <w:tc>
          <w:tcPr>
            <w:tcW w:w="1050" w:type="dxa"/>
            <w:tcBorders>
              <w:top w:val="single" w:sz="12" w:space="0" w:color="000000"/>
              <w:left w:val="single" w:sz="12" w:space="0" w:color="000000"/>
              <w:bottom w:val="single" w:sz="12" w:space="0" w:color="000000"/>
              <w:right w:val="single" w:sz="12" w:space="0" w:color="000000"/>
            </w:tcBorders>
          </w:tcPr>
          <w:p w14:paraId="2EB78346" w14:textId="77777777" w:rsidR="00864BE6" w:rsidRDefault="00E17744">
            <w:pPr>
              <w:rPr>
                <w:b/>
                <w:sz w:val="20"/>
                <w:szCs w:val="20"/>
              </w:rPr>
            </w:pPr>
            <w:r>
              <w:rPr>
                <w:b/>
                <w:sz w:val="20"/>
                <w:szCs w:val="20"/>
              </w:rPr>
              <w:t>3,828</w:t>
            </w:r>
          </w:p>
        </w:tc>
        <w:tc>
          <w:tcPr>
            <w:tcW w:w="1005" w:type="dxa"/>
            <w:tcBorders>
              <w:top w:val="single" w:sz="12" w:space="0" w:color="000000"/>
              <w:left w:val="single" w:sz="12" w:space="0" w:color="000000"/>
              <w:bottom w:val="single" w:sz="12" w:space="0" w:color="000000"/>
              <w:right w:val="single" w:sz="12" w:space="0" w:color="000000"/>
            </w:tcBorders>
          </w:tcPr>
          <w:p w14:paraId="5133EF6E" w14:textId="77777777" w:rsidR="00864BE6" w:rsidRDefault="00E17744">
            <w:pPr>
              <w:rPr>
                <w:b/>
                <w:sz w:val="20"/>
                <w:szCs w:val="20"/>
              </w:rPr>
            </w:pPr>
            <w:r>
              <w:rPr>
                <w:b/>
                <w:sz w:val="20"/>
                <w:szCs w:val="20"/>
              </w:rPr>
              <w:t>3,370</w:t>
            </w:r>
          </w:p>
        </w:tc>
        <w:tc>
          <w:tcPr>
            <w:tcW w:w="1035" w:type="dxa"/>
            <w:tcBorders>
              <w:top w:val="single" w:sz="12" w:space="0" w:color="000000"/>
              <w:left w:val="single" w:sz="12" w:space="0" w:color="000000"/>
              <w:bottom w:val="single" w:sz="12" w:space="0" w:color="000000"/>
              <w:right w:val="single" w:sz="12" w:space="0" w:color="000000"/>
            </w:tcBorders>
          </w:tcPr>
          <w:p w14:paraId="50752CBC" w14:textId="77777777" w:rsidR="00864BE6" w:rsidRDefault="00864BE6">
            <w:pPr>
              <w:rPr>
                <w:b/>
                <w:sz w:val="20"/>
                <w:szCs w:val="20"/>
              </w:rPr>
            </w:pPr>
          </w:p>
        </w:tc>
      </w:tr>
      <w:tr w:rsidR="00864BE6" w14:paraId="63516D4D" w14:textId="77777777">
        <w:trPr>
          <w:trHeight w:val="290"/>
        </w:trPr>
        <w:tc>
          <w:tcPr>
            <w:tcW w:w="9795" w:type="dxa"/>
            <w:gridSpan w:val="7"/>
            <w:tcBorders>
              <w:top w:val="single" w:sz="12" w:space="0" w:color="000000"/>
            </w:tcBorders>
            <w:shd w:val="clear" w:color="auto" w:fill="FFC000"/>
          </w:tcPr>
          <w:p w14:paraId="10533629" w14:textId="77777777" w:rsidR="00864BE6" w:rsidRDefault="00E17744">
            <w:pPr>
              <w:jc w:val="center"/>
              <w:rPr>
                <w:sz w:val="20"/>
                <w:szCs w:val="20"/>
              </w:rPr>
            </w:pPr>
            <w:r>
              <w:rPr>
                <w:b/>
              </w:rPr>
              <w:t>Segment Operating Profit Margin</w:t>
            </w:r>
          </w:p>
        </w:tc>
      </w:tr>
      <w:tr w:rsidR="00864BE6" w14:paraId="38CBCEC1" w14:textId="77777777">
        <w:trPr>
          <w:trHeight w:val="290"/>
        </w:trPr>
        <w:tc>
          <w:tcPr>
            <w:tcW w:w="3600" w:type="dxa"/>
            <w:shd w:val="clear" w:color="auto" w:fill="auto"/>
          </w:tcPr>
          <w:p w14:paraId="45DB1BD5" w14:textId="77777777" w:rsidR="00864BE6" w:rsidRDefault="00E17744">
            <w:r>
              <w:t xml:space="preserve">U.S. Pharmaceuticals </w:t>
            </w:r>
          </w:p>
        </w:tc>
        <w:tc>
          <w:tcPr>
            <w:tcW w:w="1065" w:type="dxa"/>
          </w:tcPr>
          <w:p w14:paraId="01C793B3" w14:textId="77777777" w:rsidR="00864BE6" w:rsidRDefault="00E17744">
            <w:pPr>
              <w:rPr>
                <w:sz w:val="20"/>
                <w:szCs w:val="20"/>
              </w:rPr>
            </w:pPr>
            <w:r>
              <w:rPr>
                <w:sz w:val="20"/>
                <w:szCs w:val="20"/>
              </w:rPr>
              <w:t>1.56%</w:t>
            </w:r>
          </w:p>
        </w:tc>
        <w:tc>
          <w:tcPr>
            <w:tcW w:w="1020" w:type="dxa"/>
          </w:tcPr>
          <w:p w14:paraId="6079DAEB" w14:textId="77777777" w:rsidR="00864BE6" w:rsidRDefault="00E17744">
            <w:pPr>
              <w:rPr>
                <w:sz w:val="20"/>
                <w:szCs w:val="20"/>
              </w:rPr>
            </w:pPr>
            <w:r>
              <w:rPr>
                <w:sz w:val="20"/>
                <w:szCs w:val="20"/>
              </w:rPr>
              <w:t>1.61%</w:t>
            </w:r>
          </w:p>
        </w:tc>
        <w:tc>
          <w:tcPr>
            <w:tcW w:w="1020" w:type="dxa"/>
          </w:tcPr>
          <w:p w14:paraId="3DD05F9C" w14:textId="77777777" w:rsidR="00864BE6" w:rsidRDefault="00E17744">
            <w:pPr>
              <w:rPr>
                <w:sz w:val="20"/>
                <w:szCs w:val="20"/>
              </w:rPr>
            </w:pPr>
            <w:r>
              <w:rPr>
                <w:sz w:val="20"/>
                <w:szCs w:val="20"/>
              </w:rPr>
              <w:t>1.51%</w:t>
            </w:r>
          </w:p>
        </w:tc>
        <w:tc>
          <w:tcPr>
            <w:tcW w:w="1050" w:type="dxa"/>
          </w:tcPr>
          <w:p w14:paraId="7DF0C646" w14:textId="77777777" w:rsidR="00864BE6" w:rsidRDefault="00E17744">
            <w:pPr>
              <w:rPr>
                <w:sz w:val="20"/>
                <w:szCs w:val="20"/>
              </w:rPr>
            </w:pPr>
            <w:r>
              <w:rPr>
                <w:sz w:val="20"/>
                <w:szCs w:val="20"/>
              </w:rPr>
              <w:t>1.46%</w:t>
            </w:r>
          </w:p>
        </w:tc>
        <w:tc>
          <w:tcPr>
            <w:tcW w:w="1005" w:type="dxa"/>
          </w:tcPr>
          <w:p w14:paraId="18F36D22" w14:textId="77777777" w:rsidR="00864BE6" w:rsidRDefault="00E17744">
            <w:pPr>
              <w:rPr>
                <w:sz w:val="20"/>
                <w:szCs w:val="20"/>
              </w:rPr>
            </w:pPr>
            <w:r>
              <w:rPr>
                <w:sz w:val="20"/>
                <w:szCs w:val="20"/>
              </w:rPr>
              <w:t>1.36%</w:t>
            </w:r>
          </w:p>
        </w:tc>
        <w:tc>
          <w:tcPr>
            <w:tcW w:w="1035" w:type="dxa"/>
          </w:tcPr>
          <w:p w14:paraId="4DAE7503" w14:textId="77777777" w:rsidR="00864BE6" w:rsidRDefault="00E17744">
            <w:pPr>
              <w:rPr>
                <w:sz w:val="20"/>
                <w:szCs w:val="20"/>
              </w:rPr>
            </w:pPr>
            <w:r>
              <w:rPr>
                <w:sz w:val="20"/>
                <w:szCs w:val="20"/>
              </w:rPr>
              <w:t>&lt;1%</w:t>
            </w:r>
          </w:p>
        </w:tc>
      </w:tr>
      <w:tr w:rsidR="00864BE6" w14:paraId="1854CE40" w14:textId="77777777">
        <w:trPr>
          <w:trHeight w:val="290"/>
        </w:trPr>
        <w:tc>
          <w:tcPr>
            <w:tcW w:w="3600" w:type="dxa"/>
            <w:shd w:val="clear" w:color="auto" w:fill="auto"/>
          </w:tcPr>
          <w:p w14:paraId="7DC793B5" w14:textId="77777777" w:rsidR="00864BE6" w:rsidRDefault="00E17744">
            <w:r>
              <w:t>Prescription Technology Solutions</w:t>
            </w:r>
            <w:r>
              <w:rPr>
                <w:vertAlign w:val="superscript"/>
              </w:rPr>
              <w:t>1</w:t>
            </w:r>
            <w:r>
              <w:t xml:space="preserve"> </w:t>
            </w:r>
          </w:p>
        </w:tc>
        <w:tc>
          <w:tcPr>
            <w:tcW w:w="1065" w:type="dxa"/>
          </w:tcPr>
          <w:p w14:paraId="6C7A7F89" w14:textId="77777777" w:rsidR="00864BE6" w:rsidRDefault="00E17744">
            <w:pPr>
              <w:rPr>
                <w:sz w:val="20"/>
                <w:szCs w:val="20"/>
              </w:rPr>
            </w:pPr>
            <w:r>
              <w:rPr>
                <w:sz w:val="20"/>
                <w:szCs w:val="20"/>
              </w:rPr>
              <w:t>--</w:t>
            </w:r>
          </w:p>
        </w:tc>
        <w:tc>
          <w:tcPr>
            <w:tcW w:w="1020" w:type="dxa"/>
          </w:tcPr>
          <w:p w14:paraId="327BA37B" w14:textId="77777777" w:rsidR="00864BE6" w:rsidRDefault="00E17744">
            <w:pPr>
              <w:rPr>
                <w:sz w:val="20"/>
                <w:szCs w:val="20"/>
              </w:rPr>
            </w:pPr>
            <w:r>
              <w:rPr>
                <w:sz w:val="20"/>
                <w:szCs w:val="20"/>
              </w:rPr>
              <w:t>--</w:t>
            </w:r>
          </w:p>
        </w:tc>
        <w:tc>
          <w:tcPr>
            <w:tcW w:w="1020" w:type="dxa"/>
          </w:tcPr>
          <w:p w14:paraId="4C3B7123" w14:textId="77777777" w:rsidR="00864BE6" w:rsidRDefault="00E17744">
            <w:pPr>
              <w:rPr>
                <w:sz w:val="20"/>
                <w:szCs w:val="20"/>
              </w:rPr>
            </w:pPr>
            <w:r>
              <w:rPr>
                <w:sz w:val="20"/>
                <w:szCs w:val="20"/>
              </w:rPr>
              <w:t>--</w:t>
            </w:r>
          </w:p>
        </w:tc>
        <w:tc>
          <w:tcPr>
            <w:tcW w:w="1050" w:type="dxa"/>
          </w:tcPr>
          <w:p w14:paraId="1F70222F" w14:textId="77777777" w:rsidR="00864BE6" w:rsidRDefault="00E17744">
            <w:pPr>
              <w:rPr>
                <w:sz w:val="20"/>
                <w:szCs w:val="20"/>
              </w:rPr>
            </w:pPr>
            <w:r>
              <w:rPr>
                <w:sz w:val="20"/>
                <w:szCs w:val="20"/>
              </w:rPr>
              <w:t>13.67%</w:t>
            </w:r>
          </w:p>
        </w:tc>
        <w:tc>
          <w:tcPr>
            <w:tcW w:w="1005" w:type="dxa"/>
          </w:tcPr>
          <w:p w14:paraId="2BDC3014" w14:textId="77777777" w:rsidR="00864BE6" w:rsidRDefault="00E17744">
            <w:pPr>
              <w:rPr>
                <w:sz w:val="20"/>
                <w:szCs w:val="20"/>
              </w:rPr>
            </w:pPr>
            <w:r>
              <w:rPr>
                <w:sz w:val="20"/>
                <w:szCs w:val="20"/>
              </w:rPr>
              <w:t>12.94%</w:t>
            </w:r>
          </w:p>
        </w:tc>
        <w:tc>
          <w:tcPr>
            <w:tcW w:w="1035" w:type="dxa"/>
          </w:tcPr>
          <w:p w14:paraId="392D4249" w14:textId="77777777" w:rsidR="00864BE6" w:rsidRDefault="00E17744">
            <w:pPr>
              <w:rPr>
                <w:sz w:val="20"/>
                <w:szCs w:val="20"/>
              </w:rPr>
            </w:pPr>
            <w:r>
              <w:rPr>
                <w:sz w:val="20"/>
                <w:szCs w:val="20"/>
              </w:rPr>
              <w:t>1%</w:t>
            </w:r>
          </w:p>
        </w:tc>
      </w:tr>
      <w:tr w:rsidR="00864BE6" w14:paraId="38EA5F99" w14:textId="77777777">
        <w:trPr>
          <w:trHeight w:val="290"/>
        </w:trPr>
        <w:tc>
          <w:tcPr>
            <w:tcW w:w="3600" w:type="dxa"/>
            <w:shd w:val="clear" w:color="auto" w:fill="auto"/>
          </w:tcPr>
          <w:p w14:paraId="08793E07" w14:textId="77777777" w:rsidR="00864BE6" w:rsidRDefault="00E17744">
            <w:r>
              <w:t xml:space="preserve">Medical-Surgical Solutions </w:t>
            </w:r>
          </w:p>
        </w:tc>
        <w:tc>
          <w:tcPr>
            <w:tcW w:w="1065" w:type="dxa"/>
          </w:tcPr>
          <w:p w14:paraId="2E4D3EAD" w14:textId="77777777" w:rsidR="00864BE6" w:rsidRDefault="00E17744">
            <w:pPr>
              <w:rPr>
                <w:sz w:val="20"/>
                <w:szCs w:val="20"/>
              </w:rPr>
            </w:pPr>
            <w:r>
              <w:rPr>
                <w:sz w:val="20"/>
                <w:szCs w:val="20"/>
              </w:rPr>
              <w:t>6.97%</w:t>
            </w:r>
          </w:p>
        </w:tc>
        <w:tc>
          <w:tcPr>
            <w:tcW w:w="1020" w:type="dxa"/>
          </w:tcPr>
          <w:p w14:paraId="646A4C29" w14:textId="77777777" w:rsidR="00864BE6" w:rsidRDefault="00E17744">
            <w:pPr>
              <w:rPr>
                <w:sz w:val="20"/>
                <w:szCs w:val="20"/>
              </w:rPr>
            </w:pPr>
            <w:r>
              <w:rPr>
                <w:sz w:val="20"/>
                <w:szCs w:val="20"/>
              </w:rPr>
              <w:t>5.97%</w:t>
            </w:r>
          </w:p>
        </w:tc>
        <w:tc>
          <w:tcPr>
            <w:tcW w:w="1020" w:type="dxa"/>
          </w:tcPr>
          <w:p w14:paraId="5CF8AE83" w14:textId="77777777" w:rsidR="00864BE6" w:rsidRDefault="00E17744">
            <w:pPr>
              <w:rPr>
                <w:sz w:val="20"/>
                <w:szCs w:val="20"/>
              </w:rPr>
            </w:pPr>
            <w:r>
              <w:rPr>
                <w:sz w:val="20"/>
                <w:szCs w:val="20"/>
              </w:rPr>
              <w:t>6.01%</w:t>
            </w:r>
          </w:p>
        </w:tc>
        <w:tc>
          <w:tcPr>
            <w:tcW w:w="1050" w:type="dxa"/>
          </w:tcPr>
          <w:p w14:paraId="4B4BCDD4" w14:textId="77777777" w:rsidR="00864BE6" w:rsidRDefault="00E17744">
            <w:pPr>
              <w:rPr>
                <w:sz w:val="20"/>
                <w:szCs w:val="20"/>
              </w:rPr>
            </w:pPr>
            <w:r>
              <w:rPr>
                <w:sz w:val="20"/>
                <w:szCs w:val="20"/>
              </w:rPr>
              <w:t>7.00%</w:t>
            </w:r>
          </w:p>
        </w:tc>
        <w:tc>
          <w:tcPr>
            <w:tcW w:w="1005" w:type="dxa"/>
          </w:tcPr>
          <w:p w14:paraId="3624099F" w14:textId="77777777" w:rsidR="00864BE6" w:rsidRDefault="00E17744">
            <w:pPr>
              <w:rPr>
                <w:sz w:val="20"/>
                <w:szCs w:val="20"/>
              </w:rPr>
            </w:pPr>
            <w:r>
              <w:rPr>
                <w:sz w:val="20"/>
                <w:szCs w:val="20"/>
              </w:rPr>
              <w:t>8.26%</w:t>
            </w:r>
          </w:p>
        </w:tc>
        <w:tc>
          <w:tcPr>
            <w:tcW w:w="1035" w:type="dxa"/>
          </w:tcPr>
          <w:p w14:paraId="1F91D6CE" w14:textId="77777777" w:rsidR="00864BE6" w:rsidRDefault="00E17744">
            <w:pPr>
              <w:rPr>
                <w:sz w:val="20"/>
                <w:szCs w:val="20"/>
              </w:rPr>
            </w:pPr>
            <w:r>
              <w:rPr>
                <w:sz w:val="20"/>
                <w:szCs w:val="20"/>
              </w:rPr>
              <w:t>1%</w:t>
            </w:r>
          </w:p>
        </w:tc>
      </w:tr>
      <w:tr w:rsidR="00864BE6" w14:paraId="7301E57E" w14:textId="77777777">
        <w:trPr>
          <w:trHeight w:val="290"/>
        </w:trPr>
        <w:tc>
          <w:tcPr>
            <w:tcW w:w="3600" w:type="dxa"/>
            <w:shd w:val="clear" w:color="auto" w:fill="auto"/>
          </w:tcPr>
          <w:p w14:paraId="1262445B" w14:textId="77777777" w:rsidR="00864BE6" w:rsidRDefault="00E17744">
            <w:r>
              <w:t>International</w:t>
            </w:r>
          </w:p>
        </w:tc>
        <w:tc>
          <w:tcPr>
            <w:tcW w:w="1065" w:type="dxa"/>
          </w:tcPr>
          <w:p w14:paraId="5EE50D61" w14:textId="77777777" w:rsidR="00864BE6" w:rsidRDefault="00E17744">
            <w:pPr>
              <w:rPr>
                <w:sz w:val="20"/>
                <w:szCs w:val="20"/>
              </w:rPr>
            </w:pPr>
            <w:r>
              <w:rPr>
                <w:sz w:val="20"/>
                <w:szCs w:val="20"/>
              </w:rPr>
              <w:t>--</w:t>
            </w:r>
          </w:p>
        </w:tc>
        <w:tc>
          <w:tcPr>
            <w:tcW w:w="1020" w:type="dxa"/>
          </w:tcPr>
          <w:p w14:paraId="143F3688" w14:textId="77777777" w:rsidR="00864BE6" w:rsidRDefault="00E17744">
            <w:pPr>
              <w:rPr>
                <w:sz w:val="20"/>
                <w:szCs w:val="20"/>
              </w:rPr>
            </w:pPr>
            <w:r>
              <w:rPr>
                <w:sz w:val="20"/>
                <w:szCs w:val="20"/>
              </w:rPr>
              <w:t>--</w:t>
            </w:r>
          </w:p>
        </w:tc>
        <w:tc>
          <w:tcPr>
            <w:tcW w:w="1020" w:type="dxa"/>
          </w:tcPr>
          <w:p w14:paraId="581BAF49" w14:textId="77777777" w:rsidR="00864BE6" w:rsidRDefault="00E17744">
            <w:pPr>
              <w:rPr>
                <w:sz w:val="20"/>
                <w:szCs w:val="20"/>
              </w:rPr>
            </w:pPr>
            <w:r>
              <w:rPr>
                <w:sz w:val="20"/>
                <w:szCs w:val="20"/>
              </w:rPr>
              <w:t>--</w:t>
            </w:r>
          </w:p>
        </w:tc>
        <w:tc>
          <w:tcPr>
            <w:tcW w:w="1050" w:type="dxa"/>
          </w:tcPr>
          <w:p w14:paraId="39205FFB" w14:textId="77777777" w:rsidR="00864BE6" w:rsidRDefault="00E17744">
            <w:pPr>
              <w:rPr>
                <w:sz w:val="20"/>
                <w:szCs w:val="20"/>
              </w:rPr>
            </w:pPr>
            <w:r>
              <w:rPr>
                <w:sz w:val="20"/>
                <w:szCs w:val="20"/>
              </w:rPr>
              <w:t>-10.00%</w:t>
            </w:r>
          </w:p>
        </w:tc>
        <w:tc>
          <w:tcPr>
            <w:tcW w:w="1005" w:type="dxa"/>
          </w:tcPr>
          <w:p w14:paraId="2A0EFF92" w14:textId="77777777" w:rsidR="00864BE6" w:rsidRDefault="00E17744">
            <w:pPr>
              <w:rPr>
                <w:sz w:val="20"/>
                <w:szCs w:val="20"/>
              </w:rPr>
            </w:pPr>
            <w:r>
              <w:rPr>
                <w:sz w:val="20"/>
                <w:szCs w:val="20"/>
              </w:rPr>
              <w:t>-2.66%</w:t>
            </w:r>
          </w:p>
        </w:tc>
        <w:tc>
          <w:tcPr>
            <w:tcW w:w="1035" w:type="dxa"/>
          </w:tcPr>
          <w:p w14:paraId="1C6F4049" w14:textId="77777777" w:rsidR="00864BE6" w:rsidRDefault="00E17744">
            <w:pPr>
              <w:rPr>
                <w:sz w:val="20"/>
                <w:szCs w:val="20"/>
              </w:rPr>
            </w:pPr>
            <w:r>
              <w:rPr>
                <w:sz w:val="20"/>
                <w:szCs w:val="20"/>
              </w:rPr>
              <w:t>-7%</w:t>
            </w:r>
          </w:p>
        </w:tc>
      </w:tr>
    </w:tbl>
    <w:p w14:paraId="2ACDFCB9" w14:textId="77777777" w:rsidR="00864BE6" w:rsidRDefault="00E17744">
      <w:r>
        <w:rPr>
          <w:vertAlign w:val="superscript"/>
        </w:rPr>
        <w:t xml:space="preserve">1 </w:t>
      </w:r>
      <w:r>
        <w:rPr>
          <w:sz w:val="20"/>
          <w:szCs w:val="20"/>
        </w:rPr>
        <w:t>Started in 2021</w:t>
      </w:r>
    </w:p>
    <w:p w14:paraId="3B65190D" w14:textId="77777777" w:rsidR="00864BE6" w:rsidRDefault="00864BE6"/>
    <w:p w14:paraId="307EEB61" w14:textId="77777777" w:rsidR="00864BE6" w:rsidRDefault="00E17744">
      <w:pPr>
        <w:rPr>
          <w:sz w:val="24"/>
          <w:szCs w:val="24"/>
        </w:rPr>
      </w:pPr>
      <w:r>
        <w:br w:type="page"/>
      </w:r>
    </w:p>
    <w:p w14:paraId="1018B20C" w14:textId="77777777" w:rsidR="00864BE6" w:rsidRDefault="00E17744">
      <w:pPr>
        <w:spacing w:line="480" w:lineRule="auto"/>
        <w:rPr>
          <w:sz w:val="24"/>
          <w:szCs w:val="24"/>
        </w:rPr>
      </w:pPr>
      <w:r>
        <w:rPr>
          <w:sz w:val="24"/>
          <w:szCs w:val="24"/>
        </w:rPr>
        <w:lastRenderedPageBreak/>
        <w:t xml:space="preserve">McKesson conducts its business in four primary segments: U.S. Pharmaceuticals, Prescription Technology Solutions, Medical Surgical Solutions, and International. The company records sales revenue for each of these segments and computes other financial information metrics, like operating margin, to ascertain the performance of each unit. </w:t>
      </w:r>
    </w:p>
    <w:p w14:paraId="1E73269E" w14:textId="77777777" w:rsidR="00864BE6" w:rsidRDefault="00E17744">
      <w:pPr>
        <w:spacing w:line="480" w:lineRule="auto"/>
        <w:rPr>
          <w:sz w:val="24"/>
          <w:szCs w:val="24"/>
        </w:rPr>
      </w:pPr>
      <w:r>
        <w:rPr>
          <w:sz w:val="24"/>
          <w:szCs w:val="24"/>
        </w:rPr>
        <w:t xml:space="preserve">The financial statements for the last five years  indicate that the Pharmaceuticals segment generates the highest proportion of total revenue for the company. Occasionally, the company orders products from the manufacturer, carries them at its distribution facilities, and delivers them to the buyer's warehouse. The company records revenue to this segment when it transfers the control of goods to its customers. The pharmaceutical retail business's revenue represents approximately 98% of the total revenue. In contrast, the service revenues from other segments like Prescription Technology Solutions only contribute to 2% of the revenue for the last three years. </w:t>
      </w:r>
    </w:p>
    <w:p w14:paraId="429D2DFA" w14:textId="77777777" w:rsidR="00864BE6" w:rsidRDefault="00E17744">
      <w:pPr>
        <w:spacing w:before="240" w:line="480" w:lineRule="auto"/>
        <w:rPr>
          <w:b/>
          <w:color w:val="1F4E79"/>
          <w:sz w:val="24"/>
          <w:szCs w:val="24"/>
        </w:rPr>
      </w:pPr>
      <w:r>
        <w:rPr>
          <w:b/>
          <w:color w:val="1F4E79"/>
          <w:sz w:val="24"/>
          <w:szCs w:val="24"/>
        </w:rPr>
        <w:t>U.S. Pharmaceutical Segment Sales</w:t>
      </w:r>
    </w:p>
    <w:p w14:paraId="22F99A9A" w14:textId="77777777" w:rsidR="00864BE6" w:rsidRDefault="00E17744">
      <w:pPr>
        <w:spacing w:before="240" w:after="300" w:line="480" w:lineRule="auto"/>
        <w:rPr>
          <w:sz w:val="24"/>
          <w:szCs w:val="24"/>
        </w:rPr>
      </w:pPr>
      <w:r>
        <w:rPr>
          <w:sz w:val="24"/>
          <w:szCs w:val="24"/>
        </w:rPr>
        <w:t xml:space="preserve">The Pharmaceuticals segment revenue has increased in the last five years. The sales increased by 12% in 2022 compared to 2021 sales. The impressive growth in revenue in this segment is primarily due to the growth in market share. These last three years have witnessed a significant growth in specialty pharmaceuticals. The price of branded pharmaceuticals rose during this period, making most consumers shift to specialty pharmaceuticals. The segment sales were recovering from the prior effect of COVID-19 pandemic, where many buyers were starting to purchase prescription volumes from retail pharmacies and healthcare providers. </w:t>
      </w:r>
    </w:p>
    <w:p w14:paraId="5CACC40F" w14:textId="77777777" w:rsidR="00864BE6" w:rsidRDefault="00E17744">
      <w:pPr>
        <w:rPr>
          <w:b/>
          <w:color w:val="1F4E79"/>
          <w:sz w:val="24"/>
          <w:szCs w:val="24"/>
        </w:rPr>
      </w:pPr>
      <w:r>
        <w:br w:type="page"/>
      </w:r>
    </w:p>
    <w:p w14:paraId="6AEA638A" w14:textId="77777777" w:rsidR="00864BE6" w:rsidRDefault="00E17744">
      <w:pPr>
        <w:spacing w:before="240" w:line="480" w:lineRule="auto"/>
        <w:rPr>
          <w:b/>
          <w:color w:val="1F4E79"/>
          <w:sz w:val="24"/>
          <w:szCs w:val="24"/>
        </w:rPr>
      </w:pPr>
      <w:r>
        <w:rPr>
          <w:b/>
          <w:color w:val="1F4E79"/>
          <w:sz w:val="24"/>
          <w:szCs w:val="24"/>
        </w:rPr>
        <w:lastRenderedPageBreak/>
        <w:t>Prescription Technology Solutions Segment</w:t>
      </w:r>
    </w:p>
    <w:p w14:paraId="3CF99B25" w14:textId="77777777" w:rsidR="00864BE6" w:rsidRDefault="00E17744">
      <w:pPr>
        <w:spacing w:before="240" w:after="300" w:line="480" w:lineRule="auto"/>
        <w:rPr>
          <w:b/>
          <w:sz w:val="24"/>
          <w:szCs w:val="24"/>
        </w:rPr>
      </w:pPr>
      <w:r>
        <w:rPr>
          <w:sz w:val="24"/>
          <w:szCs w:val="24"/>
        </w:rPr>
        <w:t xml:space="preserve">This segment's sales constantly increased over the last two years (started in 2021). The company generated $2,890 million in 2021. 2022 witnessed a further increase of 34%, reaching $ 3,864 million. This increase portrays the rate at which new and existing customers embrace prescription technology solutions to aid their medical needs. </w:t>
      </w:r>
    </w:p>
    <w:p w14:paraId="4EC1B794" w14:textId="77777777" w:rsidR="00864BE6" w:rsidRDefault="00E17744">
      <w:pPr>
        <w:spacing w:before="240" w:after="300" w:line="480" w:lineRule="auto"/>
        <w:rPr>
          <w:b/>
          <w:color w:val="1F4E79"/>
          <w:sz w:val="24"/>
          <w:szCs w:val="24"/>
        </w:rPr>
      </w:pPr>
      <w:r>
        <w:rPr>
          <w:b/>
          <w:color w:val="1F4E79"/>
          <w:sz w:val="24"/>
          <w:szCs w:val="24"/>
        </w:rPr>
        <w:t>Medical-Surgical Solutions Sales Segment</w:t>
      </w:r>
    </w:p>
    <w:p w14:paraId="78AC7A22" w14:textId="77777777" w:rsidR="00864BE6" w:rsidRDefault="00E17744">
      <w:pPr>
        <w:spacing w:line="480" w:lineRule="auto"/>
        <w:rPr>
          <w:sz w:val="24"/>
          <w:szCs w:val="24"/>
        </w:rPr>
      </w:pPr>
      <w:r>
        <w:rPr>
          <w:sz w:val="24"/>
          <w:szCs w:val="24"/>
        </w:rPr>
        <w:t xml:space="preserve">Medical-Surgical Solutions revenues for 2022, increased by 15% compared to the previous year. 2020 sales were $8,305 million, and increased to $10,099 million in 2021 and $11,608 million in 2022. The high sales growth in this segment was majorly due to the improved patient care visits that boosted the primary care business. The distribution of ancillary supplies for the covid-19 vaccines further boosted this segment's revenue. </w:t>
      </w:r>
    </w:p>
    <w:p w14:paraId="0BD67499" w14:textId="77777777" w:rsidR="00864BE6" w:rsidRDefault="00E17744">
      <w:pPr>
        <w:spacing w:before="240" w:after="300" w:line="480" w:lineRule="auto"/>
        <w:rPr>
          <w:b/>
          <w:color w:val="1F4E79"/>
          <w:sz w:val="24"/>
          <w:szCs w:val="24"/>
        </w:rPr>
      </w:pPr>
      <w:r>
        <w:rPr>
          <w:b/>
          <w:color w:val="1F4E79"/>
          <w:sz w:val="24"/>
          <w:szCs w:val="24"/>
        </w:rPr>
        <w:t>International Segment Sales</w:t>
      </w:r>
    </w:p>
    <w:p w14:paraId="3D43CA01" w14:textId="5257D3C8" w:rsidR="00864BE6" w:rsidRDefault="00E17744">
      <w:pPr>
        <w:spacing w:line="480" w:lineRule="auto"/>
        <w:rPr>
          <w:sz w:val="24"/>
          <w:szCs w:val="24"/>
        </w:rPr>
      </w:pPr>
      <w:r>
        <w:rPr>
          <w:sz w:val="24"/>
          <w:szCs w:val="24"/>
        </w:rPr>
        <w:t>The sales growth in the International segment has been low for the last five years. For instance, 2018 sales amounted to $11</w:t>
      </w:r>
      <w:r w:rsidR="00FF097E">
        <w:rPr>
          <w:sz w:val="24"/>
          <w:szCs w:val="24"/>
        </w:rPr>
        <w:t>,</w:t>
      </w:r>
      <w:r>
        <w:rPr>
          <w:sz w:val="24"/>
          <w:szCs w:val="24"/>
        </w:rPr>
        <w:t>839</w:t>
      </w:r>
      <w:r w:rsidR="00FF097E">
        <w:rPr>
          <w:sz w:val="24"/>
          <w:szCs w:val="24"/>
        </w:rPr>
        <w:t xml:space="preserve"> million</w:t>
      </w:r>
      <w:r>
        <w:rPr>
          <w:sz w:val="24"/>
          <w:szCs w:val="24"/>
        </w:rPr>
        <w:t xml:space="preserve"> and slightly improved to $11</w:t>
      </w:r>
      <w:r w:rsidR="00FF097E">
        <w:rPr>
          <w:sz w:val="24"/>
          <w:szCs w:val="24"/>
        </w:rPr>
        <w:t>,</w:t>
      </w:r>
      <w:r>
        <w:rPr>
          <w:sz w:val="24"/>
          <w:szCs w:val="24"/>
        </w:rPr>
        <w:t>696</w:t>
      </w:r>
      <w:r w:rsidR="00FF097E">
        <w:rPr>
          <w:sz w:val="24"/>
          <w:szCs w:val="24"/>
        </w:rPr>
        <w:t xml:space="preserve"> </w:t>
      </w:r>
      <w:r>
        <w:rPr>
          <w:sz w:val="24"/>
          <w:szCs w:val="24"/>
        </w:rPr>
        <w:t>m</w:t>
      </w:r>
      <w:r w:rsidR="00FF097E">
        <w:rPr>
          <w:sz w:val="24"/>
          <w:szCs w:val="24"/>
        </w:rPr>
        <w:t>illion</w:t>
      </w:r>
      <w:r>
        <w:rPr>
          <w:sz w:val="24"/>
          <w:szCs w:val="24"/>
        </w:rPr>
        <w:t xml:space="preserve"> in 2019. Two thousand twenty-one sales grew only by 1% from $35,965 to $36,345 million in 2022. The decrease in sales growth was primarily due to the entry of a German pharmaceuticals business that joined a venture with the WBS, posing a significant threat to existing firms. </w:t>
      </w:r>
    </w:p>
    <w:p w14:paraId="6CA95995" w14:textId="77777777" w:rsidR="00864BE6" w:rsidRDefault="00E17744">
      <w:pPr>
        <w:rPr>
          <w:b/>
          <w:sz w:val="24"/>
          <w:szCs w:val="24"/>
        </w:rPr>
      </w:pPr>
      <w:r>
        <w:br w:type="page"/>
      </w:r>
    </w:p>
    <w:p w14:paraId="37DEA570" w14:textId="77777777" w:rsidR="00864BE6" w:rsidRDefault="00E17744">
      <w:pPr>
        <w:spacing w:line="480" w:lineRule="auto"/>
        <w:rPr>
          <w:b/>
          <w:color w:val="1F4E79"/>
          <w:sz w:val="24"/>
          <w:szCs w:val="24"/>
        </w:rPr>
      </w:pPr>
      <w:r>
        <w:rPr>
          <w:b/>
          <w:color w:val="1F4E79"/>
          <w:sz w:val="24"/>
          <w:szCs w:val="24"/>
        </w:rPr>
        <w:lastRenderedPageBreak/>
        <w:t>Percentage of Total Sales Per Segment</w:t>
      </w:r>
    </w:p>
    <w:p w14:paraId="737D7A59" w14:textId="77777777" w:rsidR="00864BE6" w:rsidRDefault="00E17744">
      <w:pPr>
        <w:spacing w:line="480" w:lineRule="auto"/>
        <w:rPr>
          <w:sz w:val="24"/>
          <w:szCs w:val="24"/>
        </w:rPr>
      </w:pPr>
      <w:r>
        <w:rPr>
          <w:sz w:val="24"/>
          <w:szCs w:val="24"/>
        </w:rPr>
        <w:t>Table 2 displays the total sales per segment.</w:t>
      </w:r>
    </w:p>
    <w:tbl>
      <w:tblPr>
        <w:tblStyle w:val="a9"/>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1260"/>
        <w:gridCol w:w="1080"/>
        <w:gridCol w:w="1350"/>
        <w:gridCol w:w="1260"/>
        <w:gridCol w:w="1260"/>
      </w:tblGrid>
      <w:tr w:rsidR="00864BE6" w14:paraId="027D8022" w14:textId="77777777">
        <w:trPr>
          <w:trHeight w:val="290"/>
        </w:trPr>
        <w:tc>
          <w:tcPr>
            <w:tcW w:w="3865" w:type="dxa"/>
            <w:shd w:val="clear" w:color="auto" w:fill="1F4E79"/>
          </w:tcPr>
          <w:p w14:paraId="2FCB9F2B" w14:textId="77777777" w:rsidR="00864BE6" w:rsidRDefault="00E17744">
            <w:pPr>
              <w:rPr>
                <w:b/>
                <w:color w:val="FFFFFF"/>
              </w:rPr>
            </w:pPr>
            <w:r>
              <w:rPr>
                <w:b/>
                <w:color w:val="FFFFFF"/>
              </w:rPr>
              <w:t>Segment</w:t>
            </w:r>
          </w:p>
        </w:tc>
        <w:tc>
          <w:tcPr>
            <w:tcW w:w="1260" w:type="dxa"/>
            <w:shd w:val="clear" w:color="auto" w:fill="1F4E79"/>
          </w:tcPr>
          <w:p w14:paraId="31A611C2" w14:textId="77777777" w:rsidR="00864BE6" w:rsidRDefault="00E17744">
            <w:pPr>
              <w:rPr>
                <w:b/>
                <w:color w:val="FFFFFF"/>
              </w:rPr>
            </w:pPr>
            <w:r>
              <w:rPr>
                <w:b/>
                <w:color w:val="FFFFFF"/>
              </w:rPr>
              <w:t>2018</w:t>
            </w:r>
          </w:p>
        </w:tc>
        <w:tc>
          <w:tcPr>
            <w:tcW w:w="1080" w:type="dxa"/>
            <w:shd w:val="clear" w:color="auto" w:fill="1F4E79"/>
          </w:tcPr>
          <w:p w14:paraId="4B0410D9" w14:textId="77777777" w:rsidR="00864BE6" w:rsidRDefault="00E17744">
            <w:pPr>
              <w:rPr>
                <w:b/>
                <w:color w:val="FFFFFF"/>
              </w:rPr>
            </w:pPr>
            <w:r>
              <w:rPr>
                <w:b/>
                <w:color w:val="FFFFFF"/>
              </w:rPr>
              <w:t>2019</w:t>
            </w:r>
          </w:p>
        </w:tc>
        <w:tc>
          <w:tcPr>
            <w:tcW w:w="1350" w:type="dxa"/>
            <w:shd w:val="clear" w:color="auto" w:fill="1F4E79"/>
          </w:tcPr>
          <w:p w14:paraId="760738B5" w14:textId="77777777" w:rsidR="00864BE6" w:rsidRDefault="00E17744">
            <w:pPr>
              <w:rPr>
                <w:b/>
                <w:color w:val="FFFFFF"/>
              </w:rPr>
            </w:pPr>
            <w:r>
              <w:rPr>
                <w:b/>
                <w:color w:val="FFFFFF"/>
              </w:rPr>
              <w:t>2020</w:t>
            </w:r>
          </w:p>
        </w:tc>
        <w:tc>
          <w:tcPr>
            <w:tcW w:w="1260" w:type="dxa"/>
            <w:shd w:val="clear" w:color="auto" w:fill="1F4E79"/>
          </w:tcPr>
          <w:p w14:paraId="0E177CD4" w14:textId="77777777" w:rsidR="00864BE6" w:rsidRDefault="00E17744">
            <w:pPr>
              <w:rPr>
                <w:b/>
                <w:color w:val="FFFFFF"/>
              </w:rPr>
            </w:pPr>
            <w:r>
              <w:rPr>
                <w:b/>
                <w:color w:val="FFFFFF"/>
              </w:rPr>
              <w:t>2021</w:t>
            </w:r>
          </w:p>
        </w:tc>
        <w:tc>
          <w:tcPr>
            <w:tcW w:w="1260" w:type="dxa"/>
            <w:shd w:val="clear" w:color="auto" w:fill="1F4E79"/>
          </w:tcPr>
          <w:p w14:paraId="361C9B45" w14:textId="77777777" w:rsidR="00864BE6" w:rsidRDefault="00E17744">
            <w:pPr>
              <w:rPr>
                <w:b/>
                <w:color w:val="FFFFFF"/>
              </w:rPr>
            </w:pPr>
            <w:r>
              <w:rPr>
                <w:b/>
                <w:color w:val="FFFFFF"/>
              </w:rPr>
              <w:t>2022</w:t>
            </w:r>
          </w:p>
        </w:tc>
      </w:tr>
      <w:tr w:rsidR="00864BE6" w14:paraId="38C5907D" w14:textId="77777777">
        <w:trPr>
          <w:trHeight w:val="290"/>
        </w:trPr>
        <w:tc>
          <w:tcPr>
            <w:tcW w:w="3865" w:type="dxa"/>
            <w:shd w:val="clear" w:color="auto" w:fill="FFD965"/>
          </w:tcPr>
          <w:p w14:paraId="23A95891" w14:textId="77777777" w:rsidR="00864BE6" w:rsidRDefault="00E17744">
            <w:r>
              <w:t>U.S. Pharmaceuticals ($ millions)</w:t>
            </w:r>
          </w:p>
        </w:tc>
        <w:tc>
          <w:tcPr>
            <w:tcW w:w="1260" w:type="dxa"/>
          </w:tcPr>
          <w:p w14:paraId="32B77FB5" w14:textId="77777777" w:rsidR="00864BE6" w:rsidRDefault="00E17744">
            <w:pPr>
              <w:rPr>
                <w:sz w:val="20"/>
                <w:szCs w:val="20"/>
              </w:rPr>
            </w:pPr>
            <w:r>
              <w:rPr>
                <w:sz w:val="20"/>
                <w:szCs w:val="20"/>
              </w:rPr>
              <w:t>162,587</w:t>
            </w:r>
          </w:p>
        </w:tc>
        <w:tc>
          <w:tcPr>
            <w:tcW w:w="1080" w:type="dxa"/>
          </w:tcPr>
          <w:p w14:paraId="44AB02BE" w14:textId="77777777" w:rsidR="00864BE6" w:rsidRDefault="00E17744">
            <w:pPr>
              <w:rPr>
                <w:sz w:val="20"/>
                <w:szCs w:val="20"/>
              </w:rPr>
            </w:pPr>
            <w:r>
              <w:rPr>
                <w:sz w:val="20"/>
                <w:szCs w:val="20"/>
              </w:rPr>
              <w:t>167,763</w:t>
            </w:r>
          </w:p>
        </w:tc>
        <w:tc>
          <w:tcPr>
            <w:tcW w:w="1350" w:type="dxa"/>
          </w:tcPr>
          <w:p w14:paraId="6F951181" w14:textId="77777777" w:rsidR="00864BE6" w:rsidRDefault="00E17744">
            <w:pPr>
              <w:rPr>
                <w:sz w:val="20"/>
                <w:szCs w:val="20"/>
              </w:rPr>
            </w:pPr>
            <w:r>
              <w:rPr>
                <w:sz w:val="20"/>
                <w:szCs w:val="20"/>
              </w:rPr>
              <w:t>183,341</w:t>
            </w:r>
          </w:p>
        </w:tc>
        <w:tc>
          <w:tcPr>
            <w:tcW w:w="1260" w:type="dxa"/>
          </w:tcPr>
          <w:p w14:paraId="44CD83F0" w14:textId="77777777" w:rsidR="00864BE6" w:rsidRDefault="00E17744">
            <w:pPr>
              <w:rPr>
                <w:sz w:val="20"/>
                <w:szCs w:val="20"/>
              </w:rPr>
            </w:pPr>
            <w:r>
              <w:rPr>
                <w:sz w:val="20"/>
                <w:szCs w:val="20"/>
              </w:rPr>
              <w:t>189,274</w:t>
            </w:r>
          </w:p>
        </w:tc>
        <w:tc>
          <w:tcPr>
            <w:tcW w:w="1260" w:type="dxa"/>
          </w:tcPr>
          <w:p w14:paraId="1B4B749E" w14:textId="77777777" w:rsidR="00864BE6" w:rsidRDefault="00E17744">
            <w:pPr>
              <w:rPr>
                <w:sz w:val="20"/>
                <w:szCs w:val="20"/>
              </w:rPr>
            </w:pPr>
            <w:r>
              <w:rPr>
                <w:sz w:val="20"/>
                <w:szCs w:val="20"/>
              </w:rPr>
              <w:t>212,149</w:t>
            </w:r>
          </w:p>
        </w:tc>
      </w:tr>
      <w:tr w:rsidR="00864BE6" w14:paraId="38A2F267" w14:textId="77777777">
        <w:trPr>
          <w:trHeight w:val="290"/>
        </w:trPr>
        <w:tc>
          <w:tcPr>
            <w:tcW w:w="3865" w:type="dxa"/>
            <w:shd w:val="clear" w:color="auto" w:fill="FFD965"/>
          </w:tcPr>
          <w:p w14:paraId="0E44E301" w14:textId="77777777" w:rsidR="00864BE6" w:rsidRDefault="00E17744">
            <w:r>
              <w:t xml:space="preserve">U.S. Pharmaceuticals % </w:t>
            </w:r>
          </w:p>
        </w:tc>
        <w:tc>
          <w:tcPr>
            <w:tcW w:w="1260" w:type="dxa"/>
          </w:tcPr>
          <w:p w14:paraId="03C55DCE" w14:textId="77777777" w:rsidR="00864BE6" w:rsidRDefault="00E17744">
            <w:pPr>
              <w:rPr>
                <w:sz w:val="20"/>
                <w:szCs w:val="20"/>
              </w:rPr>
            </w:pPr>
            <w:r>
              <w:rPr>
                <w:sz w:val="20"/>
                <w:szCs w:val="20"/>
              </w:rPr>
              <w:t>78.03%</w:t>
            </w:r>
          </w:p>
        </w:tc>
        <w:tc>
          <w:tcPr>
            <w:tcW w:w="1080" w:type="dxa"/>
          </w:tcPr>
          <w:p w14:paraId="45AC6367" w14:textId="77777777" w:rsidR="00864BE6" w:rsidRDefault="00E17744">
            <w:pPr>
              <w:rPr>
                <w:sz w:val="20"/>
                <w:szCs w:val="20"/>
              </w:rPr>
            </w:pPr>
            <w:r>
              <w:rPr>
                <w:sz w:val="20"/>
                <w:szCs w:val="20"/>
              </w:rPr>
              <w:t>78.28%</w:t>
            </w:r>
          </w:p>
        </w:tc>
        <w:tc>
          <w:tcPr>
            <w:tcW w:w="1350" w:type="dxa"/>
          </w:tcPr>
          <w:p w14:paraId="016E4FC5" w14:textId="77777777" w:rsidR="00864BE6" w:rsidRDefault="00E17744">
            <w:pPr>
              <w:rPr>
                <w:sz w:val="20"/>
                <w:szCs w:val="20"/>
              </w:rPr>
            </w:pPr>
            <w:r>
              <w:rPr>
                <w:sz w:val="20"/>
                <w:szCs w:val="20"/>
              </w:rPr>
              <w:t>79.35%</w:t>
            </w:r>
          </w:p>
        </w:tc>
        <w:tc>
          <w:tcPr>
            <w:tcW w:w="1260" w:type="dxa"/>
          </w:tcPr>
          <w:p w14:paraId="7FF6FAE0" w14:textId="77777777" w:rsidR="00864BE6" w:rsidRDefault="00E17744">
            <w:pPr>
              <w:rPr>
                <w:sz w:val="20"/>
                <w:szCs w:val="20"/>
              </w:rPr>
            </w:pPr>
            <w:r>
              <w:rPr>
                <w:sz w:val="20"/>
                <w:szCs w:val="20"/>
              </w:rPr>
              <w:t>79.45%</w:t>
            </w:r>
          </w:p>
        </w:tc>
        <w:tc>
          <w:tcPr>
            <w:tcW w:w="1260" w:type="dxa"/>
          </w:tcPr>
          <w:p w14:paraId="41035A10" w14:textId="77777777" w:rsidR="00864BE6" w:rsidRDefault="00E17744">
            <w:pPr>
              <w:rPr>
                <w:sz w:val="20"/>
                <w:szCs w:val="20"/>
              </w:rPr>
            </w:pPr>
            <w:r>
              <w:rPr>
                <w:sz w:val="20"/>
                <w:szCs w:val="20"/>
              </w:rPr>
              <w:t>80.37%</w:t>
            </w:r>
          </w:p>
        </w:tc>
      </w:tr>
      <w:tr w:rsidR="00864BE6" w14:paraId="455E2F0A" w14:textId="77777777">
        <w:trPr>
          <w:trHeight w:val="290"/>
        </w:trPr>
        <w:tc>
          <w:tcPr>
            <w:tcW w:w="3865" w:type="dxa"/>
            <w:shd w:val="clear" w:color="auto" w:fill="FFD965"/>
          </w:tcPr>
          <w:p w14:paraId="5E3A240C" w14:textId="77777777" w:rsidR="00864BE6" w:rsidRDefault="00E17744">
            <w:r>
              <w:t xml:space="preserve">European Pharmaceutical Solutions </w:t>
            </w:r>
          </w:p>
          <w:p w14:paraId="7785B6E6" w14:textId="77777777" w:rsidR="00864BE6" w:rsidRDefault="00E17744">
            <w:r>
              <w:t>($ millions)</w:t>
            </w:r>
            <w:r>
              <w:rPr>
                <w:vertAlign w:val="superscript"/>
              </w:rPr>
              <w:t xml:space="preserve"> 1</w:t>
            </w:r>
          </w:p>
        </w:tc>
        <w:tc>
          <w:tcPr>
            <w:tcW w:w="1260" w:type="dxa"/>
          </w:tcPr>
          <w:p w14:paraId="5FC68DE3" w14:textId="77777777" w:rsidR="00864BE6" w:rsidRDefault="00E17744">
            <w:pPr>
              <w:rPr>
                <w:sz w:val="20"/>
                <w:szCs w:val="20"/>
              </w:rPr>
            </w:pPr>
            <w:r>
              <w:rPr>
                <w:sz w:val="20"/>
                <w:szCs w:val="20"/>
              </w:rPr>
              <w:t>27,320</w:t>
            </w:r>
          </w:p>
        </w:tc>
        <w:tc>
          <w:tcPr>
            <w:tcW w:w="1080" w:type="dxa"/>
          </w:tcPr>
          <w:p w14:paraId="5F3E32E0" w14:textId="77777777" w:rsidR="00864BE6" w:rsidRDefault="00E17744">
            <w:pPr>
              <w:rPr>
                <w:sz w:val="20"/>
                <w:szCs w:val="20"/>
              </w:rPr>
            </w:pPr>
            <w:r>
              <w:rPr>
                <w:sz w:val="20"/>
                <w:szCs w:val="20"/>
              </w:rPr>
              <w:t>27,242</w:t>
            </w:r>
          </w:p>
        </w:tc>
        <w:tc>
          <w:tcPr>
            <w:tcW w:w="1350" w:type="dxa"/>
          </w:tcPr>
          <w:p w14:paraId="7032AD6A" w14:textId="77777777" w:rsidR="00864BE6" w:rsidRDefault="00E17744">
            <w:pPr>
              <w:rPr>
                <w:sz w:val="20"/>
                <w:szCs w:val="20"/>
              </w:rPr>
            </w:pPr>
            <w:r>
              <w:rPr>
                <w:sz w:val="20"/>
                <w:szCs w:val="20"/>
              </w:rPr>
              <w:t>27,390</w:t>
            </w:r>
          </w:p>
        </w:tc>
        <w:tc>
          <w:tcPr>
            <w:tcW w:w="1260" w:type="dxa"/>
          </w:tcPr>
          <w:p w14:paraId="6333A6E1" w14:textId="77777777" w:rsidR="00864BE6" w:rsidRDefault="00E17744">
            <w:pPr>
              <w:rPr>
                <w:sz w:val="20"/>
                <w:szCs w:val="20"/>
              </w:rPr>
            </w:pPr>
            <w:r>
              <w:rPr>
                <w:sz w:val="20"/>
                <w:szCs w:val="20"/>
              </w:rPr>
              <w:t>--</w:t>
            </w:r>
          </w:p>
        </w:tc>
        <w:tc>
          <w:tcPr>
            <w:tcW w:w="1260" w:type="dxa"/>
          </w:tcPr>
          <w:p w14:paraId="4F95EAD1" w14:textId="77777777" w:rsidR="00864BE6" w:rsidRDefault="00E17744">
            <w:pPr>
              <w:rPr>
                <w:sz w:val="20"/>
                <w:szCs w:val="20"/>
              </w:rPr>
            </w:pPr>
            <w:r>
              <w:rPr>
                <w:sz w:val="20"/>
                <w:szCs w:val="20"/>
              </w:rPr>
              <w:t>--</w:t>
            </w:r>
          </w:p>
        </w:tc>
      </w:tr>
      <w:tr w:rsidR="00864BE6" w14:paraId="5CD3E653" w14:textId="77777777">
        <w:trPr>
          <w:trHeight w:val="290"/>
        </w:trPr>
        <w:tc>
          <w:tcPr>
            <w:tcW w:w="3865" w:type="dxa"/>
            <w:tcBorders>
              <w:bottom w:val="single" w:sz="4" w:space="0" w:color="000000"/>
            </w:tcBorders>
            <w:shd w:val="clear" w:color="auto" w:fill="FFD965"/>
          </w:tcPr>
          <w:p w14:paraId="493F67AD" w14:textId="77777777" w:rsidR="00864BE6" w:rsidRDefault="00E17744">
            <w:r>
              <w:t>European Pharmaceutical Solutions %</w:t>
            </w:r>
          </w:p>
        </w:tc>
        <w:tc>
          <w:tcPr>
            <w:tcW w:w="1260" w:type="dxa"/>
            <w:tcBorders>
              <w:bottom w:val="single" w:sz="4" w:space="0" w:color="000000"/>
            </w:tcBorders>
          </w:tcPr>
          <w:p w14:paraId="207937E8" w14:textId="77777777" w:rsidR="00864BE6" w:rsidRDefault="00E17744">
            <w:pPr>
              <w:rPr>
                <w:sz w:val="20"/>
                <w:szCs w:val="20"/>
              </w:rPr>
            </w:pPr>
            <w:r>
              <w:rPr>
                <w:sz w:val="20"/>
                <w:szCs w:val="20"/>
              </w:rPr>
              <w:t>13.11%</w:t>
            </w:r>
          </w:p>
        </w:tc>
        <w:tc>
          <w:tcPr>
            <w:tcW w:w="1080" w:type="dxa"/>
            <w:tcBorders>
              <w:bottom w:val="single" w:sz="4" w:space="0" w:color="000000"/>
            </w:tcBorders>
          </w:tcPr>
          <w:p w14:paraId="656293E0" w14:textId="77777777" w:rsidR="00864BE6" w:rsidRDefault="00E17744">
            <w:pPr>
              <w:rPr>
                <w:sz w:val="20"/>
                <w:szCs w:val="20"/>
              </w:rPr>
            </w:pPr>
            <w:r>
              <w:rPr>
                <w:sz w:val="20"/>
                <w:szCs w:val="20"/>
              </w:rPr>
              <w:t>12.71%</w:t>
            </w:r>
          </w:p>
        </w:tc>
        <w:tc>
          <w:tcPr>
            <w:tcW w:w="1350" w:type="dxa"/>
            <w:tcBorders>
              <w:bottom w:val="single" w:sz="4" w:space="0" w:color="000000"/>
            </w:tcBorders>
          </w:tcPr>
          <w:p w14:paraId="11CFD4FD" w14:textId="77777777" w:rsidR="00864BE6" w:rsidRDefault="00E17744">
            <w:pPr>
              <w:rPr>
                <w:sz w:val="20"/>
                <w:szCs w:val="20"/>
              </w:rPr>
            </w:pPr>
            <w:r>
              <w:rPr>
                <w:sz w:val="20"/>
                <w:szCs w:val="20"/>
              </w:rPr>
              <w:t>11.85%</w:t>
            </w:r>
          </w:p>
        </w:tc>
        <w:tc>
          <w:tcPr>
            <w:tcW w:w="1260" w:type="dxa"/>
            <w:tcBorders>
              <w:bottom w:val="single" w:sz="4" w:space="0" w:color="000000"/>
            </w:tcBorders>
          </w:tcPr>
          <w:p w14:paraId="6D2AB4DD" w14:textId="77777777" w:rsidR="00864BE6" w:rsidRDefault="00E17744">
            <w:pPr>
              <w:rPr>
                <w:sz w:val="20"/>
                <w:szCs w:val="20"/>
              </w:rPr>
            </w:pPr>
            <w:r>
              <w:rPr>
                <w:sz w:val="20"/>
                <w:szCs w:val="20"/>
              </w:rPr>
              <w:t>--</w:t>
            </w:r>
          </w:p>
        </w:tc>
        <w:tc>
          <w:tcPr>
            <w:tcW w:w="1260" w:type="dxa"/>
            <w:tcBorders>
              <w:bottom w:val="single" w:sz="4" w:space="0" w:color="000000"/>
            </w:tcBorders>
          </w:tcPr>
          <w:p w14:paraId="1A698304" w14:textId="77777777" w:rsidR="00864BE6" w:rsidRDefault="00E17744">
            <w:pPr>
              <w:rPr>
                <w:sz w:val="20"/>
                <w:szCs w:val="20"/>
              </w:rPr>
            </w:pPr>
            <w:r>
              <w:rPr>
                <w:sz w:val="20"/>
                <w:szCs w:val="20"/>
              </w:rPr>
              <w:t>--</w:t>
            </w:r>
          </w:p>
        </w:tc>
      </w:tr>
      <w:tr w:rsidR="00864BE6" w14:paraId="32F8A6A3" w14:textId="77777777">
        <w:trPr>
          <w:trHeight w:val="290"/>
        </w:trPr>
        <w:tc>
          <w:tcPr>
            <w:tcW w:w="3865" w:type="dxa"/>
            <w:shd w:val="clear" w:color="auto" w:fill="FFD965"/>
          </w:tcPr>
          <w:p w14:paraId="4837EEFF" w14:textId="77777777" w:rsidR="00864BE6" w:rsidRDefault="00E17744">
            <w:r>
              <w:t>Prescription Technology Solutions</w:t>
            </w:r>
            <w:r>
              <w:rPr>
                <w:vertAlign w:val="superscript"/>
              </w:rPr>
              <w:t>2</w:t>
            </w:r>
            <w:r>
              <w:t xml:space="preserve"> </w:t>
            </w:r>
          </w:p>
          <w:p w14:paraId="24D8753F" w14:textId="77777777" w:rsidR="00864BE6" w:rsidRDefault="00E17744">
            <w:r>
              <w:t>($ millions)</w:t>
            </w:r>
          </w:p>
        </w:tc>
        <w:tc>
          <w:tcPr>
            <w:tcW w:w="1260" w:type="dxa"/>
          </w:tcPr>
          <w:p w14:paraId="1F16A5BD" w14:textId="77777777" w:rsidR="00864BE6" w:rsidRDefault="00E17744">
            <w:pPr>
              <w:rPr>
                <w:sz w:val="20"/>
                <w:szCs w:val="20"/>
              </w:rPr>
            </w:pPr>
            <w:r>
              <w:rPr>
                <w:sz w:val="20"/>
                <w:szCs w:val="20"/>
              </w:rPr>
              <w:t>--</w:t>
            </w:r>
          </w:p>
        </w:tc>
        <w:tc>
          <w:tcPr>
            <w:tcW w:w="1080" w:type="dxa"/>
          </w:tcPr>
          <w:p w14:paraId="42E111CF" w14:textId="77777777" w:rsidR="00864BE6" w:rsidRDefault="00E17744">
            <w:pPr>
              <w:rPr>
                <w:sz w:val="20"/>
                <w:szCs w:val="20"/>
              </w:rPr>
            </w:pPr>
            <w:r>
              <w:rPr>
                <w:sz w:val="20"/>
                <w:szCs w:val="20"/>
              </w:rPr>
              <w:t>--</w:t>
            </w:r>
          </w:p>
        </w:tc>
        <w:tc>
          <w:tcPr>
            <w:tcW w:w="1350" w:type="dxa"/>
          </w:tcPr>
          <w:p w14:paraId="4F751D59" w14:textId="77777777" w:rsidR="00864BE6" w:rsidRDefault="00E17744">
            <w:pPr>
              <w:rPr>
                <w:sz w:val="20"/>
                <w:szCs w:val="20"/>
              </w:rPr>
            </w:pPr>
            <w:r>
              <w:rPr>
                <w:sz w:val="20"/>
                <w:szCs w:val="20"/>
              </w:rPr>
              <w:t>--</w:t>
            </w:r>
          </w:p>
        </w:tc>
        <w:tc>
          <w:tcPr>
            <w:tcW w:w="1260" w:type="dxa"/>
          </w:tcPr>
          <w:p w14:paraId="5AF3AF6E" w14:textId="77777777" w:rsidR="00864BE6" w:rsidRDefault="00E17744">
            <w:pPr>
              <w:rPr>
                <w:sz w:val="20"/>
                <w:szCs w:val="20"/>
              </w:rPr>
            </w:pPr>
            <w:r>
              <w:rPr>
                <w:sz w:val="20"/>
                <w:szCs w:val="20"/>
              </w:rPr>
              <w:t>2,890</w:t>
            </w:r>
          </w:p>
        </w:tc>
        <w:tc>
          <w:tcPr>
            <w:tcW w:w="1260" w:type="dxa"/>
          </w:tcPr>
          <w:p w14:paraId="519DEF78" w14:textId="77777777" w:rsidR="00864BE6" w:rsidRDefault="00E17744">
            <w:pPr>
              <w:rPr>
                <w:sz w:val="20"/>
                <w:szCs w:val="20"/>
              </w:rPr>
            </w:pPr>
            <w:r>
              <w:rPr>
                <w:sz w:val="20"/>
                <w:szCs w:val="20"/>
              </w:rPr>
              <w:t>3,864</w:t>
            </w:r>
          </w:p>
        </w:tc>
      </w:tr>
      <w:tr w:rsidR="00864BE6" w14:paraId="3958095C" w14:textId="77777777">
        <w:trPr>
          <w:trHeight w:val="290"/>
        </w:trPr>
        <w:tc>
          <w:tcPr>
            <w:tcW w:w="3865" w:type="dxa"/>
            <w:shd w:val="clear" w:color="auto" w:fill="FFD965"/>
          </w:tcPr>
          <w:p w14:paraId="081D7F1B" w14:textId="77777777" w:rsidR="00864BE6" w:rsidRDefault="00E17744">
            <w:r>
              <w:t>Prescription Technology Solutions</w:t>
            </w:r>
            <w:r>
              <w:rPr>
                <w:vertAlign w:val="superscript"/>
              </w:rPr>
              <w:t xml:space="preserve"> </w:t>
            </w:r>
            <w:r>
              <w:t>%</w:t>
            </w:r>
          </w:p>
        </w:tc>
        <w:tc>
          <w:tcPr>
            <w:tcW w:w="1260" w:type="dxa"/>
          </w:tcPr>
          <w:p w14:paraId="6EA1D1A6" w14:textId="77777777" w:rsidR="00864BE6" w:rsidRDefault="00E17744">
            <w:pPr>
              <w:rPr>
                <w:sz w:val="20"/>
                <w:szCs w:val="20"/>
              </w:rPr>
            </w:pPr>
            <w:r>
              <w:rPr>
                <w:sz w:val="20"/>
                <w:szCs w:val="20"/>
              </w:rPr>
              <w:t>--</w:t>
            </w:r>
          </w:p>
        </w:tc>
        <w:tc>
          <w:tcPr>
            <w:tcW w:w="1080" w:type="dxa"/>
          </w:tcPr>
          <w:p w14:paraId="50F4B8E7" w14:textId="77777777" w:rsidR="00864BE6" w:rsidRDefault="00E17744">
            <w:pPr>
              <w:rPr>
                <w:sz w:val="20"/>
                <w:szCs w:val="20"/>
              </w:rPr>
            </w:pPr>
            <w:r>
              <w:rPr>
                <w:sz w:val="20"/>
                <w:szCs w:val="20"/>
              </w:rPr>
              <w:t>--</w:t>
            </w:r>
          </w:p>
        </w:tc>
        <w:tc>
          <w:tcPr>
            <w:tcW w:w="1350" w:type="dxa"/>
          </w:tcPr>
          <w:p w14:paraId="57664976" w14:textId="77777777" w:rsidR="00864BE6" w:rsidRDefault="00E17744">
            <w:pPr>
              <w:rPr>
                <w:sz w:val="20"/>
                <w:szCs w:val="20"/>
              </w:rPr>
            </w:pPr>
            <w:r>
              <w:rPr>
                <w:sz w:val="20"/>
                <w:szCs w:val="20"/>
              </w:rPr>
              <w:t>--</w:t>
            </w:r>
          </w:p>
        </w:tc>
        <w:tc>
          <w:tcPr>
            <w:tcW w:w="1260" w:type="dxa"/>
          </w:tcPr>
          <w:p w14:paraId="0A1D2204" w14:textId="77777777" w:rsidR="00864BE6" w:rsidRDefault="00E17744">
            <w:pPr>
              <w:rPr>
                <w:sz w:val="20"/>
                <w:szCs w:val="20"/>
              </w:rPr>
            </w:pPr>
            <w:r>
              <w:rPr>
                <w:sz w:val="20"/>
                <w:szCs w:val="20"/>
              </w:rPr>
              <w:t>1.21%</w:t>
            </w:r>
          </w:p>
        </w:tc>
        <w:tc>
          <w:tcPr>
            <w:tcW w:w="1260" w:type="dxa"/>
          </w:tcPr>
          <w:p w14:paraId="1AAEA762" w14:textId="77777777" w:rsidR="00864BE6" w:rsidRDefault="00E17744">
            <w:pPr>
              <w:rPr>
                <w:sz w:val="20"/>
                <w:szCs w:val="20"/>
              </w:rPr>
            </w:pPr>
            <w:r>
              <w:rPr>
                <w:sz w:val="20"/>
                <w:szCs w:val="20"/>
              </w:rPr>
              <w:t>1.46%</w:t>
            </w:r>
          </w:p>
        </w:tc>
      </w:tr>
      <w:tr w:rsidR="00864BE6" w14:paraId="5780FCB9" w14:textId="77777777">
        <w:trPr>
          <w:trHeight w:val="290"/>
        </w:trPr>
        <w:tc>
          <w:tcPr>
            <w:tcW w:w="3865" w:type="dxa"/>
            <w:shd w:val="clear" w:color="auto" w:fill="FFD965"/>
          </w:tcPr>
          <w:p w14:paraId="016BCF17" w14:textId="77777777" w:rsidR="00864BE6" w:rsidRDefault="00E17744">
            <w:r>
              <w:t>Medical-Surgical Solutions</w:t>
            </w:r>
          </w:p>
          <w:p w14:paraId="1FF44F78" w14:textId="77777777" w:rsidR="00864BE6" w:rsidRDefault="00E17744">
            <w:r>
              <w:t>($ millions)</w:t>
            </w:r>
          </w:p>
        </w:tc>
        <w:tc>
          <w:tcPr>
            <w:tcW w:w="1260" w:type="dxa"/>
          </w:tcPr>
          <w:p w14:paraId="7A996537" w14:textId="77777777" w:rsidR="00864BE6" w:rsidRDefault="00E17744">
            <w:pPr>
              <w:rPr>
                <w:sz w:val="20"/>
                <w:szCs w:val="20"/>
              </w:rPr>
            </w:pPr>
            <w:r>
              <w:rPr>
                <w:sz w:val="20"/>
                <w:szCs w:val="20"/>
              </w:rPr>
              <w:t>6,611</w:t>
            </w:r>
          </w:p>
        </w:tc>
        <w:tc>
          <w:tcPr>
            <w:tcW w:w="1080" w:type="dxa"/>
          </w:tcPr>
          <w:p w14:paraId="69CCE447" w14:textId="77777777" w:rsidR="00864BE6" w:rsidRDefault="00E17744">
            <w:pPr>
              <w:rPr>
                <w:sz w:val="20"/>
                <w:szCs w:val="20"/>
              </w:rPr>
            </w:pPr>
            <w:r>
              <w:rPr>
                <w:sz w:val="20"/>
                <w:szCs w:val="20"/>
              </w:rPr>
              <w:t>7,618</w:t>
            </w:r>
          </w:p>
        </w:tc>
        <w:tc>
          <w:tcPr>
            <w:tcW w:w="1350" w:type="dxa"/>
          </w:tcPr>
          <w:p w14:paraId="745E7299" w14:textId="77777777" w:rsidR="00864BE6" w:rsidRDefault="00E17744">
            <w:pPr>
              <w:rPr>
                <w:sz w:val="20"/>
                <w:szCs w:val="20"/>
              </w:rPr>
            </w:pPr>
            <w:r>
              <w:rPr>
                <w:sz w:val="20"/>
                <w:szCs w:val="20"/>
              </w:rPr>
              <w:t>8,305</w:t>
            </w:r>
          </w:p>
        </w:tc>
        <w:tc>
          <w:tcPr>
            <w:tcW w:w="1260" w:type="dxa"/>
          </w:tcPr>
          <w:p w14:paraId="665F4C9E" w14:textId="77777777" w:rsidR="00864BE6" w:rsidRDefault="00E17744">
            <w:pPr>
              <w:rPr>
                <w:sz w:val="20"/>
                <w:szCs w:val="20"/>
              </w:rPr>
            </w:pPr>
            <w:r>
              <w:rPr>
                <w:sz w:val="20"/>
                <w:szCs w:val="20"/>
              </w:rPr>
              <w:t>10,099</w:t>
            </w:r>
          </w:p>
        </w:tc>
        <w:tc>
          <w:tcPr>
            <w:tcW w:w="1260" w:type="dxa"/>
          </w:tcPr>
          <w:p w14:paraId="710B3F1C" w14:textId="77777777" w:rsidR="00864BE6" w:rsidRDefault="00E17744">
            <w:pPr>
              <w:rPr>
                <w:sz w:val="20"/>
                <w:szCs w:val="20"/>
              </w:rPr>
            </w:pPr>
            <w:r>
              <w:rPr>
                <w:sz w:val="20"/>
                <w:szCs w:val="20"/>
              </w:rPr>
              <w:t>11,608</w:t>
            </w:r>
          </w:p>
        </w:tc>
      </w:tr>
      <w:tr w:rsidR="00864BE6" w14:paraId="6F702317" w14:textId="77777777">
        <w:trPr>
          <w:trHeight w:val="290"/>
        </w:trPr>
        <w:tc>
          <w:tcPr>
            <w:tcW w:w="3865" w:type="dxa"/>
            <w:shd w:val="clear" w:color="auto" w:fill="FFD965"/>
          </w:tcPr>
          <w:p w14:paraId="0A6C2040" w14:textId="77777777" w:rsidR="00864BE6" w:rsidRDefault="00E17744">
            <w:r>
              <w:t>Medical Surgical Solutions %</w:t>
            </w:r>
          </w:p>
        </w:tc>
        <w:tc>
          <w:tcPr>
            <w:tcW w:w="1260" w:type="dxa"/>
          </w:tcPr>
          <w:p w14:paraId="711DDEF6" w14:textId="77777777" w:rsidR="00864BE6" w:rsidRDefault="00E17744">
            <w:pPr>
              <w:rPr>
                <w:sz w:val="20"/>
                <w:szCs w:val="20"/>
              </w:rPr>
            </w:pPr>
            <w:r>
              <w:rPr>
                <w:sz w:val="20"/>
                <w:szCs w:val="20"/>
              </w:rPr>
              <w:t>3.17%</w:t>
            </w:r>
          </w:p>
        </w:tc>
        <w:tc>
          <w:tcPr>
            <w:tcW w:w="1080" w:type="dxa"/>
          </w:tcPr>
          <w:p w14:paraId="21FF678C" w14:textId="77777777" w:rsidR="00864BE6" w:rsidRDefault="00E17744">
            <w:pPr>
              <w:rPr>
                <w:sz w:val="20"/>
                <w:szCs w:val="20"/>
              </w:rPr>
            </w:pPr>
            <w:r>
              <w:rPr>
                <w:sz w:val="20"/>
                <w:szCs w:val="20"/>
              </w:rPr>
              <w:t>3.55%</w:t>
            </w:r>
          </w:p>
        </w:tc>
        <w:tc>
          <w:tcPr>
            <w:tcW w:w="1350" w:type="dxa"/>
          </w:tcPr>
          <w:p w14:paraId="5E343A27" w14:textId="77777777" w:rsidR="00864BE6" w:rsidRDefault="00E17744">
            <w:pPr>
              <w:rPr>
                <w:sz w:val="20"/>
                <w:szCs w:val="20"/>
              </w:rPr>
            </w:pPr>
            <w:r>
              <w:rPr>
                <w:sz w:val="20"/>
                <w:szCs w:val="20"/>
              </w:rPr>
              <w:t>3.59%</w:t>
            </w:r>
          </w:p>
        </w:tc>
        <w:tc>
          <w:tcPr>
            <w:tcW w:w="1260" w:type="dxa"/>
          </w:tcPr>
          <w:p w14:paraId="14A7D146" w14:textId="77777777" w:rsidR="00864BE6" w:rsidRDefault="00E17744">
            <w:pPr>
              <w:rPr>
                <w:sz w:val="20"/>
                <w:szCs w:val="20"/>
              </w:rPr>
            </w:pPr>
            <w:r>
              <w:rPr>
                <w:sz w:val="20"/>
                <w:szCs w:val="20"/>
              </w:rPr>
              <w:t>4.24%</w:t>
            </w:r>
          </w:p>
        </w:tc>
        <w:tc>
          <w:tcPr>
            <w:tcW w:w="1260" w:type="dxa"/>
          </w:tcPr>
          <w:p w14:paraId="05141B83" w14:textId="77777777" w:rsidR="00864BE6" w:rsidRDefault="00E17744">
            <w:pPr>
              <w:rPr>
                <w:sz w:val="20"/>
                <w:szCs w:val="20"/>
              </w:rPr>
            </w:pPr>
            <w:r>
              <w:rPr>
                <w:sz w:val="20"/>
                <w:szCs w:val="20"/>
              </w:rPr>
              <w:t>4.40%</w:t>
            </w:r>
          </w:p>
        </w:tc>
      </w:tr>
      <w:tr w:rsidR="00864BE6" w14:paraId="41A82678" w14:textId="77777777">
        <w:trPr>
          <w:trHeight w:val="290"/>
        </w:trPr>
        <w:tc>
          <w:tcPr>
            <w:tcW w:w="3865" w:type="dxa"/>
            <w:shd w:val="clear" w:color="auto" w:fill="FFD965"/>
          </w:tcPr>
          <w:p w14:paraId="3BFF1388" w14:textId="77777777" w:rsidR="00864BE6" w:rsidRDefault="00E17744">
            <w:r>
              <w:t>International ($ millions)</w:t>
            </w:r>
          </w:p>
        </w:tc>
        <w:tc>
          <w:tcPr>
            <w:tcW w:w="1260" w:type="dxa"/>
          </w:tcPr>
          <w:p w14:paraId="439D0AB8" w14:textId="77777777" w:rsidR="00864BE6" w:rsidRDefault="00E17744">
            <w:pPr>
              <w:rPr>
                <w:sz w:val="20"/>
                <w:szCs w:val="20"/>
              </w:rPr>
            </w:pPr>
            <w:r>
              <w:rPr>
                <w:sz w:val="20"/>
                <w:szCs w:val="20"/>
              </w:rPr>
              <w:t>11,839</w:t>
            </w:r>
          </w:p>
        </w:tc>
        <w:tc>
          <w:tcPr>
            <w:tcW w:w="1080" w:type="dxa"/>
          </w:tcPr>
          <w:p w14:paraId="7AB1052A" w14:textId="77777777" w:rsidR="00864BE6" w:rsidRDefault="00E17744">
            <w:pPr>
              <w:rPr>
                <w:sz w:val="20"/>
                <w:szCs w:val="20"/>
              </w:rPr>
            </w:pPr>
            <w:r>
              <w:rPr>
                <w:sz w:val="20"/>
                <w:szCs w:val="20"/>
              </w:rPr>
              <w:t>11,696</w:t>
            </w:r>
          </w:p>
        </w:tc>
        <w:tc>
          <w:tcPr>
            <w:tcW w:w="1350" w:type="dxa"/>
          </w:tcPr>
          <w:p w14:paraId="742011AB" w14:textId="77777777" w:rsidR="00864BE6" w:rsidRDefault="00E17744">
            <w:pPr>
              <w:rPr>
                <w:sz w:val="20"/>
                <w:szCs w:val="20"/>
              </w:rPr>
            </w:pPr>
            <w:r>
              <w:rPr>
                <w:sz w:val="20"/>
                <w:szCs w:val="20"/>
              </w:rPr>
              <w:t>12,015</w:t>
            </w:r>
          </w:p>
        </w:tc>
        <w:tc>
          <w:tcPr>
            <w:tcW w:w="1260" w:type="dxa"/>
          </w:tcPr>
          <w:p w14:paraId="0D52BF3E" w14:textId="77777777" w:rsidR="00864BE6" w:rsidRDefault="00E17744">
            <w:pPr>
              <w:rPr>
                <w:sz w:val="20"/>
                <w:szCs w:val="20"/>
              </w:rPr>
            </w:pPr>
            <w:r>
              <w:rPr>
                <w:sz w:val="20"/>
                <w:szCs w:val="20"/>
              </w:rPr>
              <w:t>35,965</w:t>
            </w:r>
          </w:p>
        </w:tc>
        <w:tc>
          <w:tcPr>
            <w:tcW w:w="1260" w:type="dxa"/>
          </w:tcPr>
          <w:p w14:paraId="3A7F5337" w14:textId="77777777" w:rsidR="00864BE6" w:rsidRDefault="00E17744">
            <w:pPr>
              <w:rPr>
                <w:sz w:val="20"/>
                <w:szCs w:val="20"/>
              </w:rPr>
            </w:pPr>
            <w:r>
              <w:rPr>
                <w:sz w:val="20"/>
                <w:szCs w:val="20"/>
              </w:rPr>
              <w:t>36,345</w:t>
            </w:r>
          </w:p>
        </w:tc>
      </w:tr>
      <w:tr w:rsidR="00864BE6" w14:paraId="44C94E47" w14:textId="77777777">
        <w:trPr>
          <w:trHeight w:val="290"/>
        </w:trPr>
        <w:tc>
          <w:tcPr>
            <w:tcW w:w="3865" w:type="dxa"/>
            <w:shd w:val="clear" w:color="auto" w:fill="FFD965"/>
          </w:tcPr>
          <w:p w14:paraId="6AD899FD" w14:textId="77777777" w:rsidR="00864BE6" w:rsidRDefault="00E17744">
            <w:r>
              <w:t>International %</w:t>
            </w:r>
          </w:p>
        </w:tc>
        <w:tc>
          <w:tcPr>
            <w:tcW w:w="1260" w:type="dxa"/>
          </w:tcPr>
          <w:p w14:paraId="12987B4B" w14:textId="77777777" w:rsidR="00864BE6" w:rsidRDefault="00E17744">
            <w:pPr>
              <w:rPr>
                <w:sz w:val="20"/>
                <w:szCs w:val="20"/>
              </w:rPr>
            </w:pPr>
            <w:r>
              <w:rPr>
                <w:sz w:val="20"/>
                <w:szCs w:val="20"/>
              </w:rPr>
              <w:t>5.68%</w:t>
            </w:r>
          </w:p>
        </w:tc>
        <w:tc>
          <w:tcPr>
            <w:tcW w:w="1080" w:type="dxa"/>
          </w:tcPr>
          <w:p w14:paraId="7EBEB3CD" w14:textId="77777777" w:rsidR="00864BE6" w:rsidRDefault="00E17744">
            <w:pPr>
              <w:rPr>
                <w:sz w:val="20"/>
                <w:szCs w:val="20"/>
              </w:rPr>
            </w:pPr>
            <w:r>
              <w:rPr>
                <w:sz w:val="20"/>
                <w:szCs w:val="20"/>
              </w:rPr>
              <w:t>5.46%</w:t>
            </w:r>
          </w:p>
        </w:tc>
        <w:tc>
          <w:tcPr>
            <w:tcW w:w="1350" w:type="dxa"/>
          </w:tcPr>
          <w:p w14:paraId="7504AB37" w14:textId="77777777" w:rsidR="00864BE6" w:rsidRDefault="00E17744">
            <w:pPr>
              <w:rPr>
                <w:sz w:val="20"/>
                <w:szCs w:val="20"/>
              </w:rPr>
            </w:pPr>
            <w:r>
              <w:rPr>
                <w:sz w:val="20"/>
                <w:szCs w:val="20"/>
              </w:rPr>
              <w:t>5.20%</w:t>
            </w:r>
          </w:p>
        </w:tc>
        <w:tc>
          <w:tcPr>
            <w:tcW w:w="1260" w:type="dxa"/>
          </w:tcPr>
          <w:p w14:paraId="4F2964FA" w14:textId="77777777" w:rsidR="00864BE6" w:rsidRDefault="00E17744">
            <w:pPr>
              <w:rPr>
                <w:sz w:val="20"/>
                <w:szCs w:val="20"/>
              </w:rPr>
            </w:pPr>
            <w:r>
              <w:rPr>
                <w:sz w:val="20"/>
                <w:szCs w:val="20"/>
              </w:rPr>
              <w:t>1.51%</w:t>
            </w:r>
          </w:p>
        </w:tc>
        <w:tc>
          <w:tcPr>
            <w:tcW w:w="1260" w:type="dxa"/>
          </w:tcPr>
          <w:p w14:paraId="02139860" w14:textId="77777777" w:rsidR="00864BE6" w:rsidRDefault="00E17744">
            <w:pPr>
              <w:rPr>
                <w:sz w:val="20"/>
                <w:szCs w:val="20"/>
              </w:rPr>
            </w:pPr>
            <w:r>
              <w:rPr>
                <w:sz w:val="20"/>
                <w:szCs w:val="20"/>
              </w:rPr>
              <w:t>1.38%</w:t>
            </w:r>
          </w:p>
        </w:tc>
      </w:tr>
      <w:tr w:rsidR="00864BE6" w14:paraId="42D4C783" w14:textId="77777777">
        <w:trPr>
          <w:trHeight w:val="290"/>
        </w:trPr>
        <w:tc>
          <w:tcPr>
            <w:tcW w:w="3865" w:type="dxa"/>
            <w:shd w:val="clear" w:color="auto" w:fill="FFD965"/>
          </w:tcPr>
          <w:p w14:paraId="79CCC47F" w14:textId="77777777" w:rsidR="00864BE6" w:rsidRDefault="00E17744">
            <w:pPr>
              <w:rPr>
                <w:b/>
              </w:rPr>
            </w:pPr>
            <w:r>
              <w:rPr>
                <w:b/>
              </w:rPr>
              <w:t>Total Revenue</w:t>
            </w:r>
          </w:p>
        </w:tc>
        <w:tc>
          <w:tcPr>
            <w:tcW w:w="1260" w:type="dxa"/>
          </w:tcPr>
          <w:p w14:paraId="3F9B30A7" w14:textId="77777777" w:rsidR="00864BE6" w:rsidRDefault="00E17744">
            <w:pPr>
              <w:rPr>
                <w:sz w:val="20"/>
                <w:szCs w:val="20"/>
              </w:rPr>
            </w:pPr>
            <w:r>
              <w:rPr>
                <w:sz w:val="20"/>
                <w:szCs w:val="20"/>
              </w:rPr>
              <w:t>208,357</w:t>
            </w:r>
          </w:p>
        </w:tc>
        <w:tc>
          <w:tcPr>
            <w:tcW w:w="1080" w:type="dxa"/>
          </w:tcPr>
          <w:p w14:paraId="3FA63B87" w14:textId="77777777" w:rsidR="00864BE6" w:rsidRDefault="00E17744">
            <w:pPr>
              <w:rPr>
                <w:sz w:val="20"/>
                <w:szCs w:val="20"/>
              </w:rPr>
            </w:pPr>
            <w:r>
              <w:rPr>
                <w:sz w:val="20"/>
                <w:szCs w:val="20"/>
              </w:rPr>
              <w:t>214,319</w:t>
            </w:r>
          </w:p>
        </w:tc>
        <w:tc>
          <w:tcPr>
            <w:tcW w:w="1350" w:type="dxa"/>
          </w:tcPr>
          <w:p w14:paraId="6746811C" w14:textId="77777777" w:rsidR="00864BE6" w:rsidRDefault="00E17744">
            <w:pPr>
              <w:rPr>
                <w:sz w:val="20"/>
                <w:szCs w:val="20"/>
              </w:rPr>
            </w:pPr>
            <w:r>
              <w:rPr>
                <w:sz w:val="20"/>
                <w:szCs w:val="20"/>
              </w:rPr>
              <w:t>231,051</w:t>
            </w:r>
          </w:p>
        </w:tc>
        <w:tc>
          <w:tcPr>
            <w:tcW w:w="1260" w:type="dxa"/>
          </w:tcPr>
          <w:p w14:paraId="16D3EB90" w14:textId="77777777" w:rsidR="00864BE6" w:rsidRDefault="00E17744">
            <w:pPr>
              <w:rPr>
                <w:sz w:val="20"/>
                <w:szCs w:val="20"/>
              </w:rPr>
            </w:pPr>
            <w:r>
              <w:rPr>
                <w:sz w:val="20"/>
                <w:szCs w:val="20"/>
              </w:rPr>
              <w:t>238,228</w:t>
            </w:r>
          </w:p>
        </w:tc>
        <w:tc>
          <w:tcPr>
            <w:tcW w:w="1260" w:type="dxa"/>
          </w:tcPr>
          <w:p w14:paraId="5B00A55D" w14:textId="77777777" w:rsidR="00864BE6" w:rsidRDefault="00E17744">
            <w:pPr>
              <w:rPr>
                <w:sz w:val="20"/>
                <w:szCs w:val="20"/>
              </w:rPr>
            </w:pPr>
            <w:r>
              <w:rPr>
                <w:sz w:val="20"/>
                <w:szCs w:val="20"/>
              </w:rPr>
              <w:t>263,966</w:t>
            </w:r>
          </w:p>
        </w:tc>
      </w:tr>
    </w:tbl>
    <w:p w14:paraId="77F6C78D" w14:textId="77777777" w:rsidR="00864BE6" w:rsidRDefault="00E17744">
      <w:pPr>
        <w:rPr>
          <w:sz w:val="20"/>
          <w:szCs w:val="20"/>
        </w:rPr>
      </w:pPr>
      <w:r>
        <w:rPr>
          <w:vertAlign w:val="superscript"/>
        </w:rPr>
        <w:t xml:space="preserve">1 </w:t>
      </w:r>
      <w:r>
        <w:rPr>
          <w:sz w:val="20"/>
          <w:szCs w:val="20"/>
        </w:rPr>
        <w:t>Folded into International in 2020</w:t>
      </w:r>
    </w:p>
    <w:p w14:paraId="515259B1" w14:textId="77777777" w:rsidR="00864BE6" w:rsidRDefault="00E17744">
      <w:r>
        <w:rPr>
          <w:vertAlign w:val="superscript"/>
        </w:rPr>
        <w:t xml:space="preserve">2 </w:t>
      </w:r>
      <w:r>
        <w:rPr>
          <w:sz w:val="20"/>
          <w:szCs w:val="20"/>
        </w:rPr>
        <w:t>Started in 2021</w:t>
      </w:r>
    </w:p>
    <w:p w14:paraId="5F47C3AD" w14:textId="77777777" w:rsidR="00864BE6" w:rsidRDefault="00E17744">
      <w:pPr>
        <w:spacing w:before="240" w:after="300" w:line="480" w:lineRule="auto"/>
        <w:rPr>
          <w:b/>
          <w:color w:val="1F4E79"/>
          <w:sz w:val="24"/>
          <w:szCs w:val="24"/>
        </w:rPr>
      </w:pPr>
      <w:r>
        <w:rPr>
          <w:b/>
          <w:color w:val="1F4E79"/>
          <w:sz w:val="24"/>
          <w:szCs w:val="24"/>
        </w:rPr>
        <w:t>U.S. Pharmaceutical Segment Operating Income</w:t>
      </w:r>
    </w:p>
    <w:p w14:paraId="5F2A9EA9" w14:textId="77777777" w:rsidR="00864BE6" w:rsidRDefault="00E17744">
      <w:pPr>
        <w:spacing w:line="480" w:lineRule="auto"/>
        <w:rPr>
          <w:sz w:val="24"/>
          <w:szCs w:val="24"/>
        </w:rPr>
      </w:pPr>
      <w:r>
        <w:rPr>
          <w:sz w:val="24"/>
          <w:szCs w:val="24"/>
        </w:rPr>
        <w:t xml:space="preserve">Operating income for the pharmaceuticals segment has increased in the last five years. For instance, the operating profit increased by 4% in 2022, reaching $2,879 million, compared to the 2021 income of $2,763 million. The growth in operating income is primarily due to the increase in specialty pharmaceuticals and increased vaccine distribution during the COVID-19 pandemic. However, the operating income in this segment for 2022 was affected by the decrease in the net cash received of $135 million in an anti-trust legal settlement. Also, the segment's operating expenses increased this year, negatively impacting the net operating income. </w:t>
      </w:r>
    </w:p>
    <w:p w14:paraId="011598EF" w14:textId="77777777" w:rsidR="00864BE6" w:rsidRDefault="00E17744">
      <w:pPr>
        <w:rPr>
          <w:b/>
          <w:color w:val="1F4E79"/>
          <w:sz w:val="24"/>
          <w:szCs w:val="24"/>
        </w:rPr>
      </w:pPr>
      <w:r>
        <w:br w:type="page"/>
      </w:r>
    </w:p>
    <w:p w14:paraId="3498ACA4" w14:textId="77777777" w:rsidR="00864BE6" w:rsidRDefault="00E17744">
      <w:pPr>
        <w:spacing w:before="240" w:after="300" w:line="480" w:lineRule="auto"/>
        <w:rPr>
          <w:b/>
          <w:color w:val="1F4E79"/>
          <w:sz w:val="24"/>
          <w:szCs w:val="24"/>
        </w:rPr>
      </w:pPr>
      <w:r>
        <w:rPr>
          <w:b/>
          <w:color w:val="1F4E79"/>
          <w:sz w:val="24"/>
          <w:szCs w:val="24"/>
        </w:rPr>
        <w:lastRenderedPageBreak/>
        <w:t>Prescription Technology Solutions Segment Operating Income</w:t>
      </w:r>
    </w:p>
    <w:p w14:paraId="6023E2AC" w14:textId="77777777" w:rsidR="00864BE6" w:rsidRDefault="00E17744">
      <w:pPr>
        <w:spacing w:line="480" w:lineRule="auto"/>
        <w:rPr>
          <w:sz w:val="24"/>
          <w:szCs w:val="24"/>
        </w:rPr>
      </w:pPr>
      <w:r>
        <w:rPr>
          <w:sz w:val="24"/>
          <w:szCs w:val="24"/>
        </w:rPr>
        <w:t xml:space="preserve">The technology solution segment experienced a negative operating income between 2018 and 2020, indicating that most revenues were translated to losses. However, the company has improved its operating income for this segment in 2021 and 2022, increasing by 27% in 2022 and reaching $500 million. The growth in operating income in this segment was due to the growth in the company's access and adherence solutions that brought in new customers and motivated the existing ones to purchase. </w:t>
      </w:r>
    </w:p>
    <w:p w14:paraId="5BBBD6AF" w14:textId="77777777" w:rsidR="00864BE6" w:rsidRDefault="00E17744">
      <w:pPr>
        <w:spacing w:before="240" w:after="300" w:line="480" w:lineRule="auto"/>
        <w:rPr>
          <w:b/>
          <w:color w:val="1F4E79"/>
          <w:sz w:val="24"/>
          <w:szCs w:val="24"/>
        </w:rPr>
      </w:pPr>
      <w:r>
        <w:rPr>
          <w:b/>
          <w:color w:val="1F4E79"/>
          <w:sz w:val="24"/>
          <w:szCs w:val="24"/>
        </w:rPr>
        <w:t>Medical-Surgical Solutions Operating Income</w:t>
      </w:r>
    </w:p>
    <w:p w14:paraId="5027D2D6" w14:textId="77777777" w:rsidR="00864BE6" w:rsidRDefault="00E17744">
      <w:pPr>
        <w:spacing w:line="480" w:lineRule="auto"/>
        <w:rPr>
          <w:sz w:val="24"/>
          <w:szCs w:val="24"/>
        </w:rPr>
      </w:pPr>
      <w:r>
        <w:rPr>
          <w:sz w:val="24"/>
          <w:szCs w:val="24"/>
        </w:rPr>
        <w:t xml:space="preserve">The operating income for this segment has been increasing for the last five years. The income increased by 36% in 2022 as compared to 2021. This increase in operating income is mainly due to the excellent patient care visits that boosted the demand for medical-surgical solutions. Also, the company distributed ancillary supplies for COVID-19 management, leading to higher sales in </w:t>
      </w:r>
      <w:r>
        <w:rPr>
          <w:sz w:val="24"/>
          <w:szCs w:val="24"/>
        </w:rPr>
        <w:br/>
        <w:t xml:space="preserve">this segment. </w:t>
      </w:r>
    </w:p>
    <w:p w14:paraId="22D03EB9" w14:textId="77777777" w:rsidR="00864BE6" w:rsidRDefault="00E17744">
      <w:pPr>
        <w:spacing w:before="240" w:after="300" w:line="480" w:lineRule="auto"/>
        <w:rPr>
          <w:b/>
          <w:color w:val="1F4E79"/>
          <w:sz w:val="24"/>
          <w:szCs w:val="24"/>
        </w:rPr>
      </w:pPr>
      <w:r>
        <w:rPr>
          <w:b/>
          <w:color w:val="1F4E79"/>
          <w:sz w:val="24"/>
          <w:szCs w:val="24"/>
        </w:rPr>
        <w:t>International Segment Operating Income</w:t>
      </w:r>
    </w:p>
    <w:p w14:paraId="2A031706" w14:textId="77777777" w:rsidR="00864BE6" w:rsidRDefault="00E17744">
      <w:pPr>
        <w:spacing w:line="480" w:lineRule="auto"/>
        <w:rPr>
          <w:sz w:val="24"/>
          <w:szCs w:val="24"/>
        </w:rPr>
      </w:pPr>
      <w:r>
        <w:rPr>
          <w:sz w:val="24"/>
          <w:szCs w:val="24"/>
        </w:rPr>
        <w:t xml:space="preserve">The International segment has witnessed negative operating income in the last five years. The operating loss was even more in 2022 than in 2021. Statistics show that the European Union disposal group largely contributed to this operating loss in the International segment. Various risk factors affected international businesses, thus increasing the operating loss of this segment. For instance, there was a significant fluctuation in the exchange rate during the period, discouraging the International segment operating income. </w:t>
      </w:r>
    </w:p>
    <w:p w14:paraId="53971686" w14:textId="77777777" w:rsidR="00864BE6" w:rsidRDefault="00E17744">
      <w:pPr>
        <w:rPr>
          <w:b/>
        </w:rPr>
      </w:pPr>
      <w:r>
        <w:br w:type="page"/>
      </w:r>
    </w:p>
    <w:p w14:paraId="6647E83F" w14:textId="77777777" w:rsidR="00864BE6" w:rsidRDefault="00E17744">
      <w:pPr>
        <w:spacing w:before="240" w:after="300" w:line="480" w:lineRule="auto"/>
        <w:rPr>
          <w:b/>
          <w:color w:val="1F4E79"/>
          <w:sz w:val="24"/>
          <w:szCs w:val="24"/>
        </w:rPr>
      </w:pPr>
      <w:r>
        <w:rPr>
          <w:b/>
          <w:color w:val="1F4E79"/>
          <w:sz w:val="24"/>
          <w:szCs w:val="24"/>
        </w:rPr>
        <w:lastRenderedPageBreak/>
        <w:t>Most Profitable Segment</w:t>
      </w:r>
    </w:p>
    <w:p w14:paraId="6FA5A35B" w14:textId="77777777" w:rsidR="00864BE6" w:rsidRDefault="00E17744">
      <w:pPr>
        <w:spacing w:line="480" w:lineRule="auto"/>
        <w:rPr>
          <w:sz w:val="24"/>
          <w:szCs w:val="24"/>
        </w:rPr>
      </w:pPr>
      <w:r>
        <w:rPr>
          <w:sz w:val="24"/>
          <w:szCs w:val="24"/>
        </w:rPr>
        <w:t xml:space="preserve">The Medical-Surgical Solutions is the most profitable segment for McKesson corporation. The segment has recorded a high-profit margin in the last five years. For instance, the operating margin in 2018 was 6.97% and increased to 8.26% in 2022. The high operating margin indicates that the medical surgical solutions segment can translate most of its revenue into profit. </w:t>
      </w:r>
    </w:p>
    <w:p w14:paraId="4078DE88" w14:textId="77777777" w:rsidR="00864BE6" w:rsidRDefault="00E17744">
      <w:pPr>
        <w:spacing w:before="240" w:after="300" w:line="480" w:lineRule="auto"/>
        <w:rPr>
          <w:b/>
          <w:color w:val="1F4E79"/>
          <w:sz w:val="24"/>
          <w:szCs w:val="24"/>
        </w:rPr>
      </w:pPr>
      <w:r>
        <w:rPr>
          <w:b/>
          <w:color w:val="1F4E79"/>
          <w:sz w:val="24"/>
          <w:szCs w:val="24"/>
        </w:rPr>
        <w:t>Fastest Growing Segment</w:t>
      </w:r>
    </w:p>
    <w:p w14:paraId="77FDE6A3" w14:textId="77777777" w:rsidR="00864BE6" w:rsidRDefault="00E17744">
      <w:pPr>
        <w:spacing w:line="480" w:lineRule="auto"/>
        <w:rPr>
          <w:sz w:val="24"/>
          <w:szCs w:val="24"/>
        </w:rPr>
      </w:pPr>
      <w:r>
        <w:rPr>
          <w:sz w:val="24"/>
          <w:szCs w:val="24"/>
        </w:rPr>
        <w:t>The fastest growing segment is the Prescription Technology Solutions segment. The segment has witnessed a significant improvement in sales over the last five years. For instance, the sales grew by 34% in 2022, reaching a high record level of $ 3,864 million.</w:t>
      </w:r>
    </w:p>
    <w:p w14:paraId="6285F63F" w14:textId="77777777" w:rsidR="00864BE6" w:rsidRDefault="00E17744">
      <w:pPr>
        <w:pStyle w:val="Heading1"/>
        <w:rPr>
          <w:color w:val="1F4E79"/>
          <w:sz w:val="32"/>
          <w:szCs w:val="32"/>
        </w:rPr>
      </w:pPr>
      <w:bookmarkStart w:id="2" w:name="_Toc129024016"/>
      <w:r>
        <w:rPr>
          <w:color w:val="1F4E79"/>
          <w:sz w:val="32"/>
          <w:szCs w:val="32"/>
        </w:rPr>
        <w:t>Effects of the Pandemic on the Firm</w:t>
      </w:r>
      <w:bookmarkEnd w:id="2"/>
    </w:p>
    <w:p w14:paraId="4844B29E" w14:textId="77777777" w:rsidR="00864BE6" w:rsidRDefault="00E17744">
      <w:pPr>
        <w:widowControl/>
        <w:spacing w:before="240" w:after="240" w:line="480" w:lineRule="auto"/>
        <w:rPr>
          <w:sz w:val="24"/>
          <w:szCs w:val="24"/>
        </w:rPr>
      </w:pPr>
      <w:r>
        <w:rPr>
          <w:sz w:val="24"/>
          <w:szCs w:val="24"/>
        </w:rPr>
        <w:t xml:space="preserve">The pandemic was a challenging situation that suddenly changed how companies performed their business. Many organizations had to adapt to a new situation especially regarding the initial response towards the pandemic. As a pharmaceutical supply distribution company, McKesson faced challenges surrounding shortages, shipping backlogs, and inflation. This caused many patients to become ill rapidly who required ventilators fast. COVID-19 revealed these vulnerabilities in the supply chain and transformed the way hospitals approach supplies. This showed the needed distribution of goods, especially the use of health systems and medicine. As one of the largest healthcare companies, McKesson played a crucial role in supporting the U.S. government and was selected by the Centers for Disease Control to be the centralized distributor for vaccines and ancillary supply kits. </w:t>
      </w:r>
    </w:p>
    <w:p w14:paraId="0E85282D" w14:textId="77777777" w:rsidR="00864BE6" w:rsidRDefault="00E17744">
      <w:pPr>
        <w:rPr>
          <w:sz w:val="24"/>
          <w:szCs w:val="24"/>
        </w:rPr>
      </w:pPr>
      <w:r>
        <w:br w:type="page"/>
      </w:r>
    </w:p>
    <w:p w14:paraId="2562F27B" w14:textId="77777777" w:rsidR="00864BE6" w:rsidRDefault="00E17744">
      <w:pPr>
        <w:widowControl/>
        <w:spacing w:before="240" w:after="240" w:line="480" w:lineRule="auto"/>
        <w:rPr>
          <w:sz w:val="24"/>
          <w:szCs w:val="24"/>
        </w:rPr>
      </w:pPr>
      <w:r>
        <w:rPr>
          <w:sz w:val="24"/>
          <w:szCs w:val="24"/>
        </w:rPr>
        <w:lastRenderedPageBreak/>
        <w:t>McKesson’s outlook facing the pandemic showed that they know that they have a critical role to play in making medications and supplies available to customers and patients when they need them despite the uncertainty and inflation created by the COVID-19 pandemic. McKesson says that they play an important role in healthcare delivery and it is something they take seriously every day even more so now as the world faces this healthcare challenge. McKesson is committed to securing products for their customers and to being a cost-effective option in these challenging times.</w:t>
      </w:r>
    </w:p>
    <w:p w14:paraId="5FFD31FF" w14:textId="77777777" w:rsidR="00864BE6" w:rsidRDefault="00E17744">
      <w:pPr>
        <w:widowControl/>
        <w:spacing w:before="240" w:after="240" w:line="480" w:lineRule="auto"/>
        <w:rPr>
          <w:sz w:val="24"/>
          <w:szCs w:val="24"/>
        </w:rPr>
      </w:pPr>
      <w:r>
        <w:rPr>
          <w:sz w:val="24"/>
          <w:szCs w:val="24"/>
        </w:rPr>
        <w:t xml:space="preserve">The economic reports from McKesson show that supply chains have been performing well with over 20% more goods flowing than before the pandemic. Sales and growth should continue to grow post-pandemic though supply chain, although companies should be cautious as disruptions can occur again. Total revenue increased during the pandemic, but not as much as in previous years. </w:t>
      </w:r>
    </w:p>
    <w:p w14:paraId="0F73F143" w14:textId="77777777" w:rsidR="00864BE6" w:rsidRDefault="00E17744">
      <w:pPr>
        <w:spacing w:line="480" w:lineRule="auto"/>
        <w:rPr>
          <w:sz w:val="24"/>
          <w:szCs w:val="24"/>
        </w:rPr>
      </w:pPr>
      <w:r>
        <w:rPr>
          <w:sz w:val="24"/>
          <w:szCs w:val="24"/>
        </w:rPr>
        <w:t xml:space="preserve">Revenue increased by 8% to $231.1 by the end of the 2020 fiscal year, but only increased 3% in 2021 to $238.2. By the end of 2022, total revenue increased by 11% from $238.2 billion to $264 billion. Based on McKesson reports, McKesson should continue to grow its sales during and after </w:t>
      </w:r>
      <w:r>
        <w:rPr>
          <w:sz w:val="24"/>
          <w:szCs w:val="24"/>
        </w:rPr>
        <w:br/>
        <w:t>the pandemic.</w:t>
      </w:r>
    </w:p>
    <w:p w14:paraId="6DFB40D9" w14:textId="77777777" w:rsidR="00864BE6" w:rsidRDefault="00E17744">
      <w:pPr>
        <w:rPr>
          <w:b/>
          <w:color w:val="1F4E79"/>
          <w:sz w:val="32"/>
          <w:szCs w:val="32"/>
        </w:rPr>
      </w:pPr>
      <w:r>
        <w:br w:type="page"/>
      </w:r>
    </w:p>
    <w:p w14:paraId="5AF3B6CC" w14:textId="77777777" w:rsidR="00864BE6" w:rsidRDefault="00E17744">
      <w:pPr>
        <w:pStyle w:val="Heading1"/>
        <w:rPr>
          <w:color w:val="1F4E79"/>
          <w:sz w:val="32"/>
          <w:szCs w:val="32"/>
        </w:rPr>
      </w:pPr>
      <w:bookmarkStart w:id="3" w:name="_Toc129024017"/>
      <w:r>
        <w:rPr>
          <w:color w:val="1F4E79"/>
          <w:sz w:val="32"/>
          <w:szCs w:val="32"/>
        </w:rPr>
        <w:lastRenderedPageBreak/>
        <w:t>Returns and Standard Deviation</w:t>
      </w:r>
      <w:bookmarkEnd w:id="3"/>
      <w:r>
        <w:rPr>
          <w:color w:val="1F4E79"/>
          <w:sz w:val="32"/>
          <w:szCs w:val="32"/>
        </w:rPr>
        <w:br/>
      </w:r>
    </w:p>
    <w:tbl>
      <w:tblPr>
        <w:tblStyle w:val="aa"/>
        <w:tblW w:w="10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5"/>
        <w:gridCol w:w="1450"/>
        <w:gridCol w:w="1504"/>
        <w:gridCol w:w="1427"/>
        <w:gridCol w:w="1437"/>
        <w:gridCol w:w="1607"/>
        <w:gridCol w:w="1580"/>
      </w:tblGrid>
      <w:tr w:rsidR="00864BE6" w14:paraId="1CD7666C" w14:textId="77777777">
        <w:trPr>
          <w:trHeight w:val="620"/>
        </w:trPr>
        <w:tc>
          <w:tcPr>
            <w:tcW w:w="1425" w:type="dxa"/>
            <w:shd w:val="clear" w:color="auto" w:fill="1F4E79"/>
          </w:tcPr>
          <w:p w14:paraId="52B89496" w14:textId="77777777" w:rsidR="00864BE6" w:rsidRDefault="00E17744">
            <w:pPr>
              <w:spacing w:before="1"/>
              <w:rPr>
                <w:b/>
                <w:color w:val="FFFFFF"/>
                <w:sz w:val="24"/>
                <w:szCs w:val="24"/>
              </w:rPr>
            </w:pPr>
            <w:r>
              <w:rPr>
                <w:b/>
                <w:color w:val="FFFFFF"/>
                <w:sz w:val="24"/>
                <w:szCs w:val="24"/>
              </w:rPr>
              <w:t>Starting Date</w:t>
            </w:r>
          </w:p>
        </w:tc>
        <w:tc>
          <w:tcPr>
            <w:tcW w:w="1450" w:type="dxa"/>
            <w:shd w:val="clear" w:color="auto" w:fill="1F4E79"/>
          </w:tcPr>
          <w:p w14:paraId="0E292E97" w14:textId="77777777" w:rsidR="00864BE6" w:rsidRDefault="00E17744">
            <w:pPr>
              <w:spacing w:before="1"/>
              <w:rPr>
                <w:b/>
                <w:color w:val="FFFFFF"/>
                <w:sz w:val="24"/>
                <w:szCs w:val="24"/>
              </w:rPr>
            </w:pPr>
            <w:r>
              <w:rPr>
                <w:b/>
                <w:color w:val="FFFFFF"/>
                <w:sz w:val="24"/>
                <w:szCs w:val="24"/>
              </w:rPr>
              <w:t>Ending Date</w:t>
            </w:r>
          </w:p>
        </w:tc>
        <w:tc>
          <w:tcPr>
            <w:tcW w:w="1504" w:type="dxa"/>
            <w:shd w:val="clear" w:color="auto" w:fill="1F4E79"/>
          </w:tcPr>
          <w:p w14:paraId="5CED0024" w14:textId="77777777" w:rsidR="00864BE6" w:rsidRDefault="00E17744">
            <w:pPr>
              <w:spacing w:before="1"/>
              <w:rPr>
                <w:b/>
                <w:color w:val="FFFFFF"/>
                <w:sz w:val="24"/>
                <w:szCs w:val="24"/>
              </w:rPr>
            </w:pPr>
            <w:r>
              <w:rPr>
                <w:b/>
                <w:color w:val="FFFFFF"/>
                <w:sz w:val="24"/>
                <w:szCs w:val="24"/>
              </w:rPr>
              <w:t>Starting Price</w:t>
            </w:r>
          </w:p>
        </w:tc>
        <w:tc>
          <w:tcPr>
            <w:tcW w:w="1427" w:type="dxa"/>
            <w:shd w:val="clear" w:color="auto" w:fill="1F4E79"/>
          </w:tcPr>
          <w:p w14:paraId="0B2B4225" w14:textId="77777777" w:rsidR="00864BE6" w:rsidRDefault="00E17744">
            <w:pPr>
              <w:spacing w:before="1"/>
              <w:rPr>
                <w:b/>
                <w:color w:val="FFFFFF"/>
                <w:sz w:val="24"/>
                <w:szCs w:val="24"/>
              </w:rPr>
            </w:pPr>
            <w:r>
              <w:rPr>
                <w:b/>
                <w:color w:val="FFFFFF"/>
                <w:sz w:val="24"/>
                <w:szCs w:val="24"/>
              </w:rPr>
              <w:t>Ending Price</w:t>
            </w:r>
          </w:p>
        </w:tc>
        <w:tc>
          <w:tcPr>
            <w:tcW w:w="1437" w:type="dxa"/>
            <w:shd w:val="clear" w:color="auto" w:fill="1F4E79"/>
          </w:tcPr>
          <w:p w14:paraId="1595297C" w14:textId="77777777" w:rsidR="00864BE6" w:rsidRDefault="00E17744">
            <w:pPr>
              <w:spacing w:before="1"/>
              <w:rPr>
                <w:b/>
                <w:color w:val="FFFFFF"/>
                <w:sz w:val="24"/>
                <w:szCs w:val="24"/>
              </w:rPr>
            </w:pPr>
            <w:r>
              <w:rPr>
                <w:b/>
                <w:color w:val="FFFFFF"/>
                <w:sz w:val="24"/>
                <w:szCs w:val="24"/>
              </w:rPr>
              <w:t>Dividends</w:t>
            </w:r>
          </w:p>
        </w:tc>
        <w:tc>
          <w:tcPr>
            <w:tcW w:w="1607" w:type="dxa"/>
            <w:shd w:val="clear" w:color="auto" w:fill="1F4E79"/>
          </w:tcPr>
          <w:p w14:paraId="16653BB0" w14:textId="77777777" w:rsidR="00864BE6" w:rsidRDefault="00E17744">
            <w:pPr>
              <w:spacing w:before="1"/>
              <w:rPr>
                <w:b/>
                <w:color w:val="FFFFFF"/>
                <w:sz w:val="24"/>
                <w:szCs w:val="24"/>
              </w:rPr>
            </w:pPr>
            <w:r>
              <w:rPr>
                <w:b/>
                <w:color w:val="FFFFFF"/>
                <w:sz w:val="24"/>
                <w:szCs w:val="24"/>
              </w:rPr>
              <w:t>Buy-and-Hold Return</w:t>
            </w:r>
          </w:p>
        </w:tc>
        <w:tc>
          <w:tcPr>
            <w:tcW w:w="1580" w:type="dxa"/>
            <w:shd w:val="clear" w:color="auto" w:fill="1F4E79"/>
          </w:tcPr>
          <w:p w14:paraId="44AF86E9" w14:textId="77777777" w:rsidR="00864BE6" w:rsidRDefault="00E17744">
            <w:pPr>
              <w:spacing w:before="1"/>
              <w:rPr>
                <w:b/>
                <w:color w:val="FFFFFF"/>
                <w:sz w:val="24"/>
                <w:szCs w:val="24"/>
              </w:rPr>
            </w:pPr>
            <w:r>
              <w:rPr>
                <w:b/>
                <w:color w:val="FFFFFF"/>
                <w:sz w:val="24"/>
                <w:szCs w:val="24"/>
              </w:rPr>
              <w:t>Standard Deviation</w:t>
            </w:r>
          </w:p>
        </w:tc>
      </w:tr>
      <w:tr w:rsidR="00864BE6" w14:paraId="58D1DF08" w14:textId="77777777" w:rsidTr="001A65EF">
        <w:trPr>
          <w:trHeight w:val="359"/>
        </w:trPr>
        <w:tc>
          <w:tcPr>
            <w:tcW w:w="1425" w:type="dxa"/>
            <w:tcBorders>
              <w:bottom w:val="single" w:sz="4" w:space="0" w:color="000000"/>
            </w:tcBorders>
            <w:shd w:val="clear" w:color="auto" w:fill="FFD965"/>
          </w:tcPr>
          <w:p w14:paraId="0E81058B" w14:textId="77777777" w:rsidR="00864BE6" w:rsidRDefault="00E17744">
            <w:pPr>
              <w:spacing w:before="1"/>
              <w:rPr>
                <w:b/>
              </w:rPr>
            </w:pPr>
            <w:r>
              <w:rPr>
                <w:b/>
                <w:color w:val="000000"/>
              </w:rPr>
              <w:t>01/01/22</w:t>
            </w:r>
          </w:p>
        </w:tc>
        <w:tc>
          <w:tcPr>
            <w:tcW w:w="1450" w:type="dxa"/>
            <w:tcBorders>
              <w:bottom w:val="single" w:sz="4" w:space="0" w:color="000000"/>
            </w:tcBorders>
            <w:shd w:val="clear" w:color="auto" w:fill="FFD965"/>
          </w:tcPr>
          <w:p w14:paraId="06BE63D7" w14:textId="77777777" w:rsidR="00864BE6" w:rsidRDefault="00E17744">
            <w:pPr>
              <w:spacing w:before="1"/>
              <w:rPr>
                <w:b/>
              </w:rPr>
            </w:pPr>
            <w:r>
              <w:rPr>
                <w:b/>
                <w:color w:val="000000"/>
              </w:rPr>
              <w:t>12/30/22</w:t>
            </w:r>
          </w:p>
        </w:tc>
        <w:tc>
          <w:tcPr>
            <w:tcW w:w="1504" w:type="dxa"/>
            <w:tcBorders>
              <w:bottom w:val="single" w:sz="4" w:space="0" w:color="000000"/>
            </w:tcBorders>
          </w:tcPr>
          <w:p w14:paraId="5108E760" w14:textId="77777777" w:rsidR="00864BE6" w:rsidRDefault="00E17744">
            <w:pPr>
              <w:spacing w:before="1"/>
            </w:pPr>
            <w:r>
              <w:rPr>
                <w:color w:val="000000"/>
              </w:rPr>
              <w:t>248.1</w:t>
            </w:r>
          </w:p>
        </w:tc>
        <w:tc>
          <w:tcPr>
            <w:tcW w:w="1427" w:type="dxa"/>
            <w:tcBorders>
              <w:bottom w:val="single" w:sz="4" w:space="0" w:color="000000"/>
            </w:tcBorders>
          </w:tcPr>
          <w:p w14:paraId="5DA13786" w14:textId="77777777" w:rsidR="00864BE6" w:rsidRDefault="00E17744">
            <w:pPr>
              <w:spacing w:before="1"/>
            </w:pPr>
            <w:r>
              <w:rPr>
                <w:color w:val="000000"/>
              </w:rPr>
              <w:t>375.12</w:t>
            </w:r>
          </w:p>
        </w:tc>
        <w:tc>
          <w:tcPr>
            <w:tcW w:w="1437" w:type="dxa"/>
            <w:tcBorders>
              <w:bottom w:val="single" w:sz="4" w:space="0" w:color="000000"/>
            </w:tcBorders>
          </w:tcPr>
          <w:p w14:paraId="0CDBEDDE" w14:textId="77777777" w:rsidR="00864BE6" w:rsidRDefault="00E17744">
            <w:pPr>
              <w:spacing w:before="1"/>
              <w:rPr>
                <w:color w:val="000000"/>
              </w:rPr>
            </w:pPr>
            <w:r>
              <w:rPr>
                <w:color w:val="000000"/>
              </w:rPr>
              <w:t>2.02</w:t>
            </w:r>
          </w:p>
        </w:tc>
        <w:tc>
          <w:tcPr>
            <w:tcW w:w="1607" w:type="dxa"/>
            <w:tcBorders>
              <w:bottom w:val="single" w:sz="4" w:space="0" w:color="000000"/>
            </w:tcBorders>
          </w:tcPr>
          <w:p w14:paraId="6C411D7C" w14:textId="77777777" w:rsidR="00864BE6" w:rsidRDefault="00E17744">
            <w:pPr>
              <w:spacing w:before="1"/>
              <w:rPr>
                <w:color w:val="000000"/>
              </w:rPr>
            </w:pPr>
            <w:r>
              <w:rPr>
                <w:color w:val="000000"/>
              </w:rPr>
              <w:t>52.01%</w:t>
            </w:r>
          </w:p>
        </w:tc>
        <w:tc>
          <w:tcPr>
            <w:tcW w:w="1580" w:type="dxa"/>
            <w:tcBorders>
              <w:bottom w:val="single" w:sz="4" w:space="0" w:color="000000"/>
            </w:tcBorders>
          </w:tcPr>
          <w:p w14:paraId="191514F6" w14:textId="77777777" w:rsidR="00864BE6" w:rsidRDefault="00E17744">
            <w:pPr>
              <w:spacing w:before="1"/>
              <w:rPr>
                <w:color w:val="000000"/>
              </w:rPr>
            </w:pPr>
            <w:r>
              <w:rPr>
                <w:color w:val="000000"/>
              </w:rPr>
              <w:t>1.52%</w:t>
            </w:r>
          </w:p>
        </w:tc>
      </w:tr>
      <w:tr w:rsidR="00864BE6" w14:paraId="6E09F4C5" w14:textId="77777777" w:rsidTr="001A65EF">
        <w:trPr>
          <w:trHeight w:val="394"/>
        </w:trPr>
        <w:tc>
          <w:tcPr>
            <w:tcW w:w="1425" w:type="dxa"/>
            <w:tcBorders>
              <w:top w:val="single" w:sz="4" w:space="0" w:color="000000"/>
              <w:left w:val="single" w:sz="4" w:space="0" w:color="000000"/>
              <w:bottom w:val="single" w:sz="4" w:space="0" w:color="000000"/>
              <w:right w:val="single" w:sz="4" w:space="0" w:color="000000"/>
            </w:tcBorders>
            <w:shd w:val="clear" w:color="auto" w:fill="FFD965"/>
          </w:tcPr>
          <w:p w14:paraId="0666228E" w14:textId="77777777" w:rsidR="00864BE6" w:rsidRDefault="00E17744">
            <w:pPr>
              <w:spacing w:before="1"/>
              <w:rPr>
                <w:b/>
                <w:u w:val="single"/>
              </w:rPr>
            </w:pPr>
            <w:r>
              <w:rPr>
                <w:b/>
                <w:color w:val="000000"/>
              </w:rPr>
              <w:t>01/01/19</w:t>
            </w:r>
          </w:p>
        </w:tc>
        <w:tc>
          <w:tcPr>
            <w:tcW w:w="1450" w:type="dxa"/>
            <w:tcBorders>
              <w:top w:val="single" w:sz="4" w:space="0" w:color="000000"/>
              <w:left w:val="single" w:sz="4" w:space="0" w:color="000000"/>
              <w:bottom w:val="single" w:sz="4" w:space="0" w:color="000000"/>
              <w:right w:val="single" w:sz="4" w:space="0" w:color="000000"/>
            </w:tcBorders>
            <w:shd w:val="clear" w:color="auto" w:fill="FFD965"/>
          </w:tcPr>
          <w:p w14:paraId="1748639A" w14:textId="77777777" w:rsidR="00864BE6" w:rsidRDefault="00E17744">
            <w:pPr>
              <w:spacing w:before="1"/>
              <w:rPr>
                <w:b/>
                <w:color w:val="000000"/>
              </w:rPr>
            </w:pPr>
            <w:r>
              <w:rPr>
                <w:b/>
                <w:color w:val="000000"/>
              </w:rPr>
              <w:t>12/30/22</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4F21BF65" w14:textId="77777777" w:rsidR="00864BE6" w:rsidRDefault="00E17744">
            <w:pPr>
              <w:spacing w:before="1"/>
              <w:rPr>
                <w:b/>
                <w:u w:val="single"/>
              </w:rPr>
            </w:pPr>
            <w:r>
              <w:rPr>
                <w:color w:val="000000"/>
              </w:rPr>
              <w:t>113.07</w:t>
            </w:r>
          </w:p>
        </w:tc>
        <w:tc>
          <w:tcPr>
            <w:tcW w:w="1427" w:type="dxa"/>
            <w:tcBorders>
              <w:top w:val="single" w:sz="4" w:space="0" w:color="000000"/>
              <w:left w:val="single" w:sz="4" w:space="0" w:color="000000"/>
              <w:bottom w:val="single" w:sz="4" w:space="0" w:color="000000"/>
              <w:right w:val="single" w:sz="4" w:space="0" w:color="000000"/>
            </w:tcBorders>
          </w:tcPr>
          <w:p w14:paraId="5CB86539" w14:textId="77777777" w:rsidR="00864BE6" w:rsidRDefault="00E17744">
            <w:pPr>
              <w:spacing w:before="1"/>
              <w:rPr>
                <w:color w:val="000000"/>
              </w:rPr>
            </w:pPr>
            <w:r>
              <w:rPr>
                <w:color w:val="000000"/>
              </w:rPr>
              <w:t>375.12</w:t>
            </w:r>
          </w:p>
        </w:tc>
        <w:tc>
          <w:tcPr>
            <w:tcW w:w="1437" w:type="dxa"/>
            <w:tcBorders>
              <w:top w:val="single" w:sz="4" w:space="0" w:color="000000"/>
              <w:left w:val="single" w:sz="4" w:space="0" w:color="000000"/>
              <w:bottom w:val="single" w:sz="4" w:space="0" w:color="000000"/>
              <w:right w:val="single" w:sz="4" w:space="0" w:color="000000"/>
            </w:tcBorders>
          </w:tcPr>
          <w:p w14:paraId="29102C40" w14:textId="77777777" w:rsidR="00864BE6" w:rsidRDefault="00E17744">
            <w:pPr>
              <w:spacing w:before="1"/>
              <w:rPr>
                <w:color w:val="000000"/>
              </w:rPr>
            </w:pPr>
            <w:r>
              <w:rPr>
                <w:color w:val="000000"/>
              </w:rPr>
              <w:t>7.06</w:t>
            </w:r>
          </w:p>
        </w:tc>
        <w:tc>
          <w:tcPr>
            <w:tcW w:w="1607" w:type="dxa"/>
            <w:tcBorders>
              <w:top w:val="single" w:sz="4" w:space="0" w:color="000000"/>
              <w:left w:val="single" w:sz="4" w:space="0" w:color="000000"/>
              <w:bottom w:val="single" w:sz="4" w:space="0" w:color="000000"/>
              <w:right w:val="single" w:sz="4" w:space="0" w:color="000000"/>
            </w:tcBorders>
          </w:tcPr>
          <w:p w14:paraId="6C7E6658" w14:textId="77777777" w:rsidR="00864BE6" w:rsidRDefault="00E17744">
            <w:pPr>
              <w:spacing w:before="1"/>
              <w:rPr>
                <w:color w:val="000000"/>
              </w:rPr>
            </w:pPr>
            <w:r>
              <w:rPr>
                <w:color w:val="000000"/>
              </w:rPr>
              <w:t>238.00%</w:t>
            </w:r>
          </w:p>
        </w:tc>
        <w:tc>
          <w:tcPr>
            <w:tcW w:w="1580" w:type="dxa"/>
            <w:tcBorders>
              <w:top w:val="single" w:sz="4" w:space="0" w:color="000000"/>
              <w:left w:val="single" w:sz="4" w:space="0" w:color="000000"/>
              <w:bottom w:val="single" w:sz="4" w:space="0" w:color="000000"/>
              <w:right w:val="single" w:sz="4" w:space="0" w:color="000000"/>
            </w:tcBorders>
          </w:tcPr>
          <w:p w14:paraId="482928AB" w14:textId="77777777" w:rsidR="00864BE6" w:rsidRDefault="00E17744">
            <w:pPr>
              <w:spacing w:before="1"/>
              <w:rPr>
                <w:color w:val="000000"/>
              </w:rPr>
            </w:pPr>
            <w:r>
              <w:rPr>
                <w:color w:val="000000"/>
              </w:rPr>
              <w:t>1.97%</w:t>
            </w:r>
          </w:p>
        </w:tc>
      </w:tr>
      <w:tr w:rsidR="00864BE6" w14:paraId="42CF1407" w14:textId="77777777" w:rsidTr="00FF097E">
        <w:trPr>
          <w:trHeight w:val="403"/>
        </w:trPr>
        <w:tc>
          <w:tcPr>
            <w:tcW w:w="1425" w:type="dxa"/>
            <w:tcBorders>
              <w:top w:val="single" w:sz="4" w:space="0" w:color="000000"/>
            </w:tcBorders>
            <w:shd w:val="clear" w:color="auto" w:fill="FFD965"/>
          </w:tcPr>
          <w:p w14:paraId="0F0022CE" w14:textId="77777777" w:rsidR="00864BE6" w:rsidRDefault="00E17744">
            <w:pPr>
              <w:spacing w:before="1"/>
              <w:rPr>
                <w:b/>
                <w:u w:val="single"/>
              </w:rPr>
            </w:pPr>
            <w:r>
              <w:rPr>
                <w:b/>
                <w:color w:val="000000"/>
              </w:rPr>
              <w:t>01/01/17</w:t>
            </w:r>
          </w:p>
        </w:tc>
        <w:tc>
          <w:tcPr>
            <w:tcW w:w="1450" w:type="dxa"/>
            <w:tcBorders>
              <w:top w:val="single" w:sz="4" w:space="0" w:color="000000"/>
            </w:tcBorders>
            <w:shd w:val="clear" w:color="auto" w:fill="FFD965"/>
          </w:tcPr>
          <w:p w14:paraId="1343E86B" w14:textId="77777777" w:rsidR="00864BE6" w:rsidRDefault="00E17744">
            <w:pPr>
              <w:spacing w:before="1"/>
              <w:rPr>
                <w:b/>
                <w:color w:val="000000"/>
              </w:rPr>
            </w:pPr>
            <w:r>
              <w:rPr>
                <w:b/>
                <w:color w:val="000000"/>
              </w:rPr>
              <w:t>12/30/22</w:t>
            </w:r>
          </w:p>
        </w:tc>
        <w:tc>
          <w:tcPr>
            <w:tcW w:w="1504" w:type="dxa"/>
            <w:tcBorders>
              <w:top w:val="single" w:sz="4" w:space="0" w:color="000000"/>
            </w:tcBorders>
          </w:tcPr>
          <w:p w14:paraId="2F381176" w14:textId="77777777" w:rsidR="00864BE6" w:rsidRDefault="00E17744">
            <w:pPr>
              <w:spacing w:before="1"/>
              <w:rPr>
                <w:b/>
                <w:u w:val="single"/>
              </w:rPr>
            </w:pPr>
            <w:r>
              <w:rPr>
                <w:color w:val="000000"/>
              </w:rPr>
              <w:t>147.43</w:t>
            </w:r>
          </w:p>
        </w:tc>
        <w:tc>
          <w:tcPr>
            <w:tcW w:w="1427" w:type="dxa"/>
            <w:tcBorders>
              <w:top w:val="single" w:sz="4" w:space="0" w:color="000000"/>
            </w:tcBorders>
          </w:tcPr>
          <w:p w14:paraId="1502A560" w14:textId="77777777" w:rsidR="00864BE6" w:rsidRDefault="00E17744">
            <w:pPr>
              <w:spacing w:before="1"/>
              <w:rPr>
                <w:color w:val="000000"/>
              </w:rPr>
            </w:pPr>
            <w:r>
              <w:rPr>
                <w:color w:val="000000"/>
              </w:rPr>
              <w:t>375.12</w:t>
            </w:r>
          </w:p>
        </w:tc>
        <w:tc>
          <w:tcPr>
            <w:tcW w:w="1437" w:type="dxa"/>
            <w:tcBorders>
              <w:top w:val="single" w:sz="4" w:space="0" w:color="000000"/>
            </w:tcBorders>
          </w:tcPr>
          <w:p w14:paraId="218F0E9F" w14:textId="77777777" w:rsidR="00864BE6" w:rsidRDefault="00E17744">
            <w:pPr>
              <w:spacing w:before="1"/>
              <w:rPr>
                <w:color w:val="000000"/>
              </w:rPr>
            </w:pPr>
            <w:r>
              <w:rPr>
                <w:color w:val="000000"/>
              </w:rPr>
              <w:t>9.76</w:t>
            </w:r>
          </w:p>
        </w:tc>
        <w:tc>
          <w:tcPr>
            <w:tcW w:w="1607" w:type="dxa"/>
            <w:tcBorders>
              <w:top w:val="single" w:sz="4" w:space="0" w:color="000000"/>
            </w:tcBorders>
          </w:tcPr>
          <w:p w14:paraId="0830ACD4" w14:textId="77777777" w:rsidR="00864BE6" w:rsidRDefault="00E17744">
            <w:pPr>
              <w:spacing w:before="1"/>
              <w:rPr>
                <w:color w:val="000000"/>
              </w:rPr>
            </w:pPr>
            <w:r>
              <w:rPr>
                <w:color w:val="000000"/>
              </w:rPr>
              <w:t>161.06%</w:t>
            </w:r>
          </w:p>
        </w:tc>
        <w:tc>
          <w:tcPr>
            <w:tcW w:w="1580" w:type="dxa"/>
            <w:tcBorders>
              <w:top w:val="single" w:sz="4" w:space="0" w:color="000000"/>
            </w:tcBorders>
          </w:tcPr>
          <w:p w14:paraId="4E62E3EF" w14:textId="77777777" w:rsidR="00864BE6" w:rsidRDefault="00E17744">
            <w:pPr>
              <w:spacing w:before="1"/>
              <w:rPr>
                <w:color w:val="000000"/>
              </w:rPr>
            </w:pPr>
            <w:r>
              <w:rPr>
                <w:color w:val="000000"/>
              </w:rPr>
              <w:t>1.87%</w:t>
            </w:r>
          </w:p>
        </w:tc>
      </w:tr>
    </w:tbl>
    <w:p w14:paraId="1D401FF8" w14:textId="77777777" w:rsidR="00864BE6" w:rsidRDefault="00864BE6">
      <w:pPr>
        <w:widowControl/>
        <w:rPr>
          <w:rFonts w:ascii="Arial" w:eastAsia="Arial" w:hAnsi="Arial" w:cs="Arial"/>
          <w:color w:val="000000"/>
          <w:sz w:val="24"/>
          <w:szCs w:val="24"/>
        </w:rPr>
      </w:pPr>
    </w:p>
    <w:p w14:paraId="40173540" w14:textId="77777777" w:rsidR="00864BE6" w:rsidRDefault="00E17744">
      <w:pPr>
        <w:widowControl/>
        <w:rPr>
          <w:sz w:val="24"/>
          <w:szCs w:val="24"/>
        </w:rPr>
      </w:pPr>
      <w:r>
        <w:rPr>
          <w:sz w:val="24"/>
          <w:szCs w:val="24"/>
        </w:rPr>
        <w:t>Each financial year is considered as 01/01 (first working day) to 12/31 (last working day).</w:t>
      </w:r>
    </w:p>
    <w:p w14:paraId="5562AF04" w14:textId="77777777" w:rsidR="00864BE6" w:rsidRDefault="00E17744">
      <w:pPr>
        <w:widowControl/>
        <w:rPr>
          <w:rFonts w:ascii="Times New Roman" w:eastAsia="Times New Roman" w:hAnsi="Times New Roman" w:cs="Times New Roman"/>
          <w:sz w:val="24"/>
          <w:szCs w:val="24"/>
        </w:rPr>
      </w:pPr>
      <w:r>
        <w:rPr>
          <w:rFonts w:ascii="Arial" w:eastAsia="Arial" w:hAnsi="Arial" w:cs="Arial"/>
          <w:sz w:val="24"/>
          <w:szCs w:val="24"/>
        </w:rPr>
        <w:t> </w:t>
      </w:r>
    </w:p>
    <w:p w14:paraId="45E11354" w14:textId="77777777" w:rsidR="00864BE6" w:rsidRDefault="00E17744">
      <w:pPr>
        <w:widowControl/>
        <w:rPr>
          <w:sz w:val="24"/>
          <w:szCs w:val="24"/>
        </w:rPr>
      </w:pPr>
      <w:r>
        <w:rPr>
          <w:sz w:val="24"/>
          <w:szCs w:val="24"/>
        </w:rPr>
        <w:t>The three sources of McKesson’s beta are the following:</w:t>
      </w:r>
    </w:p>
    <w:p w14:paraId="66AF666A" w14:textId="77777777" w:rsidR="00864BE6" w:rsidRDefault="00864BE6">
      <w:pPr>
        <w:widowControl/>
        <w:rPr>
          <w:sz w:val="24"/>
          <w:szCs w:val="24"/>
        </w:rPr>
      </w:pPr>
    </w:p>
    <w:p w14:paraId="71F8D5BC" w14:textId="77777777" w:rsidR="00864BE6" w:rsidRDefault="00E17744">
      <w:pPr>
        <w:widowControl/>
        <w:numPr>
          <w:ilvl w:val="0"/>
          <w:numId w:val="1"/>
        </w:numPr>
        <w:ind w:left="360"/>
        <w:rPr>
          <w:sz w:val="24"/>
          <w:szCs w:val="24"/>
        </w:rPr>
      </w:pPr>
      <w:r>
        <w:rPr>
          <w:sz w:val="24"/>
          <w:szCs w:val="24"/>
        </w:rPr>
        <w:t>Market Risk</w:t>
      </w:r>
    </w:p>
    <w:p w14:paraId="722C7658" w14:textId="77777777" w:rsidR="00864BE6" w:rsidRDefault="00E17744">
      <w:pPr>
        <w:widowControl/>
        <w:numPr>
          <w:ilvl w:val="0"/>
          <w:numId w:val="1"/>
        </w:numPr>
        <w:ind w:left="360"/>
        <w:rPr>
          <w:sz w:val="24"/>
          <w:szCs w:val="24"/>
        </w:rPr>
      </w:pPr>
      <w:r>
        <w:rPr>
          <w:sz w:val="24"/>
          <w:szCs w:val="24"/>
        </w:rPr>
        <w:t>Industry Risk</w:t>
      </w:r>
    </w:p>
    <w:p w14:paraId="2EC50149" w14:textId="77777777" w:rsidR="00864BE6" w:rsidRDefault="00E17744">
      <w:pPr>
        <w:widowControl/>
        <w:numPr>
          <w:ilvl w:val="0"/>
          <w:numId w:val="1"/>
        </w:numPr>
        <w:ind w:left="360"/>
        <w:rPr>
          <w:sz w:val="24"/>
          <w:szCs w:val="24"/>
        </w:rPr>
      </w:pPr>
      <w:r>
        <w:rPr>
          <w:sz w:val="24"/>
          <w:szCs w:val="24"/>
        </w:rPr>
        <w:t>Company Specific Risk</w:t>
      </w:r>
    </w:p>
    <w:p w14:paraId="56CF15F9" w14:textId="77777777" w:rsidR="00864BE6" w:rsidRDefault="00E17744">
      <w:pPr>
        <w:pStyle w:val="Heading1"/>
        <w:rPr>
          <w:color w:val="1F4E79"/>
          <w:sz w:val="32"/>
          <w:szCs w:val="32"/>
        </w:rPr>
      </w:pPr>
      <w:bookmarkStart w:id="4" w:name="_Toc129024018"/>
      <w:r>
        <w:rPr>
          <w:color w:val="1F4E79"/>
          <w:sz w:val="32"/>
          <w:szCs w:val="32"/>
        </w:rPr>
        <w:t>Governance</w:t>
      </w:r>
      <w:bookmarkEnd w:id="4"/>
    </w:p>
    <w:p w14:paraId="618AE418" w14:textId="77777777" w:rsidR="00864BE6" w:rsidRDefault="00864BE6">
      <w:pPr>
        <w:pBdr>
          <w:top w:val="nil"/>
          <w:left w:val="nil"/>
          <w:bottom w:val="nil"/>
          <w:right w:val="nil"/>
          <w:between w:val="nil"/>
        </w:pBdr>
        <w:spacing w:before="1"/>
        <w:rPr>
          <w:b/>
          <w:sz w:val="24"/>
          <w:szCs w:val="24"/>
          <w:u w:val="single"/>
        </w:rPr>
      </w:pPr>
    </w:p>
    <w:p w14:paraId="285D697A" w14:textId="77777777" w:rsidR="00864BE6" w:rsidRDefault="00E17744">
      <w:pPr>
        <w:pBdr>
          <w:top w:val="nil"/>
          <w:left w:val="nil"/>
          <w:bottom w:val="nil"/>
          <w:right w:val="nil"/>
          <w:between w:val="nil"/>
        </w:pBdr>
        <w:spacing w:before="1" w:line="480" w:lineRule="auto"/>
        <w:rPr>
          <w:sz w:val="24"/>
          <w:szCs w:val="24"/>
          <w:highlight w:val="white"/>
        </w:rPr>
      </w:pPr>
      <w:r>
        <w:rPr>
          <w:sz w:val="24"/>
          <w:szCs w:val="24"/>
        </w:rPr>
        <w:t>McKesson’s board of directors is currently a declassified board (directors are elected each year), and consists of 11 total members. The board institutes an independent chair (</w:t>
      </w:r>
      <w:r>
        <w:rPr>
          <w:sz w:val="24"/>
          <w:szCs w:val="24"/>
          <w:highlight w:val="white"/>
        </w:rPr>
        <w:t xml:space="preserve">a person appointed by the corporation’s council to chair meetings of the board of directors of the Association, who is separate from the corporation). McKesson’s independent chair/chairman of the board is </w:t>
      </w:r>
      <w:r>
        <w:rPr>
          <w:b/>
          <w:sz w:val="24"/>
          <w:szCs w:val="24"/>
          <w:highlight w:val="white"/>
        </w:rPr>
        <w:t>Donald R. Knauss</w:t>
      </w:r>
      <w:r>
        <w:rPr>
          <w:sz w:val="24"/>
          <w:szCs w:val="24"/>
          <w:highlight w:val="white"/>
        </w:rPr>
        <w:t>, who was elected on April 1, 2022.</w:t>
      </w:r>
    </w:p>
    <w:p w14:paraId="22A4315B" w14:textId="77777777" w:rsidR="00864BE6" w:rsidRDefault="00E17744">
      <w:pPr>
        <w:rPr>
          <w:sz w:val="24"/>
          <w:szCs w:val="24"/>
          <w:highlight w:val="white"/>
        </w:rPr>
      </w:pPr>
      <w:r>
        <w:br w:type="page"/>
      </w:r>
    </w:p>
    <w:p w14:paraId="10064734" w14:textId="77777777" w:rsidR="00864BE6" w:rsidRDefault="00E17744">
      <w:pPr>
        <w:pBdr>
          <w:top w:val="nil"/>
          <w:left w:val="nil"/>
          <w:bottom w:val="nil"/>
          <w:right w:val="nil"/>
          <w:between w:val="nil"/>
        </w:pBdr>
        <w:spacing w:before="1" w:line="480" w:lineRule="auto"/>
        <w:rPr>
          <w:b/>
          <w:sz w:val="24"/>
          <w:szCs w:val="24"/>
          <w:u w:val="single"/>
        </w:rPr>
      </w:pPr>
      <w:r>
        <w:rPr>
          <w:color w:val="202124"/>
          <w:sz w:val="24"/>
          <w:szCs w:val="24"/>
          <w:highlight w:val="white"/>
        </w:rPr>
        <w:lastRenderedPageBreak/>
        <w:t xml:space="preserve">Table 3 displays the current Board of Directors (as of June 9, 2022): </w:t>
      </w:r>
    </w:p>
    <w:p w14:paraId="5BE652E2" w14:textId="77777777" w:rsidR="00864BE6" w:rsidRDefault="00864BE6">
      <w:pPr>
        <w:pBdr>
          <w:top w:val="nil"/>
          <w:left w:val="nil"/>
          <w:bottom w:val="nil"/>
          <w:right w:val="nil"/>
          <w:between w:val="nil"/>
        </w:pBdr>
        <w:spacing w:before="1"/>
        <w:rPr>
          <w:b/>
          <w:sz w:val="24"/>
          <w:szCs w:val="24"/>
          <w:u w:val="single"/>
        </w:rPr>
      </w:pPr>
    </w:p>
    <w:tbl>
      <w:tblPr>
        <w:tblStyle w:val="ab"/>
        <w:tblW w:w="10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992"/>
        <w:gridCol w:w="1403"/>
        <w:gridCol w:w="2011"/>
        <w:gridCol w:w="1268"/>
        <w:gridCol w:w="3055"/>
      </w:tblGrid>
      <w:tr w:rsidR="00864BE6" w14:paraId="6E3EFD59" w14:textId="77777777" w:rsidTr="00E17744">
        <w:trPr>
          <w:trHeight w:val="542"/>
          <w:tblHeader/>
        </w:trPr>
        <w:tc>
          <w:tcPr>
            <w:tcW w:w="1701" w:type="dxa"/>
            <w:shd w:val="clear" w:color="auto" w:fill="1F4E79"/>
          </w:tcPr>
          <w:p w14:paraId="2E067C66" w14:textId="77777777" w:rsidR="00864BE6" w:rsidRDefault="00E17744">
            <w:pPr>
              <w:spacing w:before="1"/>
              <w:rPr>
                <w:b/>
                <w:color w:val="FFFFFF"/>
                <w:sz w:val="20"/>
                <w:szCs w:val="20"/>
              </w:rPr>
            </w:pPr>
            <w:bookmarkStart w:id="5" w:name="_heading=h.tyjcwt" w:colFirst="0" w:colLast="0"/>
            <w:bookmarkEnd w:id="5"/>
            <w:r>
              <w:rPr>
                <w:b/>
                <w:color w:val="FFFFFF"/>
                <w:sz w:val="20"/>
                <w:szCs w:val="20"/>
              </w:rPr>
              <w:t>Current Occupation</w:t>
            </w:r>
          </w:p>
        </w:tc>
        <w:tc>
          <w:tcPr>
            <w:tcW w:w="992" w:type="dxa"/>
            <w:shd w:val="clear" w:color="auto" w:fill="1F4E79"/>
          </w:tcPr>
          <w:p w14:paraId="49DF15CB" w14:textId="77777777" w:rsidR="00864BE6" w:rsidRDefault="00E17744">
            <w:pPr>
              <w:spacing w:before="1"/>
              <w:rPr>
                <w:b/>
                <w:color w:val="FFFFFF"/>
                <w:sz w:val="20"/>
                <w:szCs w:val="20"/>
              </w:rPr>
            </w:pPr>
            <w:r>
              <w:rPr>
                <w:b/>
                <w:color w:val="FFFFFF"/>
                <w:sz w:val="20"/>
                <w:szCs w:val="20"/>
              </w:rPr>
              <w:t>Director Since</w:t>
            </w:r>
          </w:p>
        </w:tc>
        <w:tc>
          <w:tcPr>
            <w:tcW w:w="1403" w:type="dxa"/>
            <w:shd w:val="clear" w:color="auto" w:fill="1F4E79"/>
          </w:tcPr>
          <w:p w14:paraId="0E53E431" w14:textId="77777777" w:rsidR="00864BE6" w:rsidRDefault="00E17744">
            <w:pPr>
              <w:spacing w:before="1"/>
              <w:rPr>
                <w:b/>
                <w:color w:val="FFFFFF"/>
                <w:sz w:val="20"/>
                <w:szCs w:val="20"/>
              </w:rPr>
            </w:pPr>
            <w:r>
              <w:rPr>
                <w:b/>
                <w:color w:val="FFFFFF"/>
                <w:sz w:val="20"/>
                <w:szCs w:val="20"/>
              </w:rPr>
              <w:t>Committees</w:t>
            </w:r>
          </w:p>
        </w:tc>
        <w:tc>
          <w:tcPr>
            <w:tcW w:w="2011" w:type="dxa"/>
            <w:shd w:val="clear" w:color="auto" w:fill="1F4E79"/>
          </w:tcPr>
          <w:p w14:paraId="4365DE4D" w14:textId="77777777" w:rsidR="00864BE6" w:rsidRDefault="00E17744">
            <w:pPr>
              <w:spacing w:before="1"/>
              <w:rPr>
                <w:b/>
                <w:color w:val="FFFFFF"/>
                <w:sz w:val="20"/>
                <w:szCs w:val="20"/>
              </w:rPr>
            </w:pPr>
            <w:r>
              <w:rPr>
                <w:b/>
                <w:color w:val="FFFFFF"/>
                <w:sz w:val="20"/>
                <w:szCs w:val="20"/>
              </w:rPr>
              <w:t>Other Public Boards</w:t>
            </w:r>
          </w:p>
        </w:tc>
        <w:tc>
          <w:tcPr>
            <w:tcW w:w="1268" w:type="dxa"/>
            <w:shd w:val="clear" w:color="auto" w:fill="1F4E79"/>
          </w:tcPr>
          <w:p w14:paraId="360E1A26" w14:textId="77777777" w:rsidR="00864BE6" w:rsidRDefault="00E17744">
            <w:pPr>
              <w:spacing w:before="1"/>
              <w:rPr>
                <w:b/>
                <w:color w:val="FFFFFF"/>
                <w:sz w:val="20"/>
                <w:szCs w:val="20"/>
              </w:rPr>
            </w:pPr>
            <w:r>
              <w:rPr>
                <w:b/>
                <w:color w:val="FFFFFF"/>
                <w:sz w:val="20"/>
                <w:szCs w:val="20"/>
              </w:rPr>
              <w:t>Ownership Share</w:t>
            </w:r>
          </w:p>
        </w:tc>
        <w:tc>
          <w:tcPr>
            <w:tcW w:w="3055" w:type="dxa"/>
            <w:shd w:val="clear" w:color="auto" w:fill="1F4E79"/>
          </w:tcPr>
          <w:p w14:paraId="560DE60A" w14:textId="40D808B3" w:rsidR="00864BE6" w:rsidRDefault="00E17744">
            <w:pPr>
              <w:spacing w:before="1"/>
              <w:rPr>
                <w:b/>
                <w:color w:val="FFFFFF"/>
                <w:sz w:val="20"/>
                <w:szCs w:val="20"/>
              </w:rPr>
            </w:pPr>
            <w:r>
              <w:rPr>
                <w:b/>
                <w:color w:val="FFFFFF"/>
                <w:sz w:val="20"/>
                <w:szCs w:val="20"/>
              </w:rPr>
              <w:t xml:space="preserve">Why is the Director a </w:t>
            </w:r>
            <w:r>
              <w:rPr>
                <w:b/>
                <w:color w:val="FFFFFF"/>
                <w:sz w:val="20"/>
                <w:szCs w:val="20"/>
              </w:rPr>
              <w:br/>
              <w:t>Good Fit?</w:t>
            </w:r>
          </w:p>
        </w:tc>
      </w:tr>
      <w:tr w:rsidR="00864BE6" w14:paraId="2EB4681A" w14:textId="77777777">
        <w:trPr>
          <w:trHeight w:val="305"/>
        </w:trPr>
        <w:tc>
          <w:tcPr>
            <w:tcW w:w="10430" w:type="dxa"/>
            <w:gridSpan w:val="6"/>
            <w:shd w:val="clear" w:color="auto" w:fill="FFD965"/>
          </w:tcPr>
          <w:p w14:paraId="018A38DF" w14:textId="77777777" w:rsidR="00864BE6" w:rsidRDefault="00E17744">
            <w:pPr>
              <w:spacing w:before="1"/>
              <w:jc w:val="center"/>
              <w:rPr>
                <w:b/>
                <w:i/>
                <w:sz w:val="20"/>
                <w:szCs w:val="20"/>
              </w:rPr>
            </w:pPr>
            <w:bookmarkStart w:id="6" w:name="_heading=h.3dy6vkm" w:colFirst="0" w:colLast="0"/>
            <w:bookmarkEnd w:id="6"/>
            <w:r>
              <w:rPr>
                <w:b/>
                <w:i/>
                <w:sz w:val="20"/>
                <w:szCs w:val="20"/>
              </w:rPr>
              <w:t>Richard H. Carmona, M.D.</w:t>
            </w:r>
          </w:p>
        </w:tc>
      </w:tr>
      <w:tr w:rsidR="00864BE6" w14:paraId="5702B081" w14:textId="77777777" w:rsidTr="00E17744">
        <w:trPr>
          <w:trHeight w:val="1709"/>
        </w:trPr>
        <w:tc>
          <w:tcPr>
            <w:tcW w:w="1701" w:type="dxa"/>
          </w:tcPr>
          <w:p w14:paraId="5A0A83EA" w14:textId="77777777" w:rsidR="00864BE6" w:rsidRDefault="00E17744">
            <w:pPr>
              <w:spacing w:before="1"/>
              <w:rPr>
                <w:sz w:val="18"/>
                <w:szCs w:val="18"/>
              </w:rPr>
            </w:pPr>
            <w:r>
              <w:rPr>
                <w:sz w:val="18"/>
                <w:szCs w:val="18"/>
              </w:rPr>
              <w:t xml:space="preserve">Chief of Health Innovations of Canyon Ranch, Inc. </w:t>
            </w:r>
          </w:p>
          <w:p w14:paraId="60737E83" w14:textId="77777777" w:rsidR="00864BE6" w:rsidRDefault="00864BE6">
            <w:pPr>
              <w:spacing w:before="1"/>
              <w:rPr>
                <w:sz w:val="18"/>
                <w:szCs w:val="18"/>
              </w:rPr>
            </w:pPr>
          </w:p>
          <w:p w14:paraId="49C9494C" w14:textId="77777777" w:rsidR="00864BE6" w:rsidRDefault="00E17744">
            <w:pPr>
              <w:spacing w:before="1"/>
              <w:rPr>
                <w:sz w:val="18"/>
                <w:szCs w:val="18"/>
              </w:rPr>
            </w:pPr>
            <w:r>
              <w:rPr>
                <w:sz w:val="18"/>
                <w:szCs w:val="18"/>
              </w:rPr>
              <w:t>17th Surgeon General of the United States</w:t>
            </w:r>
          </w:p>
        </w:tc>
        <w:tc>
          <w:tcPr>
            <w:tcW w:w="992" w:type="dxa"/>
          </w:tcPr>
          <w:p w14:paraId="4A0DBD0E" w14:textId="77777777" w:rsidR="00864BE6" w:rsidRDefault="00E17744">
            <w:pPr>
              <w:spacing w:before="1"/>
              <w:rPr>
                <w:sz w:val="18"/>
                <w:szCs w:val="18"/>
              </w:rPr>
            </w:pPr>
            <w:r>
              <w:rPr>
                <w:sz w:val="18"/>
                <w:szCs w:val="18"/>
              </w:rPr>
              <w:t>2021</w:t>
            </w:r>
          </w:p>
        </w:tc>
        <w:tc>
          <w:tcPr>
            <w:tcW w:w="1403" w:type="dxa"/>
          </w:tcPr>
          <w:p w14:paraId="0C1A90C4" w14:textId="77777777" w:rsidR="00864BE6" w:rsidRDefault="00E17744">
            <w:pPr>
              <w:spacing w:before="1"/>
              <w:rPr>
                <w:sz w:val="18"/>
                <w:szCs w:val="18"/>
              </w:rPr>
            </w:pPr>
            <w:r>
              <w:rPr>
                <w:sz w:val="18"/>
                <w:szCs w:val="18"/>
              </w:rPr>
              <w:t>Compensation</w:t>
            </w:r>
          </w:p>
          <w:p w14:paraId="72305809" w14:textId="77777777" w:rsidR="00864BE6" w:rsidRDefault="00864BE6">
            <w:pPr>
              <w:spacing w:before="1"/>
              <w:rPr>
                <w:sz w:val="18"/>
                <w:szCs w:val="18"/>
              </w:rPr>
            </w:pPr>
          </w:p>
          <w:p w14:paraId="43AE513F" w14:textId="77777777" w:rsidR="00864BE6" w:rsidRDefault="00E17744">
            <w:pPr>
              <w:spacing w:before="1"/>
              <w:rPr>
                <w:sz w:val="18"/>
                <w:szCs w:val="18"/>
              </w:rPr>
            </w:pPr>
            <w:r>
              <w:rPr>
                <w:sz w:val="18"/>
                <w:szCs w:val="18"/>
              </w:rPr>
              <w:t>Compliance</w:t>
            </w:r>
          </w:p>
        </w:tc>
        <w:tc>
          <w:tcPr>
            <w:tcW w:w="2011" w:type="dxa"/>
          </w:tcPr>
          <w:p w14:paraId="116FC105" w14:textId="77777777" w:rsidR="00864BE6" w:rsidRDefault="00E17744">
            <w:pPr>
              <w:spacing w:before="1"/>
              <w:rPr>
                <w:sz w:val="18"/>
                <w:szCs w:val="18"/>
              </w:rPr>
            </w:pPr>
            <w:r>
              <w:rPr>
                <w:sz w:val="18"/>
                <w:szCs w:val="18"/>
              </w:rPr>
              <w:t>Clorox Company</w:t>
            </w:r>
          </w:p>
          <w:p w14:paraId="074C9C36" w14:textId="77777777" w:rsidR="00864BE6" w:rsidRDefault="00864BE6">
            <w:pPr>
              <w:spacing w:before="1"/>
              <w:rPr>
                <w:sz w:val="18"/>
                <w:szCs w:val="18"/>
              </w:rPr>
            </w:pPr>
          </w:p>
          <w:p w14:paraId="21116A5B" w14:textId="77777777" w:rsidR="00864BE6" w:rsidRDefault="00E17744">
            <w:pPr>
              <w:spacing w:before="1"/>
              <w:rPr>
                <w:sz w:val="18"/>
                <w:szCs w:val="18"/>
              </w:rPr>
            </w:pPr>
            <w:r>
              <w:rPr>
                <w:sz w:val="18"/>
                <w:szCs w:val="18"/>
              </w:rPr>
              <w:t>Herbalife Nutrition, Ltd</w:t>
            </w:r>
          </w:p>
          <w:p w14:paraId="3429FB61" w14:textId="77777777" w:rsidR="00864BE6" w:rsidRDefault="00864BE6">
            <w:pPr>
              <w:spacing w:before="1"/>
              <w:rPr>
                <w:sz w:val="18"/>
                <w:szCs w:val="18"/>
              </w:rPr>
            </w:pPr>
          </w:p>
          <w:p w14:paraId="499D754E" w14:textId="77777777" w:rsidR="00864BE6" w:rsidRDefault="00E17744">
            <w:pPr>
              <w:spacing w:before="1"/>
              <w:rPr>
                <w:sz w:val="18"/>
                <w:szCs w:val="18"/>
              </w:rPr>
            </w:pPr>
            <w:r>
              <w:rPr>
                <w:sz w:val="18"/>
                <w:szCs w:val="18"/>
              </w:rPr>
              <w:t>Better Therapeutics</w:t>
            </w:r>
          </w:p>
        </w:tc>
        <w:tc>
          <w:tcPr>
            <w:tcW w:w="1268" w:type="dxa"/>
          </w:tcPr>
          <w:p w14:paraId="38AA0C99" w14:textId="77777777" w:rsidR="00864BE6" w:rsidRDefault="00E17744">
            <w:pPr>
              <w:spacing w:before="1"/>
              <w:rPr>
                <w:sz w:val="18"/>
                <w:szCs w:val="18"/>
              </w:rPr>
            </w:pPr>
            <w:r>
              <w:rPr>
                <w:sz w:val="18"/>
                <w:szCs w:val="18"/>
              </w:rPr>
              <w:t>762</w:t>
            </w:r>
          </w:p>
        </w:tc>
        <w:tc>
          <w:tcPr>
            <w:tcW w:w="3055" w:type="dxa"/>
          </w:tcPr>
          <w:p w14:paraId="6EB22C8F" w14:textId="77777777" w:rsidR="00864BE6" w:rsidRDefault="00E17744">
            <w:pPr>
              <w:spacing w:before="1"/>
              <w:rPr>
                <w:sz w:val="18"/>
                <w:szCs w:val="18"/>
              </w:rPr>
            </w:pPr>
            <w:r>
              <w:rPr>
                <w:sz w:val="18"/>
                <w:szCs w:val="18"/>
              </w:rPr>
              <w:t>17th U.S. Surgeon General</w:t>
            </w:r>
          </w:p>
          <w:p w14:paraId="44646821" w14:textId="77777777" w:rsidR="00864BE6" w:rsidRDefault="00864BE6">
            <w:pPr>
              <w:spacing w:before="1"/>
              <w:rPr>
                <w:sz w:val="18"/>
                <w:szCs w:val="18"/>
              </w:rPr>
            </w:pPr>
          </w:p>
          <w:p w14:paraId="5AFB8F55" w14:textId="77777777" w:rsidR="00864BE6" w:rsidRDefault="00E17744">
            <w:pPr>
              <w:spacing w:before="1"/>
              <w:rPr>
                <w:sz w:val="18"/>
                <w:szCs w:val="18"/>
                <w:u w:val="single"/>
              </w:rPr>
            </w:pPr>
            <w:r>
              <w:rPr>
                <w:sz w:val="18"/>
                <w:szCs w:val="18"/>
              </w:rPr>
              <w:t xml:space="preserve">On several board of directors </w:t>
            </w:r>
          </w:p>
          <w:p w14:paraId="7FB68572" w14:textId="77777777" w:rsidR="00864BE6" w:rsidRDefault="00E17744">
            <w:pPr>
              <w:spacing w:before="1"/>
              <w:rPr>
                <w:sz w:val="18"/>
                <w:szCs w:val="18"/>
              </w:rPr>
            </w:pPr>
            <w:r>
              <w:rPr>
                <w:sz w:val="18"/>
                <w:szCs w:val="18"/>
              </w:rPr>
              <w:t>since 2007</w:t>
            </w:r>
          </w:p>
          <w:p w14:paraId="182A50E4" w14:textId="77777777" w:rsidR="00864BE6" w:rsidRDefault="00864BE6">
            <w:pPr>
              <w:spacing w:before="1"/>
              <w:rPr>
                <w:sz w:val="18"/>
                <w:szCs w:val="18"/>
              </w:rPr>
            </w:pPr>
          </w:p>
          <w:p w14:paraId="2A6DF2A7" w14:textId="77777777" w:rsidR="00864BE6" w:rsidRDefault="00E17744">
            <w:pPr>
              <w:spacing w:before="1"/>
              <w:rPr>
                <w:sz w:val="18"/>
                <w:szCs w:val="18"/>
              </w:rPr>
            </w:pPr>
            <w:r>
              <w:rPr>
                <w:sz w:val="18"/>
                <w:szCs w:val="18"/>
              </w:rPr>
              <w:t>International and domestic healthcare experience</w:t>
            </w:r>
          </w:p>
        </w:tc>
      </w:tr>
      <w:tr w:rsidR="00864BE6" w14:paraId="5E13FEE2" w14:textId="77777777" w:rsidTr="00FB7352">
        <w:trPr>
          <w:trHeight w:val="332"/>
        </w:trPr>
        <w:tc>
          <w:tcPr>
            <w:tcW w:w="10430" w:type="dxa"/>
            <w:gridSpan w:val="6"/>
            <w:tcBorders>
              <w:bottom w:val="single" w:sz="8" w:space="0" w:color="000000"/>
            </w:tcBorders>
            <w:shd w:val="clear" w:color="auto" w:fill="FFD965"/>
          </w:tcPr>
          <w:p w14:paraId="1D3A3BC7" w14:textId="77777777" w:rsidR="00864BE6" w:rsidRDefault="00E17744">
            <w:pPr>
              <w:spacing w:before="1"/>
              <w:jc w:val="center"/>
              <w:rPr>
                <w:b/>
                <w:i/>
                <w:sz w:val="20"/>
                <w:szCs w:val="20"/>
              </w:rPr>
            </w:pPr>
            <w:bookmarkStart w:id="7" w:name="_heading=h.1t3h5sf" w:colFirst="0" w:colLast="0"/>
            <w:bookmarkEnd w:id="7"/>
            <w:r>
              <w:rPr>
                <w:b/>
                <w:i/>
                <w:sz w:val="20"/>
                <w:szCs w:val="20"/>
              </w:rPr>
              <w:t>Dominic J. Caruso</w:t>
            </w:r>
          </w:p>
        </w:tc>
      </w:tr>
      <w:tr w:rsidR="00864BE6" w14:paraId="49022447" w14:textId="77777777" w:rsidTr="00E17744">
        <w:trPr>
          <w:trHeight w:val="1843"/>
        </w:trPr>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402609C8" w14:textId="77777777" w:rsidR="00864BE6" w:rsidRDefault="00E17744">
            <w:pPr>
              <w:spacing w:before="1"/>
              <w:rPr>
                <w:b/>
                <w:sz w:val="18"/>
                <w:szCs w:val="18"/>
                <w:u w:val="single"/>
              </w:rPr>
            </w:pPr>
            <w:r>
              <w:rPr>
                <w:color w:val="000000"/>
                <w:sz w:val="18"/>
                <w:szCs w:val="18"/>
              </w:rPr>
              <w:t>Retired EVP &amp; CFO,</w:t>
            </w:r>
            <w:r>
              <w:rPr>
                <w:color w:val="000000"/>
                <w:sz w:val="18"/>
                <w:szCs w:val="18"/>
              </w:rPr>
              <w:br/>
              <w:t>Johnson &amp; Johnson</w:t>
            </w:r>
          </w:p>
        </w:tc>
        <w:tc>
          <w:tcPr>
            <w:tcW w:w="992" w:type="dxa"/>
            <w:tcBorders>
              <w:top w:val="single" w:sz="8" w:space="0" w:color="000000"/>
              <w:left w:val="nil"/>
              <w:bottom w:val="single" w:sz="8" w:space="0" w:color="000000"/>
              <w:right w:val="single" w:sz="8" w:space="0" w:color="000000"/>
            </w:tcBorders>
            <w:shd w:val="clear" w:color="auto" w:fill="auto"/>
          </w:tcPr>
          <w:p w14:paraId="0E5203CB" w14:textId="77777777" w:rsidR="00864BE6" w:rsidRDefault="00E17744">
            <w:pPr>
              <w:spacing w:before="1"/>
              <w:rPr>
                <w:b/>
                <w:sz w:val="18"/>
                <w:szCs w:val="18"/>
                <w:u w:val="single"/>
              </w:rPr>
            </w:pPr>
            <w:r>
              <w:rPr>
                <w:color w:val="000000"/>
                <w:sz w:val="18"/>
                <w:szCs w:val="18"/>
              </w:rPr>
              <w:t>2018</w:t>
            </w:r>
          </w:p>
        </w:tc>
        <w:tc>
          <w:tcPr>
            <w:tcW w:w="1403" w:type="dxa"/>
            <w:tcBorders>
              <w:top w:val="single" w:sz="8" w:space="0" w:color="000000"/>
              <w:left w:val="nil"/>
              <w:bottom w:val="single" w:sz="8" w:space="0" w:color="000000"/>
              <w:right w:val="single" w:sz="8" w:space="0" w:color="000000"/>
            </w:tcBorders>
            <w:shd w:val="clear" w:color="auto" w:fill="auto"/>
          </w:tcPr>
          <w:p w14:paraId="7B6836D1" w14:textId="77777777" w:rsidR="00864BE6" w:rsidRDefault="00E17744">
            <w:pPr>
              <w:spacing w:before="1"/>
              <w:rPr>
                <w:color w:val="000000"/>
                <w:sz w:val="18"/>
                <w:szCs w:val="18"/>
              </w:rPr>
            </w:pPr>
            <w:r>
              <w:rPr>
                <w:color w:val="000000"/>
                <w:sz w:val="18"/>
                <w:szCs w:val="18"/>
              </w:rPr>
              <w:t>Audit (Chair)</w:t>
            </w:r>
            <w:r>
              <w:rPr>
                <w:color w:val="000000"/>
                <w:sz w:val="18"/>
                <w:szCs w:val="18"/>
              </w:rPr>
              <w:br/>
            </w:r>
          </w:p>
          <w:p w14:paraId="680BF958" w14:textId="77777777" w:rsidR="00864BE6" w:rsidRDefault="00E17744">
            <w:pPr>
              <w:spacing w:before="1"/>
              <w:rPr>
                <w:b/>
                <w:sz w:val="18"/>
                <w:szCs w:val="18"/>
                <w:u w:val="single"/>
              </w:rPr>
            </w:pPr>
            <w:r>
              <w:rPr>
                <w:color w:val="000000"/>
                <w:sz w:val="18"/>
                <w:szCs w:val="18"/>
              </w:rPr>
              <w:t>Compliance</w:t>
            </w:r>
          </w:p>
        </w:tc>
        <w:tc>
          <w:tcPr>
            <w:tcW w:w="2011" w:type="dxa"/>
            <w:tcBorders>
              <w:top w:val="single" w:sz="8" w:space="0" w:color="000000"/>
              <w:left w:val="nil"/>
              <w:bottom w:val="single" w:sz="8" w:space="0" w:color="000000"/>
              <w:right w:val="single" w:sz="8" w:space="0" w:color="000000"/>
            </w:tcBorders>
            <w:shd w:val="clear" w:color="auto" w:fill="auto"/>
          </w:tcPr>
          <w:p w14:paraId="2E6983E7" w14:textId="77777777" w:rsidR="00864BE6" w:rsidRDefault="00E17744">
            <w:pPr>
              <w:spacing w:before="1"/>
              <w:rPr>
                <w:b/>
                <w:sz w:val="18"/>
                <w:szCs w:val="18"/>
                <w:u w:val="single"/>
              </w:rPr>
            </w:pPr>
            <w:r>
              <w:rPr>
                <w:color w:val="000000"/>
                <w:sz w:val="18"/>
                <w:szCs w:val="18"/>
              </w:rPr>
              <w:t>Kyndryl Holdings, Inc</w:t>
            </w:r>
          </w:p>
        </w:tc>
        <w:tc>
          <w:tcPr>
            <w:tcW w:w="1268" w:type="dxa"/>
            <w:tcBorders>
              <w:top w:val="single" w:sz="8" w:space="0" w:color="000000"/>
              <w:left w:val="nil"/>
              <w:bottom w:val="single" w:sz="8" w:space="0" w:color="000000"/>
              <w:right w:val="single" w:sz="8" w:space="0" w:color="000000"/>
            </w:tcBorders>
            <w:shd w:val="clear" w:color="auto" w:fill="auto"/>
          </w:tcPr>
          <w:p w14:paraId="20F61414" w14:textId="77777777" w:rsidR="00864BE6" w:rsidRDefault="00E17744">
            <w:pPr>
              <w:spacing w:before="1"/>
              <w:rPr>
                <w:b/>
                <w:sz w:val="18"/>
                <w:szCs w:val="18"/>
                <w:u w:val="single"/>
              </w:rPr>
            </w:pPr>
            <w:r>
              <w:rPr>
                <w:color w:val="000000"/>
                <w:sz w:val="18"/>
                <w:szCs w:val="18"/>
              </w:rPr>
              <w:t>4,535</w:t>
            </w:r>
          </w:p>
        </w:tc>
        <w:tc>
          <w:tcPr>
            <w:tcW w:w="3055" w:type="dxa"/>
            <w:tcBorders>
              <w:top w:val="single" w:sz="8" w:space="0" w:color="000000"/>
              <w:left w:val="nil"/>
              <w:bottom w:val="single" w:sz="8" w:space="0" w:color="000000"/>
              <w:right w:val="single" w:sz="8" w:space="0" w:color="000000"/>
            </w:tcBorders>
            <w:shd w:val="clear" w:color="auto" w:fill="auto"/>
          </w:tcPr>
          <w:p w14:paraId="1B6D10F8" w14:textId="77777777" w:rsidR="00864BE6" w:rsidRDefault="00E17744">
            <w:pPr>
              <w:spacing w:before="1"/>
              <w:rPr>
                <w:color w:val="000000"/>
                <w:sz w:val="18"/>
                <w:szCs w:val="18"/>
              </w:rPr>
            </w:pPr>
            <w:r>
              <w:rPr>
                <w:color w:val="000000"/>
                <w:sz w:val="18"/>
                <w:szCs w:val="18"/>
              </w:rPr>
              <w:t>Former CFO of Johnson &amp; Johnson (2007-2018)</w:t>
            </w:r>
            <w:r>
              <w:rPr>
                <w:color w:val="000000"/>
                <w:sz w:val="18"/>
                <w:szCs w:val="18"/>
              </w:rPr>
              <w:br/>
            </w:r>
          </w:p>
          <w:p w14:paraId="4230BB6E" w14:textId="77777777" w:rsidR="00864BE6" w:rsidRDefault="00E17744">
            <w:pPr>
              <w:spacing w:before="1"/>
              <w:rPr>
                <w:color w:val="000000"/>
                <w:sz w:val="18"/>
                <w:szCs w:val="18"/>
              </w:rPr>
            </w:pPr>
            <w:r>
              <w:rPr>
                <w:color w:val="000000"/>
                <w:sz w:val="18"/>
                <w:szCs w:val="18"/>
              </w:rPr>
              <w:t>Board of Trustees - Children's Hospital of Philadelphia</w:t>
            </w:r>
            <w:r>
              <w:rPr>
                <w:color w:val="000000"/>
                <w:sz w:val="18"/>
                <w:szCs w:val="18"/>
              </w:rPr>
              <w:br/>
            </w:r>
          </w:p>
          <w:p w14:paraId="629353C9" w14:textId="77777777" w:rsidR="00864BE6" w:rsidRDefault="00E17744">
            <w:pPr>
              <w:spacing w:before="1"/>
              <w:rPr>
                <w:b/>
                <w:sz w:val="18"/>
                <w:szCs w:val="18"/>
                <w:u w:val="single"/>
              </w:rPr>
            </w:pPr>
            <w:r>
              <w:rPr>
                <w:color w:val="000000"/>
                <w:sz w:val="18"/>
                <w:szCs w:val="18"/>
              </w:rPr>
              <w:t>Experience with financial and compliance risk oversight</w:t>
            </w:r>
          </w:p>
        </w:tc>
      </w:tr>
      <w:tr w:rsidR="00864BE6" w14:paraId="35636429" w14:textId="77777777">
        <w:trPr>
          <w:trHeight w:val="286"/>
        </w:trPr>
        <w:tc>
          <w:tcPr>
            <w:tcW w:w="10430" w:type="dxa"/>
            <w:gridSpan w:val="6"/>
            <w:shd w:val="clear" w:color="auto" w:fill="FFD965"/>
          </w:tcPr>
          <w:p w14:paraId="7236A4F6" w14:textId="77777777" w:rsidR="00864BE6" w:rsidRDefault="00E17744">
            <w:pPr>
              <w:spacing w:before="1"/>
              <w:jc w:val="center"/>
              <w:rPr>
                <w:b/>
                <w:i/>
                <w:sz w:val="20"/>
                <w:szCs w:val="20"/>
              </w:rPr>
            </w:pPr>
            <w:bookmarkStart w:id="8" w:name="_heading=h.4d34og8" w:colFirst="0" w:colLast="0"/>
            <w:bookmarkEnd w:id="8"/>
            <w:r>
              <w:rPr>
                <w:b/>
                <w:i/>
                <w:sz w:val="20"/>
                <w:szCs w:val="20"/>
              </w:rPr>
              <w:t>W. Roy Dunbar</w:t>
            </w:r>
          </w:p>
        </w:tc>
      </w:tr>
      <w:tr w:rsidR="00864BE6" w14:paraId="0C8B2FAF" w14:textId="77777777" w:rsidTr="00E17744">
        <w:trPr>
          <w:trHeight w:val="1871"/>
        </w:trPr>
        <w:tc>
          <w:tcPr>
            <w:tcW w:w="1701" w:type="dxa"/>
          </w:tcPr>
          <w:p w14:paraId="410636DC" w14:textId="77777777" w:rsidR="00864BE6" w:rsidRDefault="00E17744">
            <w:pPr>
              <w:spacing w:before="1"/>
              <w:rPr>
                <w:b/>
                <w:sz w:val="18"/>
                <w:szCs w:val="18"/>
                <w:u w:val="single"/>
              </w:rPr>
            </w:pPr>
            <w:r>
              <w:rPr>
                <w:color w:val="000000"/>
                <w:sz w:val="18"/>
                <w:szCs w:val="18"/>
              </w:rPr>
              <w:t>Retired CEO &amp; Chairman,</w:t>
            </w:r>
            <w:r>
              <w:rPr>
                <w:color w:val="000000"/>
                <w:sz w:val="18"/>
                <w:szCs w:val="18"/>
              </w:rPr>
              <w:br/>
              <w:t>Network Solutions, LLC</w:t>
            </w:r>
          </w:p>
        </w:tc>
        <w:tc>
          <w:tcPr>
            <w:tcW w:w="992" w:type="dxa"/>
          </w:tcPr>
          <w:p w14:paraId="26737814" w14:textId="77777777" w:rsidR="00864BE6" w:rsidRDefault="00E17744">
            <w:pPr>
              <w:spacing w:before="1"/>
              <w:rPr>
                <w:b/>
                <w:sz w:val="18"/>
                <w:szCs w:val="18"/>
                <w:u w:val="single"/>
              </w:rPr>
            </w:pPr>
            <w:r>
              <w:rPr>
                <w:color w:val="000000"/>
                <w:sz w:val="18"/>
                <w:szCs w:val="18"/>
              </w:rPr>
              <w:t>2022</w:t>
            </w:r>
          </w:p>
        </w:tc>
        <w:tc>
          <w:tcPr>
            <w:tcW w:w="1403" w:type="dxa"/>
          </w:tcPr>
          <w:p w14:paraId="36D26F28" w14:textId="77777777" w:rsidR="00864BE6" w:rsidRDefault="00E17744">
            <w:pPr>
              <w:spacing w:before="1"/>
              <w:rPr>
                <w:color w:val="000000"/>
                <w:sz w:val="18"/>
                <w:szCs w:val="18"/>
              </w:rPr>
            </w:pPr>
            <w:r>
              <w:rPr>
                <w:color w:val="000000"/>
                <w:sz w:val="18"/>
                <w:szCs w:val="18"/>
              </w:rPr>
              <w:t>Audit</w:t>
            </w:r>
            <w:r>
              <w:rPr>
                <w:color w:val="000000"/>
                <w:sz w:val="18"/>
                <w:szCs w:val="18"/>
              </w:rPr>
              <w:br/>
            </w:r>
          </w:p>
          <w:p w14:paraId="41FF2DD8" w14:textId="77777777" w:rsidR="00864BE6" w:rsidRDefault="00E17744">
            <w:pPr>
              <w:spacing w:before="1"/>
              <w:rPr>
                <w:b/>
                <w:sz w:val="18"/>
                <w:szCs w:val="18"/>
                <w:u w:val="single"/>
              </w:rPr>
            </w:pPr>
            <w:r>
              <w:rPr>
                <w:color w:val="000000"/>
                <w:sz w:val="18"/>
                <w:szCs w:val="18"/>
              </w:rPr>
              <w:t>Governance</w:t>
            </w:r>
          </w:p>
        </w:tc>
        <w:tc>
          <w:tcPr>
            <w:tcW w:w="2011" w:type="dxa"/>
          </w:tcPr>
          <w:p w14:paraId="758E88EA" w14:textId="77777777" w:rsidR="00864BE6" w:rsidRDefault="00E17744">
            <w:pPr>
              <w:spacing w:before="1"/>
              <w:rPr>
                <w:color w:val="000000"/>
                <w:sz w:val="18"/>
                <w:szCs w:val="18"/>
              </w:rPr>
            </w:pPr>
            <w:r>
              <w:rPr>
                <w:color w:val="000000"/>
                <w:sz w:val="18"/>
                <w:szCs w:val="18"/>
              </w:rPr>
              <w:t>SiteOne Landscape Supply, Inc</w:t>
            </w:r>
            <w:r>
              <w:rPr>
                <w:color w:val="000000"/>
                <w:sz w:val="18"/>
                <w:szCs w:val="18"/>
              </w:rPr>
              <w:br/>
            </w:r>
          </w:p>
          <w:p w14:paraId="782763DA" w14:textId="77777777" w:rsidR="00864BE6" w:rsidRDefault="00E17744">
            <w:pPr>
              <w:spacing w:before="1"/>
              <w:rPr>
                <w:color w:val="000000"/>
                <w:sz w:val="18"/>
                <w:szCs w:val="18"/>
              </w:rPr>
            </w:pPr>
            <w:r>
              <w:rPr>
                <w:color w:val="000000"/>
                <w:sz w:val="18"/>
                <w:szCs w:val="18"/>
              </w:rPr>
              <w:t>Johnson Controls International, plc</w:t>
            </w:r>
            <w:r>
              <w:rPr>
                <w:color w:val="000000"/>
                <w:sz w:val="18"/>
                <w:szCs w:val="18"/>
              </w:rPr>
              <w:br/>
            </w:r>
          </w:p>
          <w:p w14:paraId="1A2EA34D" w14:textId="77777777" w:rsidR="00864BE6" w:rsidRDefault="00E17744">
            <w:pPr>
              <w:spacing w:before="1"/>
              <w:rPr>
                <w:b/>
                <w:sz w:val="18"/>
                <w:szCs w:val="18"/>
                <w:u w:val="single"/>
              </w:rPr>
            </w:pPr>
            <w:r>
              <w:rPr>
                <w:color w:val="000000"/>
                <w:sz w:val="18"/>
                <w:szCs w:val="18"/>
              </w:rPr>
              <w:t>Duke Energy Corp</w:t>
            </w:r>
          </w:p>
        </w:tc>
        <w:tc>
          <w:tcPr>
            <w:tcW w:w="1268" w:type="dxa"/>
          </w:tcPr>
          <w:p w14:paraId="0A3B7341" w14:textId="77777777" w:rsidR="00864BE6" w:rsidRDefault="00E17744">
            <w:pPr>
              <w:spacing w:before="1"/>
              <w:rPr>
                <w:b/>
                <w:sz w:val="18"/>
                <w:szCs w:val="18"/>
                <w:u w:val="single"/>
              </w:rPr>
            </w:pPr>
            <w:r>
              <w:rPr>
                <w:color w:val="000000"/>
                <w:sz w:val="18"/>
                <w:szCs w:val="18"/>
              </w:rPr>
              <w:t>169</w:t>
            </w:r>
          </w:p>
        </w:tc>
        <w:tc>
          <w:tcPr>
            <w:tcW w:w="3055" w:type="dxa"/>
          </w:tcPr>
          <w:p w14:paraId="25C13385" w14:textId="77777777" w:rsidR="00864BE6" w:rsidRDefault="00E17744">
            <w:pPr>
              <w:spacing w:before="1"/>
              <w:rPr>
                <w:color w:val="000000"/>
                <w:sz w:val="18"/>
                <w:szCs w:val="18"/>
              </w:rPr>
            </w:pPr>
            <w:r>
              <w:rPr>
                <w:color w:val="000000"/>
                <w:sz w:val="18"/>
                <w:szCs w:val="18"/>
              </w:rPr>
              <w:t>Diverse company experience (Network Solutions, MasterCard, Duke Energy, etc.)</w:t>
            </w:r>
            <w:r>
              <w:rPr>
                <w:color w:val="000000"/>
                <w:sz w:val="18"/>
                <w:szCs w:val="18"/>
              </w:rPr>
              <w:br/>
            </w:r>
          </w:p>
          <w:p w14:paraId="7FE243EA" w14:textId="77777777" w:rsidR="00864BE6" w:rsidRDefault="00E17744">
            <w:pPr>
              <w:spacing w:before="1"/>
              <w:rPr>
                <w:color w:val="000000"/>
                <w:sz w:val="18"/>
                <w:szCs w:val="18"/>
              </w:rPr>
            </w:pPr>
            <w:r>
              <w:rPr>
                <w:color w:val="000000"/>
                <w:sz w:val="18"/>
                <w:szCs w:val="18"/>
              </w:rPr>
              <w:t>Substantiality and ESG expert</w:t>
            </w:r>
            <w:r>
              <w:rPr>
                <w:color w:val="000000"/>
                <w:sz w:val="18"/>
                <w:szCs w:val="18"/>
              </w:rPr>
              <w:br/>
            </w:r>
          </w:p>
          <w:p w14:paraId="2654569B" w14:textId="77777777" w:rsidR="00864BE6" w:rsidRDefault="00E17744">
            <w:pPr>
              <w:spacing w:before="1"/>
              <w:rPr>
                <w:b/>
                <w:sz w:val="18"/>
                <w:szCs w:val="18"/>
                <w:u w:val="single"/>
              </w:rPr>
            </w:pPr>
            <w:r>
              <w:rPr>
                <w:color w:val="000000"/>
                <w:sz w:val="18"/>
                <w:szCs w:val="18"/>
              </w:rPr>
              <w:t>Experience with technology, operations, and healthcare</w:t>
            </w:r>
          </w:p>
        </w:tc>
      </w:tr>
      <w:tr w:rsidR="00864BE6" w14:paraId="6CB1D501" w14:textId="77777777">
        <w:trPr>
          <w:trHeight w:val="305"/>
        </w:trPr>
        <w:tc>
          <w:tcPr>
            <w:tcW w:w="10430" w:type="dxa"/>
            <w:gridSpan w:val="6"/>
            <w:shd w:val="clear" w:color="auto" w:fill="FFD965"/>
          </w:tcPr>
          <w:p w14:paraId="52B108F7" w14:textId="77777777" w:rsidR="00864BE6" w:rsidRDefault="00E17744">
            <w:pPr>
              <w:spacing w:before="1"/>
              <w:jc w:val="center"/>
              <w:rPr>
                <w:b/>
                <w:i/>
                <w:sz w:val="20"/>
                <w:szCs w:val="20"/>
              </w:rPr>
            </w:pPr>
            <w:r>
              <w:rPr>
                <w:b/>
                <w:i/>
                <w:sz w:val="20"/>
                <w:szCs w:val="20"/>
              </w:rPr>
              <w:t>James H. Hinton</w:t>
            </w:r>
          </w:p>
        </w:tc>
      </w:tr>
      <w:tr w:rsidR="00864BE6" w14:paraId="2E3CF610" w14:textId="77777777" w:rsidTr="00E17744">
        <w:trPr>
          <w:trHeight w:val="2267"/>
        </w:trPr>
        <w:tc>
          <w:tcPr>
            <w:tcW w:w="1701" w:type="dxa"/>
          </w:tcPr>
          <w:p w14:paraId="7D456911" w14:textId="77777777" w:rsidR="00864BE6" w:rsidRDefault="00E17744">
            <w:pPr>
              <w:spacing w:before="1"/>
              <w:rPr>
                <w:b/>
                <w:sz w:val="18"/>
                <w:szCs w:val="18"/>
                <w:u w:val="single"/>
              </w:rPr>
            </w:pPr>
            <w:r>
              <w:rPr>
                <w:color w:val="000000"/>
                <w:sz w:val="18"/>
                <w:szCs w:val="18"/>
              </w:rPr>
              <w:t xml:space="preserve">Operating Partner, </w:t>
            </w:r>
            <w:r>
              <w:rPr>
                <w:color w:val="000000"/>
                <w:sz w:val="18"/>
                <w:szCs w:val="18"/>
              </w:rPr>
              <w:br/>
              <w:t>Welsh Carson Anderson &amp; Stowe</w:t>
            </w:r>
          </w:p>
        </w:tc>
        <w:tc>
          <w:tcPr>
            <w:tcW w:w="992" w:type="dxa"/>
          </w:tcPr>
          <w:p w14:paraId="6ADCABFB" w14:textId="77777777" w:rsidR="00864BE6" w:rsidRDefault="00E17744">
            <w:pPr>
              <w:spacing w:before="1"/>
              <w:rPr>
                <w:b/>
                <w:sz w:val="18"/>
                <w:szCs w:val="18"/>
                <w:u w:val="single"/>
              </w:rPr>
            </w:pPr>
            <w:r>
              <w:rPr>
                <w:color w:val="000000"/>
                <w:sz w:val="18"/>
                <w:szCs w:val="18"/>
              </w:rPr>
              <w:t>2022</w:t>
            </w:r>
          </w:p>
        </w:tc>
        <w:tc>
          <w:tcPr>
            <w:tcW w:w="1403" w:type="dxa"/>
          </w:tcPr>
          <w:p w14:paraId="2EBEB14C" w14:textId="77777777" w:rsidR="00864BE6" w:rsidRDefault="00E17744">
            <w:pPr>
              <w:spacing w:before="1"/>
              <w:rPr>
                <w:color w:val="000000"/>
                <w:sz w:val="18"/>
                <w:szCs w:val="18"/>
              </w:rPr>
            </w:pPr>
            <w:r>
              <w:rPr>
                <w:color w:val="000000"/>
                <w:sz w:val="18"/>
                <w:szCs w:val="18"/>
              </w:rPr>
              <w:t>Compliance</w:t>
            </w:r>
            <w:r>
              <w:rPr>
                <w:color w:val="000000"/>
                <w:sz w:val="18"/>
                <w:szCs w:val="18"/>
              </w:rPr>
              <w:br/>
            </w:r>
          </w:p>
          <w:p w14:paraId="64A486DA" w14:textId="77777777" w:rsidR="00864BE6" w:rsidRDefault="00E17744">
            <w:pPr>
              <w:spacing w:before="1"/>
              <w:rPr>
                <w:b/>
                <w:sz w:val="18"/>
                <w:szCs w:val="18"/>
                <w:u w:val="single"/>
              </w:rPr>
            </w:pPr>
            <w:r>
              <w:rPr>
                <w:color w:val="000000"/>
                <w:sz w:val="18"/>
                <w:szCs w:val="18"/>
              </w:rPr>
              <w:t>Finance</w:t>
            </w:r>
          </w:p>
        </w:tc>
        <w:tc>
          <w:tcPr>
            <w:tcW w:w="2011" w:type="dxa"/>
          </w:tcPr>
          <w:p w14:paraId="16D635A9" w14:textId="77777777" w:rsidR="00864BE6" w:rsidRDefault="00E17744">
            <w:pPr>
              <w:spacing w:before="1"/>
              <w:rPr>
                <w:b/>
                <w:sz w:val="18"/>
                <w:szCs w:val="18"/>
                <w:u w:val="single"/>
              </w:rPr>
            </w:pPr>
            <w:r>
              <w:rPr>
                <w:color w:val="000000"/>
                <w:sz w:val="18"/>
                <w:szCs w:val="18"/>
              </w:rPr>
              <w:t>None</w:t>
            </w:r>
          </w:p>
        </w:tc>
        <w:tc>
          <w:tcPr>
            <w:tcW w:w="1268" w:type="dxa"/>
          </w:tcPr>
          <w:p w14:paraId="32D54D6B" w14:textId="77777777" w:rsidR="00864BE6" w:rsidRDefault="00E17744">
            <w:pPr>
              <w:spacing w:before="1"/>
              <w:rPr>
                <w:b/>
                <w:sz w:val="18"/>
                <w:szCs w:val="18"/>
                <w:u w:val="single"/>
              </w:rPr>
            </w:pPr>
            <w:r>
              <w:rPr>
                <w:color w:val="000000"/>
                <w:sz w:val="18"/>
                <w:szCs w:val="18"/>
              </w:rPr>
              <w:t>349</w:t>
            </w:r>
          </w:p>
        </w:tc>
        <w:tc>
          <w:tcPr>
            <w:tcW w:w="3055" w:type="dxa"/>
          </w:tcPr>
          <w:p w14:paraId="3C07BE1D" w14:textId="77777777" w:rsidR="00864BE6" w:rsidRDefault="00E17744">
            <w:pPr>
              <w:spacing w:before="1"/>
              <w:rPr>
                <w:color w:val="000000"/>
                <w:sz w:val="18"/>
                <w:szCs w:val="18"/>
              </w:rPr>
            </w:pPr>
            <w:r>
              <w:rPr>
                <w:color w:val="000000"/>
                <w:sz w:val="18"/>
                <w:szCs w:val="18"/>
              </w:rPr>
              <w:t>Former CEO of Baylor Scott &amp; White Health (2017-2021)</w:t>
            </w:r>
            <w:r>
              <w:rPr>
                <w:color w:val="000000"/>
                <w:sz w:val="18"/>
                <w:szCs w:val="18"/>
              </w:rPr>
              <w:br/>
            </w:r>
          </w:p>
          <w:p w14:paraId="101539E0" w14:textId="77777777" w:rsidR="00864BE6" w:rsidRDefault="00E17744">
            <w:pPr>
              <w:spacing w:before="1"/>
              <w:rPr>
                <w:color w:val="000000"/>
                <w:sz w:val="18"/>
                <w:szCs w:val="18"/>
              </w:rPr>
            </w:pPr>
            <w:r>
              <w:rPr>
                <w:color w:val="000000"/>
                <w:sz w:val="18"/>
                <w:szCs w:val="18"/>
              </w:rPr>
              <w:t>Former President and CEO of Presbyterian Healthcare Services</w:t>
            </w:r>
            <w:r>
              <w:rPr>
                <w:color w:val="000000"/>
                <w:sz w:val="18"/>
                <w:szCs w:val="18"/>
              </w:rPr>
              <w:br/>
              <w:t>(1983-2000)</w:t>
            </w:r>
            <w:r>
              <w:rPr>
                <w:color w:val="000000"/>
                <w:sz w:val="18"/>
                <w:szCs w:val="18"/>
              </w:rPr>
              <w:br/>
            </w:r>
          </w:p>
          <w:p w14:paraId="195A09F7" w14:textId="77777777" w:rsidR="00864BE6" w:rsidRDefault="00E17744">
            <w:pPr>
              <w:spacing w:before="1"/>
              <w:rPr>
                <w:b/>
                <w:sz w:val="18"/>
                <w:szCs w:val="18"/>
                <w:u w:val="single"/>
              </w:rPr>
            </w:pPr>
            <w:r>
              <w:rPr>
                <w:color w:val="000000"/>
                <w:sz w:val="18"/>
                <w:szCs w:val="18"/>
              </w:rPr>
              <w:t>Experience with healthcare operations, compliance, and integrated systems</w:t>
            </w:r>
          </w:p>
        </w:tc>
      </w:tr>
      <w:tr w:rsidR="00864BE6" w14:paraId="0BE6C875" w14:textId="77777777">
        <w:trPr>
          <w:trHeight w:val="305"/>
        </w:trPr>
        <w:tc>
          <w:tcPr>
            <w:tcW w:w="10430" w:type="dxa"/>
            <w:gridSpan w:val="6"/>
            <w:shd w:val="clear" w:color="auto" w:fill="FFD965"/>
          </w:tcPr>
          <w:p w14:paraId="73B89987" w14:textId="77777777" w:rsidR="00864BE6" w:rsidRDefault="00E17744">
            <w:pPr>
              <w:spacing w:before="1"/>
              <w:jc w:val="center"/>
              <w:rPr>
                <w:b/>
                <w:i/>
                <w:sz w:val="20"/>
                <w:szCs w:val="20"/>
              </w:rPr>
            </w:pPr>
            <w:bookmarkStart w:id="9" w:name="_heading=h.2s8eyo1" w:colFirst="0" w:colLast="0"/>
            <w:bookmarkEnd w:id="9"/>
            <w:r>
              <w:rPr>
                <w:b/>
                <w:i/>
                <w:sz w:val="20"/>
                <w:szCs w:val="20"/>
              </w:rPr>
              <w:t>Donald R. Knauss (Independent Chair/Chairman of the Board)</w:t>
            </w:r>
          </w:p>
        </w:tc>
      </w:tr>
      <w:tr w:rsidR="00864BE6" w14:paraId="7A803320" w14:textId="77777777" w:rsidTr="00E17744">
        <w:trPr>
          <w:trHeight w:val="2041"/>
        </w:trPr>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2FA4E016" w14:textId="77777777" w:rsidR="00864BE6" w:rsidRDefault="00E17744">
            <w:pPr>
              <w:spacing w:before="1"/>
              <w:rPr>
                <w:b/>
                <w:sz w:val="18"/>
                <w:szCs w:val="18"/>
                <w:u w:val="single"/>
              </w:rPr>
            </w:pPr>
            <w:r>
              <w:rPr>
                <w:color w:val="000000"/>
                <w:sz w:val="18"/>
                <w:szCs w:val="18"/>
              </w:rPr>
              <w:t>Retired Chairman &amp; CEO, The Clorox Company</w:t>
            </w:r>
          </w:p>
        </w:tc>
        <w:tc>
          <w:tcPr>
            <w:tcW w:w="992" w:type="dxa"/>
            <w:tcBorders>
              <w:top w:val="single" w:sz="8" w:space="0" w:color="000000"/>
              <w:left w:val="nil"/>
              <w:bottom w:val="single" w:sz="8" w:space="0" w:color="000000"/>
              <w:right w:val="single" w:sz="8" w:space="0" w:color="000000"/>
            </w:tcBorders>
            <w:shd w:val="clear" w:color="auto" w:fill="auto"/>
          </w:tcPr>
          <w:p w14:paraId="63356C94" w14:textId="77777777" w:rsidR="00864BE6" w:rsidRDefault="00E17744">
            <w:pPr>
              <w:spacing w:before="1"/>
              <w:rPr>
                <w:b/>
                <w:sz w:val="18"/>
                <w:szCs w:val="18"/>
                <w:u w:val="single"/>
              </w:rPr>
            </w:pPr>
            <w:r>
              <w:rPr>
                <w:color w:val="000000"/>
                <w:sz w:val="18"/>
                <w:szCs w:val="18"/>
              </w:rPr>
              <w:t>2014</w:t>
            </w:r>
          </w:p>
        </w:tc>
        <w:tc>
          <w:tcPr>
            <w:tcW w:w="1403" w:type="dxa"/>
            <w:tcBorders>
              <w:top w:val="single" w:sz="8" w:space="0" w:color="000000"/>
              <w:left w:val="nil"/>
              <w:bottom w:val="single" w:sz="8" w:space="0" w:color="000000"/>
              <w:right w:val="single" w:sz="8" w:space="0" w:color="000000"/>
            </w:tcBorders>
            <w:shd w:val="clear" w:color="auto" w:fill="auto"/>
          </w:tcPr>
          <w:p w14:paraId="139359A3" w14:textId="77777777" w:rsidR="00864BE6" w:rsidRDefault="00E17744">
            <w:pPr>
              <w:spacing w:before="1"/>
              <w:rPr>
                <w:color w:val="000000"/>
                <w:sz w:val="18"/>
                <w:szCs w:val="18"/>
              </w:rPr>
            </w:pPr>
            <w:r>
              <w:rPr>
                <w:color w:val="000000"/>
                <w:sz w:val="18"/>
                <w:szCs w:val="18"/>
              </w:rPr>
              <w:t>Compensation</w:t>
            </w:r>
            <w:r>
              <w:rPr>
                <w:color w:val="000000"/>
                <w:sz w:val="18"/>
                <w:szCs w:val="18"/>
              </w:rPr>
              <w:br/>
            </w:r>
          </w:p>
          <w:p w14:paraId="16E27CF6" w14:textId="77777777" w:rsidR="00864BE6" w:rsidRDefault="00E17744">
            <w:pPr>
              <w:spacing w:before="1"/>
              <w:rPr>
                <w:b/>
                <w:sz w:val="18"/>
                <w:szCs w:val="18"/>
                <w:u w:val="single"/>
              </w:rPr>
            </w:pPr>
            <w:r>
              <w:rPr>
                <w:color w:val="000000"/>
                <w:sz w:val="18"/>
                <w:szCs w:val="18"/>
              </w:rPr>
              <w:t>Finance</w:t>
            </w:r>
          </w:p>
        </w:tc>
        <w:tc>
          <w:tcPr>
            <w:tcW w:w="2011" w:type="dxa"/>
            <w:tcBorders>
              <w:top w:val="single" w:sz="8" w:space="0" w:color="000000"/>
              <w:left w:val="nil"/>
              <w:bottom w:val="single" w:sz="8" w:space="0" w:color="000000"/>
              <w:right w:val="single" w:sz="8" w:space="0" w:color="000000"/>
            </w:tcBorders>
            <w:shd w:val="clear" w:color="auto" w:fill="auto"/>
          </w:tcPr>
          <w:p w14:paraId="09E0AC6E" w14:textId="77777777" w:rsidR="00864BE6" w:rsidRDefault="00E17744">
            <w:pPr>
              <w:spacing w:before="1"/>
              <w:rPr>
                <w:color w:val="000000"/>
                <w:sz w:val="18"/>
                <w:szCs w:val="18"/>
              </w:rPr>
            </w:pPr>
            <w:r>
              <w:rPr>
                <w:color w:val="000000"/>
                <w:sz w:val="18"/>
                <w:szCs w:val="18"/>
              </w:rPr>
              <w:t>Kellogg Company</w:t>
            </w:r>
            <w:r>
              <w:rPr>
                <w:color w:val="000000"/>
                <w:sz w:val="18"/>
                <w:szCs w:val="18"/>
              </w:rPr>
              <w:br/>
            </w:r>
          </w:p>
          <w:p w14:paraId="0B43C13F" w14:textId="77777777" w:rsidR="00864BE6" w:rsidRDefault="00E17744">
            <w:pPr>
              <w:spacing w:before="1"/>
              <w:rPr>
                <w:b/>
                <w:sz w:val="18"/>
                <w:szCs w:val="18"/>
                <w:u w:val="single"/>
              </w:rPr>
            </w:pPr>
            <w:r>
              <w:rPr>
                <w:color w:val="000000"/>
                <w:sz w:val="18"/>
                <w:szCs w:val="18"/>
              </w:rPr>
              <w:t>Target Corporation</w:t>
            </w:r>
          </w:p>
        </w:tc>
        <w:tc>
          <w:tcPr>
            <w:tcW w:w="1268" w:type="dxa"/>
            <w:tcBorders>
              <w:top w:val="single" w:sz="8" w:space="0" w:color="000000"/>
              <w:left w:val="nil"/>
              <w:bottom w:val="single" w:sz="8" w:space="0" w:color="000000"/>
              <w:right w:val="single" w:sz="8" w:space="0" w:color="000000"/>
            </w:tcBorders>
            <w:shd w:val="clear" w:color="auto" w:fill="auto"/>
          </w:tcPr>
          <w:p w14:paraId="415933BA" w14:textId="77777777" w:rsidR="00864BE6" w:rsidRDefault="00E17744">
            <w:pPr>
              <w:spacing w:before="1"/>
              <w:rPr>
                <w:b/>
                <w:sz w:val="18"/>
                <w:szCs w:val="18"/>
                <w:u w:val="single"/>
              </w:rPr>
            </w:pPr>
            <w:r>
              <w:rPr>
                <w:color w:val="000000"/>
                <w:sz w:val="18"/>
                <w:szCs w:val="18"/>
              </w:rPr>
              <w:t>8,056</w:t>
            </w:r>
          </w:p>
        </w:tc>
        <w:tc>
          <w:tcPr>
            <w:tcW w:w="3055" w:type="dxa"/>
            <w:tcBorders>
              <w:top w:val="single" w:sz="8" w:space="0" w:color="000000"/>
              <w:left w:val="nil"/>
              <w:bottom w:val="single" w:sz="8" w:space="0" w:color="000000"/>
              <w:right w:val="single" w:sz="8" w:space="0" w:color="000000"/>
            </w:tcBorders>
            <w:shd w:val="clear" w:color="auto" w:fill="auto"/>
          </w:tcPr>
          <w:p w14:paraId="162235FF" w14:textId="77777777" w:rsidR="00864BE6" w:rsidRDefault="00E17744">
            <w:pPr>
              <w:spacing w:before="1"/>
              <w:rPr>
                <w:color w:val="000000"/>
                <w:sz w:val="18"/>
                <w:szCs w:val="18"/>
              </w:rPr>
            </w:pPr>
            <w:r>
              <w:rPr>
                <w:color w:val="000000"/>
                <w:sz w:val="18"/>
                <w:szCs w:val="18"/>
              </w:rPr>
              <w:t>Former CEO and Chairman of Clorox Company (2006-2015)</w:t>
            </w:r>
            <w:r>
              <w:rPr>
                <w:color w:val="000000"/>
                <w:sz w:val="18"/>
                <w:szCs w:val="18"/>
              </w:rPr>
              <w:br/>
            </w:r>
          </w:p>
          <w:p w14:paraId="397E3FCB" w14:textId="77777777" w:rsidR="00864BE6" w:rsidRDefault="00E17744">
            <w:pPr>
              <w:spacing w:before="1"/>
              <w:rPr>
                <w:color w:val="000000"/>
                <w:sz w:val="18"/>
                <w:szCs w:val="18"/>
              </w:rPr>
            </w:pPr>
            <w:r>
              <w:rPr>
                <w:color w:val="000000"/>
                <w:sz w:val="18"/>
                <w:szCs w:val="18"/>
              </w:rPr>
              <w:t>Former executive vice president of Coca-Cola Company (2004-2006)</w:t>
            </w:r>
            <w:r>
              <w:rPr>
                <w:color w:val="000000"/>
                <w:sz w:val="18"/>
                <w:szCs w:val="18"/>
              </w:rPr>
              <w:br/>
            </w:r>
          </w:p>
          <w:p w14:paraId="3B622583" w14:textId="77777777" w:rsidR="00864BE6" w:rsidRDefault="00E17744">
            <w:pPr>
              <w:spacing w:before="1"/>
              <w:rPr>
                <w:color w:val="000000"/>
                <w:sz w:val="18"/>
                <w:szCs w:val="18"/>
              </w:rPr>
            </w:pPr>
            <w:r>
              <w:rPr>
                <w:color w:val="000000"/>
                <w:sz w:val="18"/>
                <w:szCs w:val="18"/>
              </w:rPr>
              <w:t xml:space="preserve">Experience with international business management and </w:t>
            </w:r>
          </w:p>
          <w:p w14:paraId="3F45F977" w14:textId="77777777" w:rsidR="00864BE6" w:rsidRDefault="00E17744">
            <w:pPr>
              <w:spacing w:before="1"/>
              <w:rPr>
                <w:b/>
                <w:sz w:val="18"/>
                <w:szCs w:val="18"/>
                <w:u w:val="single"/>
              </w:rPr>
            </w:pPr>
            <w:r>
              <w:rPr>
                <w:color w:val="000000"/>
                <w:sz w:val="18"/>
                <w:szCs w:val="18"/>
              </w:rPr>
              <w:t>retail expertise</w:t>
            </w:r>
          </w:p>
        </w:tc>
      </w:tr>
    </w:tbl>
    <w:p w14:paraId="23365E38" w14:textId="77777777" w:rsidR="00864BE6" w:rsidRDefault="00E17744">
      <w:r>
        <w:br w:type="page"/>
      </w:r>
    </w:p>
    <w:tbl>
      <w:tblPr>
        <w:tblStyle w:val="ac"/>
        <w:tblW w:w="10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992"/>
        <w:gridCol w:w="1403"/>
        <w:gridCol w:w="2011"/>
        <w:gridCol w:w="1268"/>
        <w:gridCol w:w="3055"/>
      </w:tblGrid>
      <w:tr w:rsidR="00864BE6" w14:paraId="17D36E28" w14:textId="77777777" w:rsidTr="00E17744">
        <w:trPr>
          <w:trHeight w:val="542"/>
        </w:trPr>
        <w:tc>
          <w:tcPr>
            <w:tcW w:w="1701" w:type="dxa"/>
            <w:shd w:val="clear" w:color="auto" w:fill="1F4E79"/>
          </w:tcPr>
          <w:p w14:paraId="77C94D1A" w14:textId="77777777" w:rsidR="00864BE6" w:rsidRDefault="00E17744">
            <w:pPr>
              <w:spacing w:before="1"/>
              <w:rPr>
                <w:b/>
                <w:color w:val="FFFFFF"/>
                <w:sz w:val="20"/>
                <w:szCs w:val="20"/>
              </w:rPr>
            </w:pPr>
            <w:bookmarkStart w:id="10" w:name="_heading=h.17dp8vu" w:colFirst="0" w:colLast="0"/>
            <w:bookmarkEnd w:id="10"/>
            <w:r>
              <w:rPr>
                <w:b/>
                <w:color w:val="FFFFFF"/>
                <w:sz w:val="20"/>
                <w:szCs w:val="20"/>
              </w:rPr>
              <w:lastRenderedPageBreak/>
              <w:t>Current Occupation</w:t>
            </w:r>
          </w:p>
        </w:tc>
        <w:tc>
          <w:tcPr>
            <w:tcW w:w="992" w:type="dxa"/>
            <w:shd w:val="clear" w:color="auto" w:fill="1F4E79"/>
          </w:tcPr>
          <w:p w14:paraId="009FD895" w14:textId="77777777" w:rsidR="00864BE6" w:rsidRDefault="00E17744">
            <w:pPr>
              <w:spacing w:before="1"/>
              <w:rPr>
                <w:b/>
                <w:color w:val="FFFFFF"/>
                <w:sz w:val="20"/>
                <w:szCs w:val="20"/>
              </w:rPr>
            </w:pPr>
            <w:r>
              <w:rPr>
                <w:b/>
                <w:color w:val="FFFFFF"/>
                <w:sz w:val="20"/>
                <w:szCs w:val="20"/>
              </w:rPr>
              <w:t>Director Since</w:t>
            </w:r>
          </w:p>
        </w:tc>
        <w:tc>
          <w:tcPr>
            <w:tcW w:w="1403" w:type="dxa"/>
            <w:shd w:val="clear" w:color="auto" w:fill="1F4E79"/>
          </w:tcPr>
          <w:p w14:paraId="0F44829B" w14:textId="77777777" w:rsidR="00864BE6" w:rsidRDefault="00E17744">
            <w:pPr>
              <w:spacing w:before="1"/>
              <w:rPr>
                <w:b/>
                <w:color w:val="FFFFFF"/>
                <w:sz w:val="20"/>
                <w:szCs w:val="20"/>
              </w:rPr>
            </w:pPr>
            <w:r>
              <w:rPr>
                <w:b/>
                <w:color w:val="FFFFFF"/>
                <w:sz w:val="20"/>
                <w:szCs w:val="20"/>
              </w:rPr>
              <w:t>Committees</w:t>
            </w:r>
          </w:p>
        </w:tc>
        <w:tc>
          <w:tcPr>
            <w:tcW w:w="2011" w:type="dxa"/>
            <w:shd w:val="clear" w:color="auto" w:fill="1F4E79"/>
          </w:tcPr>
          <w:p w14:paraId="525329CF" w14:textId="77777777" w:rsidR="00864BE6" w:rsidRDefault="00E17744">
            <w:pPr>
              <w:spacing w:before="1"/>
              <w:rPr>
                <w:b/>
                <w:color w:val="FFFFFF"/>
                <w:sz w:val="20"/>
                <w:szCs w:val="20"/>
              </w:rPr>
            </w:pPr>
            <w:r>
              <w:rPr>
                <w:b/>
                <w:color w:val="FFFFFF"/>
                <w:sz w:val="20"/>
                <w:szCs w:val="20"/>
              </w:rPr>
              <w:t>Other Public Boards</w:t>
            </w:r>
          </w:p>
        </w:tc>
        <w:tc>
          <w:tcPr>
            <w:tcW w:w="1268" w:type="dxa"/>
            <w:shd w:val="clear" w:color="auto" w:fill="1F4E79"/>
          </w:tcPr>
          <w:p w14:paraId="5B77C3B3" w14:textId="77777777" w:rsidR="00864BE6" w:rsidRDefault="00E17744">
            <w:pPr>
              <w:spacing w:before="1"/>
              <w:rPr>
                <w:b/>
                <w:color w:val="FFFFFF"/>
                <w:sz w:val="20"/>
                <w:szCs w:val="20"/>
              </w:rPr>
            </w:pPr>
            <w:r>
              <w:rPr>
                <w:b/>
                <w:color w:val="FFFFFF"/>
                <w:sz w:val="20"/>
                <w:szCs w:val="20"/>
              </w:rPr>
              <w:t>Ownership Share</w:t>
            </w:r>
          </w:p>
        </w:tc>
        <w:tc>
          <w:tcPr>
            <w:tcW w:w="3055" w:type="dxa"/>
            <w:shd w:val="clear" w:color="auto" w:fill="1F4E79"/>
          </w:tcPr>
          <w:p w14:paraId="1C9B95ED" w14:textId="280C1FB4" w:rsidR="00864BE6" w:rsidRDefault="00E17744">
            <w:pPr>
              <w:spacing w:before="1"/>
              <w:rPr>
                <w:b/>
                <w:color w:val="FFFFFF"/>
                <w:sz w:val="20"/>
                <w:szCs w:val="20"/>
              </w:rPr>
            </w:pPr>
            <w:r>
              <w:rPr>
                <w:b/>
                <w:color w:val="FFFFFF"/>
                <w:sz w:val="20"/>
                <w:szCs w:val="20"/>
              </w:rPr>
              <w:t xml:space="preserve">Why is the Director a </w:t>
            </w:r>
            <w:r>
              <w:rPr>
                <w:b/>
                <w:color w:val="FFFFFF"/>
                <w:sz w:val="20"/>
                <w:szCs w:val="20"/>
              </w:rPr>
              <w:br/>
              <w:t>Good Fit?</w:t>
            </w:r>
          </w:p>
        </w:tc>
      </w:tr>
      <w:tr w:rsidR="00864BE6" w14:paraId="170DBFCE" w14:textId="77777777">
        <w:trPr>
          <w:trHeight w:val="260"/>
        </w:trPr>
        <w:tc>
          <w:tcPr>
            <w:tcW w:w="10430" w:type="dxa"/>
            <w:gridSpan w:val="6"/>
            <w:shd w:val="clear" w:color="auto" w:fill="FFD965"/>
          </w:tcPr>
          <w:p w14:paraId="2535ABD5" w14:textId="77777777" w:rsidR="00864BE6" w:rsidRDefault="00E17744">
            <w:pPr>
              <w:spacing w:before="1"/>
              <w:jc w:val="center"/>
              <w:rPr>
                <w:b/>
                <w:i/>
                <w:sz w:val="20"/>
                <w:szCs w:val="20"/>
              </w:rPr>
            </w:pPr>
            <w:r>
              <w:rPr>
                <w:b/>
                <w:i/>
                <w:sz w:val="20"/>
                <w:szCs w:val="20"/>
              </w:rPr>
              <w:t>Bradley E. Lerman</w:t>
            </w:r>
          </w:p>
        </w:tc>
      </w:tr>
      <w:tr w:rsidR="00864BE6" w14:paraId="30779741" w14:textId="77777777" w:rsidTr="00E17744">
        <w:trPr>
          <w:trHeight w:val="2707"/>
        </w:trPr>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058408DF" w14:textId="77777777" w:rsidR="00864BE6" w:rsidRDefault="00E17744">
            <w:pPr>
              <w:spacing w:before="1"/>
              <w:rPr>
                <w:b/>
                <w:sz w:val="18"/>
                <w:szCs w:val="18"/>
                <w:u w:val="single"/>
              </w:rPr>
            </w:pPr>
            <w:r>
              <w:rPr>
                <w:color w:val="000000"/>
                <w:sz w:val="18"/>
                <w:szCs w:val="18"/>
              </w:rPr>
              <w:t>Retired SVP and General Counsel, Medtronic plc</w:t>
            </w:r>
          </w:p>
        </w:tc>
        <w:tc>
          <w:tcPr>
            <w:tcW w:w="992" w:type="dxa"/>
            <w:tcBorders>
              <w:top w:val="single" w:sz="8" w:space="0" w:color="000000"/>
              <w:left w:val="nil"/>
              <w:bottom w:val="single" w:sz="8" w:space="0" w:color="000000"/>
              <w:right w:val="single" w:sz="8" w:space="0" w:color="000000"/>
            </w:tcBorders>
            <w:shd w:val="clear" w:color="auto" w:fill="auto"/>
          </w:tcPr>
          <w:p w14:paraId="35550DFB" w14:textId="77777777" w:rsidR="00864BE6" w:rsidRDefault="00E17744">
            <w:pPr>
              <w:spacing w:before="1"/>
              <w:rPr>
                <w:b/>
                <w:sz w:val="18"/>
                <w:szCs w:val="18"/>
                <w:u w:val="single"/>
              </w:rPr>
            </w:pPr>
            <w:r>
              <w:rPr>
                <w:color w:val="000000"/>
                <w:sz w:val="18"/>
                <w:szCs w:val="18"/>
              </w:rPr>
              <w:t>2018</w:t>
            </w:r>
          </w:p>
        </w:tc>
        <w:tc>
          <w:tcPr>
            <w:tcW w:w="1403" w:type="dxa"/>
            <w:tcBorders>
              <w:top w:val="single" w:sz="8" w:space="0" w:color="000000"/>
              <w:left w:val="nil"/>
              <w:bottom w:val="single" w:sz="8" w:space="0" w:color="000000"/>
              <w:right w:val="single" w:sz="8" w:space="0" w:color="000000"/>
            </w:tcBorders>
            <w:shd w:val="clear" w:color="auto" w:fill="auto"/>
          </w:tcPr>
          <w:p w14:paraId="1B062E27" w14:textId="77777777" w:rsidR="00864BE6" w:rsidRDefault="00E17744">
            <w:pPr>
              <w:spacing w:before="1"/>
              <w:rPr>
                <w:color w:val="000000"/>
                <w:sz w:val="18"/>
                <w:szCs w:val="18"/>
              </w:rPr>
            </w:pPr>
            <w:r>
              <w:rPr>
                <w:color w:val="000000"/>
                <w:sz w:val="18"/>
                <w:szCs w:val="18"/>
              </w:rPr>
              <w:t>Audit</w:t>
            </w:r>
            <w:r>
              <w:rPr>
                <w:color w:val="000000"/>
                <w:sz w:val="18"/>
                <w:szCs w:val="18"/>
              </w:rPr>
              <w:br/>
            </w:r>
          </w:p>
          <w:p w14:paraId="57254B15" w14:textId="77777777" w:rsidR="00864BE6" w:rsidRDefault="00E17744">
            <w:pPr>
              <w:spacing w:before="1"/>
              <w:rPr>
                <w:b/>
                <w:sz w:val="18"/>
                <w:szCs w:val="18"/>
                <w:u w:val="single"/>
              </w:rPr>
            </w:pPr>
            <w:r>
              <w:rPr>
                <w:color w:val="000000"/>
                <w:sz w:val="18"/>
                <w:szCs w:val="18"/>
              </w:rPr>
              <w:t>Compliance (Chair)</w:t>
            </w:r>
          </w:p>
        </w:tc>
        <w:tc>
          <w:tcPr>
            <w:tcW w:w="2011" w:type="dxa"/>
            <w:tcBorders>
              <w:top w:val="single" w:sz="8" w:space="0" w:color="000000"/>
              <w:left w:val="nil"/>
              <w:bottom w:val="single" w:sz="8" w:space="0" w:color="000000"/>
              <w:right w:val="single" w:sz="8" w:space="0" w:color="000000"/>
            </w:tcBorders>
            <w:shd w:val="clear" w:color="auto" w:fill="auto"/>
          </w:tcPr>
          <w:p w14:paraId="4CBE5851" w14:textId="77777777" w:rsidR="00864BE6" w:rsidRDefault="00E17744">
            <w:pPr>
              <w:spacing w:before="1"/>
              <w:rPr>
                <w:b/>
                <w:sz w:val="18"/>
                <w:szCs w:val="18"/>
                <w:u w:val="single"/>
              </w:rPr>
            </w:pPr>
            <w:r>
              <w:rPr>
                <w:color w:val="000000"/>
                <w:sz w:val="18"/>
                <w:szCs w:val="18"/>
              </w:rPr>
              <w:t>None</w:t>
            </w:r>
          </w:p>
        </w:tc>
        <w:tc>
          <w:tcPr>
            <w:tcW w:w="1268" w:type="dxa"/>
            <w:tcBorders>
              <w:top w:val="single" w:sz="8" w:space="0" w:color="000000"/>
              <w:left w:val="nil"/>
              <w:bottom w:val="single" w:sz="8" w:space="0" w:color="000000"/>
              <w:right w:val="single" w:sz="8" w:space="0" w:color="000000"/>
            </w:tcBorders>
            <w:shd w:val="clear" w:color="auto" w:fill="auto"/>
          </w:tcPr>
          <w:p w14:paraId="3D4F06A6" w14:textId="77777777" w:rsidR="00864BE6" w:rsidRDefault="00E17744">
            <w:pPr>
              <w:spacing w:before="1"/>
              <w:rPr>
                <w:b/>
                <w:sz w:val="18"/>
                <w:szCs w:val="18"/>
                <w:u w:val="single"/>
              </w:rPr>
            </w:pPr>
            <w:r>
              <w:rPr>
                <w:color w:val="000000"/>
                <w:sz w:val="18"/>
                <w:szCs w:val="18"/>
              </w:rPr>
              <w:t>5,004</w:t>
            </w:r>
          </w:p>
        </w:tc>
        <w:tc>
          <w:tcPr>
            <w:tcW w:w="3055" w:type="dxa"/>
            <w:tcBorders>
              <w:top w:val="single" w:sz="8" w:space="0" w:color="000000"/>
              <w:left w:val="nil"/>
              <w:bottom w:val="single" w:sz="8" w:space="0" w:color="000000"/>
              <w:right w:val="single" w:sz="8" w:space="0" w:color="000000"/>
            </w:tcBorders>
            <w:shd w:val="clear" w:color="auto" w:fill="auto"/>
          </w:tcPr>
          <w:p w14:paraId="1BBEE560" w14:textId="77777777" w:rsidR="00864BE6" w:rsidRDefault="00E17744">
            <w:pPr>
              <w:spacing w:before="1"/>
              <w:rPr>
                <w:color w:val="000000"/>
                <w:sz w:val="18"/>
                <w:szCs w:val="18"/>
              </w:rPr>
            </w:pPr>
            <w:r>
              <w:rPr>
                <w:color w:val="000000"/>
                <w:sz w:val="18"/>
                <w:szCs w:val="18"/>
              </w:rPr>
              <w:t xml:space="preserve">Former senior VP and general counsel of Medtronic plc </w:t>
            </w:r>
          </w:p>
          <w:p w14:paraId="057249E7" w14:textId="77777777" w:rsidR="00864BE6" w:rsidRDefault="00E17744">
            <w:pPr>
              <w:spacing w:before="1"/>
              <w:rPr>
                <w:color w:val="000000"/>
                <w:sz w:val="18"/>
                <w:szCs w:val="18"/>
              </w:rPr>
            </w:pPr>
            <w:r>
              <w:rPr>
                <w:color w:val="000000"/>
                <w:sz w:val="18"/>
                <w:szCs w:val="18"/>
              </w:rPr>
              <w:t>(2014-2022)</w:t>
            </w:r>
            <w:r>
              <w:rPr>
                <w:color w:val="000000"/>
                <w:sz w:val="18"/>
                <w:szCs w:val="18"/>
              </w:rPr>
              <w:br/>
            </w:r>
          </w:p>
          <w:p w14:paraId="0C89D4F9" w14:textId="77777777" w:rsidR="00864BE6" w:rsidRDefault="00E17744">
            <w:pPr>
              <w:spacing w:before="1"/>
              <w:rPr>
                <w:color w:val="000000"/>
                <w:sz w:val="18"/>
                <w:szCs w:val="18"/>
              </w:rPr>
            </w:pPr>
            <w:r>
              <w:rPr>
                <w:color w:val="000000"/>
                <w:sz w:val="18"/>
                <w:szCs w:val="18"/>
              </w:rPr>
              <w:t>Experience with large firm law practice and government positions with law enforcement responsibilities</w:t>
            </w:r>
            <w:r>
              <w:rPr>
                <w:color w:val="000000"/>
                <w:sz w:val="18"/>
                <w:szCs w:val="18"/>
              </w:rPr>
              <w:br/>
            </w:r>
          </w:p>
          <w:p w14:paraId="1EBC14D3" w14:textId="77777777" w:rsidR="00864BE6" w:rsidRDefault="00E17744">
            <w:pPr>
              <w:spacing w:before="1"/>
              <w:rPr>
                <w:b/>
                <w:sz w:val="18"/>
                <w:szCs w:val="18"/>
                <w:u w:val="single"/>
              </w:rPr>
            </w:pPr>
            <w:r>
              <w:rPr>
                <w:color w:val="000000"/>
                <w:sz w:val="18"/>
                <w:szCs w:val="18"/>
              </w:rPr>
              <w:t>Experience with linking compliance and legal consideration with corporate strategy</w:t>
            </w:r>
          </w:p>
        </w:tc>
      </w:tr>
      <w:tr w:rsidR="00864BE6" w14:paraId="4B4EFE25" w14:textId="77777777">
        <w:trPr>
          <w:trHeight w:val="304"/>
        </w:trPr>
        <w:tc>
          <w:tcPr>
            <w:tcW w:w="10430" w:type="dxa"/>
            <w:gridSpan w:val="6"/>
            <w:shd w:val="clear" w:color="auto" w:fill="FFD965"/>
          </w:tcPr>
          <w:p w14:paraId="76F25FB8" w14:textId="77777777" w:rsidR="00864BE6" w:rsidRDefault="00E17744">
            <w:pPr>
              <w:spacing w:before="1"/>
              <w:jc w:val="center"/>
              <w:rPr>
                <w:b/>
                <w:i/>
                <w:sz w:val="20"/>
                <w:szCs w:val="20"/>
              </w:rPr>
            </w:pPr>
            <w:r>
              <w:rPr>
                <w:b/>
                <w:i/>
                <w:sz w:val="20"/>
                <w:szCs w:val="20"/>
              </w:rPr>
              <w:t>Linda P. Mantia</w:t>
            </w:r>
          </w:p>
        </w:tc>
      </w:tr>
      <w:tr w:rsidR="00864BE6" w14:paraId="43F911D1" w14:textId="77777777" w:rsidTr="00E17744">
        <w:trPr>
          <w:trHeight w:val="2482"/>
        </w:trPr>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3078A54A" w14:textId="77777777" w:rsidR="00864BE6" w:rsidRDefault="00E17744">
            <w:pPr>
              <w:spacing w:before="1"/>
              <w:rPr>
                <w:b/>
                <w:sz w:val="18"/>
                <w:szCs w:val="18"/>
                <w:u w:val="single"/>
              </w:rPr>
            </w:pPr>
            <w:r>
              <w:rPr>
                <w:color w:val="000000"/>
                <w:sz w:val="18"/>
                <w:szCs w:val="18"/>
              </w:rPr>
              <w:t>Retired SEVP &amp; COO, Manulife Financial Corporation</w:t>
            </w:r>
          </w:p>
        </w:tc>
        <w:tc>
          <w:tcPr>
            <w:tcW w:w="992" w:type="dxa"/>
            <w:tcBorders>
              <w:top w:val="single" w:sz="8" w:space="0" w:color="000000"/>
              <w:left w:val="nil"/>
              <w:bottom w:val="single" w:sz="8" w:space="0" w:color="000000"/>
              <w:right w:val="single" w:sz="8" w:space="0" w:color="000000"/>
            </w:tcBorders>
            <w:shd w:val="clear" w:color="auto" w:fill="auto"/>
          </w:tcPr>
          <w:p w14:paraId="1F69C52D" w14:textId="77777777" w:rsidR="00864BE6" w:rsidRDefault="00E17744">
            <w:pPr>
              <w:spacing w:before="1"/>
              <w:rPr>
                <w:b/>
                <w:sz w:val="18"/>
                <w:szCs w:val="18"/>
                <w:u w:val="single"/>
              </w:rPr>
            </w:pPr>
            <w:r>
              <w:rPr>
                <w:color w:val="000000"/>
                <w:sz w:val="18"/>
                <w:szCs w:val="18"/>
              </w:rPr>
              <w:t>2020</w:t>
            </w:r>
          </w:p>
        </w:tc>
        <w:tc>
          <w:tcPr>
            <w:tcW w:w="1403" w:type="dxa"/>
            <w:tcBorders>
              <w:top w:val="single" w:sz="8" w:space="0" w:color="000000"/>
              <w:left w:val="nil"/>
              <w:bottom w:val="single" w:sz="8" w:space="0" w:color="000000"/>
              <w:right w:val="single" w:sz="8" w:space="0" w:color="000000"/>
            </w:tcBorders>
            <w:shd w:val="clear" w:color="auto" w:fill="auto"/>
          </w:tcPr>
          <w:p w14:paraId="37BE1927" w14:textId="77777777" w:rsidR="00864BE6" w:rsidRDefault="00E17744">
            <w:pPr>
              <w:spacing w:before="1"/>
              <w:rPr>
                <w:color w:val="000000"/>
                <w:sz w:val="18"/>
                <w:szCs w:val="18"/>
              </w:rPr>
            </w:pPr>
            <w:r>
              <w:rPr>
                <w:color w:val="000000"/>
                <w:sz w:val="18"/>
                <w:szCs w:val="18"/>
              </w:rPr>
              <w:t>Compensation (Chair)</w:t>
            </w:r>
            <w:r>
              <w:rPr>
                <w:color w:val="000000"/>
                <w:sz w:val="18"/>
                <w:szCs w:val="18"/>
              </w:rPr>
              <w:br/>
            </w:r>
          </w:p>
          <w:p w14:paraId="12D7C3CA" w14:textId="77777777" w:rsidR="00864BE6" w:rsidRDefault="00E17744">
            <w:pPr>
              <w:spacing w:before="1"/>
              <w:rPr>
                <w:b/>
                <w:sz w:val="18"/>
                <w:szCs w:val="18"/>
                <w:u w:val="single"/>
              </w:rPr>
            </w:pPr>
            <w:r>
              <w:rPr>
                <w:color w:val="000000"/>
                <w:sz w:val="18"/>
                <w:szCs w:val="18"/>
              </w:rPr>
              <w:t>Governance</w:t>
            </w:r>
          </w:p>
        </w:tc>
        <w:tc>
          <w:tcPr>
            <w:tcW w:w="2011" w:type="dxa"/>
            <w:tcBorders>
              <w:top w:val="single" w:sz="8" w:space="0" w:color="000000"/>
              <w:left w:val="nil"/>
              <w:bottom w:val="single" w:sz="8" w:space="0" w:color="000000"/>
              <w:right w:val="single" w:sz="8" w:space="0" w:color="000000"/>
            </w:tcBorders>
            <w:shd w:val="clear" w:color="auto" w:fill="auto"/>
          </w:tcPr>
          <w:p w14:paraId="7A7ECEF5" w14:textId="77777777" w:rsidR="00864BE6" w:rsidRDefault="00E17744">
            <w:pPr>
              <w:spacing w:before="1"/>
              <w:rPr>
                <w:b/>
                <w:sz w:val="18"/>
                <w:szCs w:val="18"/>
                <w:u w:val="single"/>
              </w:rPr>
            </w:pPr>
            <w:r>
              <w:rPr>
                <w:color w:val="000000"/>
                <w:sz w:val="18"/>
                <w:szCs w:val="18"/>
              </w:rPr>
              <w:t>Ceridian HCM Holding, Inc.</w:t>
            </w:r>
          </w:p>
        </w:tc>
        <w:tc>
          <w:tcPr>
            <w:tcW w:w="1268" w:type="dxa"/>
            <w:tcBorders>
              <w:top w:val="single" w:sz="8" w:space="0" w:color="000000"/>
              <w:left w:val="nil"/>
              <w:bottom w:val="single" w:sz="8" w:space="0" w:color="000000"/>
              <w:right w:val="single" w:sz="8" w:space="0" w:color="000000"/>
            </w:tcBorders>
            <w:shd w:val="clear" w:color="auto" w:fill="auto"/>
          </w:tcPr>
          <w:p w14:paraId="6DD67E25" w14:textId="77777777" w:rsidR="00864BE6" w:rsidRDefault="00E17744">
            <w:pPr>
              <w:spacing w:before="1"/>
              <w:rPr>
                <w:b/>
                <w:sz w:val="18"/>
                <w:szCs w:val="18"/>
                <w:u w:val="single"/>
              </w:rPr>
            </w:pPr>
            <w:r>
              <w:rPr>
                <w:color w:val="000000"/>
                <w:sz w:val="18"/>
                <w:szCs w:val="18"/>
              </w:rPr>
              <w:t>1,721</w:t>
            </w:r>
          </w:p>
        </w:tc>
        <w:tc>
          <w:tcPr>
            <w:tcW w:w="3055" w:type="dxa"/>
            <w:tcBorders>
              <w:top w:val="single" w:sz="8" w:space="0" w:color="000000"/>
              <w:left w:val="nil"/>
              <w:bottom w:val="single" w:sz="8" w:space="0" w:color="000000"/>
              <w:right w:val="single" w:sz="8" w:space="0" w:color="000000"/>
            </w:tcBorders>
            <w:shd w:val="clear" w:color="auto" w:fill="auto"/>
          </w:tcPr>
          <w:p w14:paraId="58B23612" w14:textId="77777777" w:rsidR="00864BE6" w:rsidRDefault="00E17744">
            <w:pPr>
              <w:spacing w:before="1"/>
              <w:rPr>
                <w:color w:val="000000"/>
                <w:sz w:val="18"/>
                <w:szCs w:val="18"/>
              </w:rPr>
            </w:pPr>
            <w:r>
              <w:rPr>
                <w:color w:val="000000"/>
                <w:sz w:val="18"/>
                <w:szCs w:val="18"/>
              </w:rPr>
              <w:t xml:space="preserve">Senior executive vice president and COO of Manulife Financial Co. </w:t>
            </w:r>
          </w:p>
          <w:p w14:paraId="47D12848" w14:textId="77777777" w:rsidR="00864BE6" w:rsidRDefault="00E17744">
            <w:pPr>
              <w:spacing w:before="1"/>
              <w:rPr>
                <w:color w:val="000000"/>
                <w:sz w:val="18"/>
                <w:szCs w:val="18"/>
              </w:rPr>
            </w:pPr>
            <w:r>
              <w:rPr>
                <w:color w:val="000000"/>
                <w:sz w:val="18"/>
                <w:szCs w:val="18"/>
              </w:rPr>
              <w:t>(2016-2019)</w:t>
            </w:r>
            <w:r>
              <w:rPr>
                <w:color w:val="000000"/>
                <w:sz w:val="18"/>
                <w:szCs w:val="18"/>
              </w:rPr>
              <w:br/>
            </w:r>
          </w:p>
          <w:p w14:paraId="3E032088" w14:textId="77777777" w:rsidR="00864BE6" w:rsidRDefault="00E17744">
            <w:pPr>
              <w:spacing w:before="1"/>
              <w:rPr>
                <w:color w:val="000000"/>
                <w:sz w:val="18"/>
                <w:szCs w:val="18"/>
              </w:rPr>
            </w:pPr>
            <w:r>
              <w:rPr>
                <w:color w:val="000000"/>
                <w:sz w:val="18"/>
                <w:szCs w:val="18"/>
              </w:rPr>
              <w:t>Several leadership roles (Digital Banking, Payments and Cards, McKinsey &amp; Co.)</w:t>
            </w:r>
            <w:r>
              <w:rPr>
                <w:color w:val="000000"/>
                <w:sz w:val="18"/>
                <w:szCs w:val="18"/>
              </w:rPr>
              <w:br/>
            </w:r>
          </w:p>
          <w:p w14:paraId="1903DB19" w14:textId="77777777" w:rsidR="00864BE6" w:rsidRDefault="00E17744">
            <w:pPr>
              <w:spacing w:before="1"/>
              <w:rPr>
                <w:b/>
                <w:sz w:val="18"/>
                <w:szCs w:val="18"/>
                <w:u w:val="single"/>
              </w:rPr>
            </w:pPr>
            <w:r>
              <w:rPr>
                <w:color w:val="000000"/>
                <w:sz w:val="18"/>
                <w:szCs w:val="18"/>
              </w:rPr>
              <w:t>Law degree and experience with international operations and corporate strategy</w:t>
            </w:r>
          </w:p>
        </w:tc>
      </w:tr>
      <w:tr w:rsidR="00864BE6" w14:paraId="78DE1B6C" w14:textId="77777777">
        <w:trPr>
          <w:trHeight w:val="268"/>
        </w:trPr>
        <w:tc>
          <w:tcPr>
            <w:tcW w:w="10430" w:type="dxa"/>
            <w:gridSpan w:val="6"/>
            <w:shd w:val="clear" w:color="auto" w:fill="FFD965"/>
          </w:tcPr>
          <w:p w14:paraId="452D608F" w14:textId="77777777" w:rsidR="00864BE6" w:rsidRDefault="00E17744">
            <w:pPr>
              <w:spacing w:before="1"/>
              <w:jc w:val="center"/>
              <w:rPr>
                <w:b/>
                <w:i/>
                <w:sz w:val="20"/>
                <w:szCs w:val="20"/>
              </w:rPr>
            </w:pPr>
            <w:bookmarkStart w:id="11" w:name="_heading=h.3rdcrjn" w:colFirst="0" w:colLast="0"/>
            <w:bookmarkEnd w:id="11"/>
            <w:r>
              <w:rPr>
                <w:b/>
                <w:i/>
                <w:sz w:val="20"/>
                <w:szCs w:val="20"/>
              </w:rPr>
              <w:t>Maria Martinez</w:t>
            </w:r>
          </w:p>
        </w:tc>
      </w:tr>
      <w:tr w:rsidR="00864BE6" w14:paraId="4ADF54F1" w14:textId="77777777" w:rsidTr="00E17744">
        <w:trPr>
          <w:trHeight w:val="2041"/>
        </w:trPr>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7BCEF764" w14:textId="77777777" w:rsidR="00864BE6" w:rsidRDefault="00E17744">
            <w:pPr>
              <w:spacing w:before="1"/>
              <w:rPr>
                <w:b/>
                <w:sz w:val="18"/>
                <w:szCs w:val="18"/>
                <w:u w:val="single"/>
              </w:rPr>
            </w:pPr>
            <w:r>
              <w:rPr>
                <w:color w:val="000000"/>
                <w:sz w:val="18"/>
                <w:szCs w:val="18"/>
              </w:rPr>
              <w:t>EVP &amp; COO,</w:t>
            </w:r>
            <w:r>
              <w:rPr>
                <w:color w:val="000000"/>
                <w:sz w:val="18"/>
                <w:szCs w:val="18"/>
              </w:rPr>
              <w:br/>
              <w:t>Cisco Systems, Inc.</w:t>
            </w:r>
          </w:p>
        </w:tc>
        <w:tc>
          <w:tcPr>
            <w:tcW w:w="992" w:type="dxa"/>
            <w:tcBorders>
              <w:top w:val="single" w:sz="8" w:space="0" w:color="000000"/>
              <w:left w:val="nil"/>
              <w:bottom w:val="single" w:sz="8" w:space="0" w:color="000000"/>
              <w:right w:val="single" w:sz="8" w:space="0" w:color="000000"/>
            </w:tcBorders>
            <w:shd w:val="clear" w:color="auto" w:fill="auto"/>
          </w:tcPr>
          <w:p w14:paraId="4DF5AC97" w14:textId="77777777" w:rsidR="00864BE6" w:rsidRDefault="00E17744">
            <w:pPr>
              <w:spacing w:before="1"/>
              <w:rPr>
                <w:b/>
                <w:sz w:val="18"/>
                <w:szCs w:val="18"/>
                <w:u w:val="single"/>
              </w:rPr>
            </w:pPr>
            <w:r>
              <w:rPr>
                <w:color w:val="000000"/>
                <w:sz w:val="18"/>
                <w:szCs w:val="18"/>
              </w:rPr>
              <w:t>2019</w:t>
            </w:r>
          </w:p>
        </w:tc>
        <w:tc>
          <w:tcPr>
            <w:tcW w:w="1403" w:type="dxa"/>
            <w:tcBorders>
              <w:top w:val="single" w:sz="8" w:space="0" w:color="000000"/>
              <w:left w:val="nil"/>
              <w:bottom w:val="single" w:sz="8" w:space="0" w:color="000000"/>
              <w:right w:val="single" w:sz="8" w:space="0" w:color="000000"/>
            </w:tcBorders>
            <w:shd w:val="clear" w:color="auto" w:fill="auto"/>
          </w:tcPr>
          <w:p w14:paraId="64EB0108" w14:textId="77777777" w:rsidR="00864BE6" w:rsidRDefault="00E17744">
            <w:pPr>
              <w:spacing w:before="1"/>
              <w:rPr>
                <w:b/>
                <w:sz w:val="18"/>
                <w:szCs w:val="18"/>
                <w:u w:val="single"/>
              </w:rPr>
            </w:pPr>
            <w:r>
              <w:rPr>
                <w:color w:val="000000"/>
                <w:sz w:val="18"/>
                <w:szCs w:val="18"/>
              </w:rPr>
              <w:t>Finance</w:t>
            </w:r>
            <w:r>
              <w:rPr>
                <w:color w:val="000000"/>
                <w:sz w:val="18"/>
                <w:szCs w:val="18"/>
              </w:rPr>
              <w:br/>
              <w:t>Governance (Chair)</w:t>
            </w:r>
          </w:p>
        </w:tc>
        <w:tc>
          <w:tcPr>
            <w:tcW w:w="2011" w:type="dxa"/>
            <w:tcBorders>
              <w:top w:val="single" w:sz="8" w:space="0" w:color="000000"/>
              <w:left w:val="nil"/>
              <w:bottom w:val="single" w:sz="8" w:space="0" w:color="000000"/>
              <w:right w:val="single" w:sz="8" w:space="0" w:color="000000"/>
            </w:tcBorders>
            <w:shd w:val="clear" w:color="auto" w:fill="auto"/>
          </w:tcPr>
          <w:p w14:paraId="26938A7E" w14:textId="77777777" w:rsidR="00864BE6" w:rsidRDefault="00E17744">
            <w:pPr>
              <w:spacing w:before="1"/>
              <w:rPr>
                <w:b/>
                <w:sz w:val="18"/>
                <w:szCs w:val="18"/>
                <w:u w:val="single"/>
              </w:rPr>
            </w:pPr>
            <w:r>
              <w:rPr>
                <w:color w:val="000000"/>
                <w:sz w:val="18"/>
                <w:szCs w:val="18"/>
              </w:rPr>
              <w:t>Cue Health, Inc.</w:t>
            </w:r>
          </w:p>
        </w:tc>
        <w:tc>
          <w:tcPr>
            <w:tcW w:w="1268" w:type="dxa"/>
            <w:tcBorders>
              <w:top w:val="single" w:sz="8" w:space="0" w:color="000000"/>
              <w:left w:val="nil"/>
              <w:bottom w:val="single" w:sz="8" w:space="0" w:color="000000"/>
              <w:right w:val="single" w:sz="8" w:space="0" w:color="000000"/>
            </w:tcBorders>
            <w:shd w:val="clear" w:color="auto" w:fill="auto"/>
          </w:tcPr>
          <w:p w14:paraId="0534BD8C" w14:textId="77777777" w:rsidR="00864BE6" w:rsidRDefault="00E17744">
            <w:pPr>
              <w:spacing w:before="1"/>
              <w:rPr>
                <w:b/>
                <w:sz w:val="18"/>
                <w:szCs w:val="18"/>
                <w:u w:val="single"/>
              </w:rPr>
            </w:pPr>
            <w:r>
              <w:rPr>
                <w:color w:val="000000"/>
                <w:sz w:val="18"/>
                <w:szCs w:val="18"/>
              </w:rPr>
              <w:t>3,068</w:t>
            </w:r>
          </w:p>
        </w:tc>
        <w:tc>
          <w:tcPr>
            <w:tcW w:w="3055" w:type="dxa"/>
            <w:tcBorders>
              <w:top w:val="single" w:sz="8" w:space="0" w:color="000000"/>
              <w:left w:val="nil"/>
              <w:bottom w:val="single" w:sz="8" w:space="0" w:color="000000"/>
              <w:right w:val="single" w:sz="8" w:space="0" w:color="000000"/>
            </w:tcBorders>
            <w:shd w:val="clear" w:color="auto" w:fill="auto"/>
          </w:tcPr>
          <w:p w14:paraId="5358590F" w14:textId="77777777" w:rsidR="00864BE6" w:rsidRDefault="00E17744">
            <w:pPr>
              <w:spacing w:before="1"/>
              <w:rPr>
                <w:color w:val="000000"/>
                <w:sz w:val="18"/>
                <w:szCs w:val="18"/>
              </w:rPr>
            </w:pPr>
            <w:r>
              <w:rPr>
                <w:color w:val="000000"/>
                <w:sz w:val="18"/>
                <w:szCs w:val="18"/>
              </w:rPr>
              <w:t>Current Executive VP and COO (Cisco Systems, Inc.) (2021-Present)</w:t>
            </w:r>
            <w:r>
              <w:rPr>
                <w:color w:val="000000"/>
                <w:sz w:val="18"/>
                <w:szCs w:val="18"/>
              </w:rPr>
              <w:br/>
            </w:r>
          </w:p>
          <w:p w14:paraId="7F5D6CF0" w14:textId="77777777" w:rsidR="00864BE6" w:rsidRDefault="00E17744">
            <w:pPr>
              <w:spacing w:before="1"/>
              <w:rPr>
                <w:color w:val="000000"/>
                <w:sz w:val="18"/>
                <w:szCs w:val="18"/>
              </w:rPr>
            </w:pPr>
            <w:r>
              <w:rPr>
                <w:color w:val="000000"/>
                <w:sz w:val="18"/>
                <w:szCs w:val="18"/>
              </w:rPr>
              <w:t>Several leadership positions with technology companies (Microsoft, Salesforce, and AT&amp;T)</w:t>
            </w:r>
          </w:p>
          <w:p w14:paraId="3E2920E2" w14:textId="77777777" w:rsidR="00864BE6" w:rsidRDefault="00E17744">
            <w:pPr>
              <w:spacing w:before="1"/>
              <w:rPr>
                <w:b/>
                <w:sz w:val="18"/>
                <w:szCs w:val="18"/>
                <w:u w:val="single"/>
              </w:rPr>
            </w:pPr>
            <w:r>
              <w:rPr>
                <w:color w:val="000000"/>
                <w:sz w:val="18"/>
                <w:szCs w:val="18"/>
              </w:rPr>
              <w:br/>
              <w:t>Experience with business and digital transformation and global leadership</w:t>
            </w:r>
          </w:p>
        </w:tc>
      </w:tr>
      <w:tr w:rsidR="00864BE6" w14:paraId="19EBFA79" w14:textId="77777777">
        <w:trPr>
          <w:trHeight w:val="259"/>
        </w:trPr>
        <w:tc>
          <w:tcPr>
            <w:tcW w:w="10430" w:type="dxa"/>
            <w:gridSpan w:val="6"/>
            <w:shd w:val="clear" w:color="auto" w:fill="FFD965"/>
          </w:tcPr>
          <w:p w14:paraId="74CA8F65" w14:textId="77777777" w:rsidR="00864BE6" w:rsidRDefault="00E17744">
            <w:pPr>
              <w:spacing w:before="1"/>
              <w:jc w:val="center"/>
              <w:rPr>
                <w:b/>
                <w:i/>
                <w:sz w:val="20"/>
                <w:szCs w:val="20"/>
              </w:rPr>
            </w:pPr>
            <w:bookmarkStart w:id="12" w:name="_heading=h.26in1rg" w:colFirst="0" w:colLast="0"/>
            <w:bookmarkEnd w:id="12"/>
            <w:r>
              <w:rPr>
                <w:b/>
                <w:i/>
                <w:sz w:val="20"/>
                <w:szCs w:val="20"/>
              </w:rPr>
              <w:t>Susan R. Salka</w:t>
            </w:r>
          </w:p>
        </w:tc>
      </w:tr>
      <w:tr w:rsidR="00864BE6" w14:paraId="694C085B" w14:textId="77777777" w:rsidTr="00E17744">
        <w:trPr>
          <w:trHeight w:val="2033"/>
        </w:trPr>
        <w:tc>
          <w:tcPr>
            <w:tcW w:w="1701" w:type="dxa"/>
          </w:tcPr>
          <w:p w14:paraId="0CF4B346" w14:textId="77777777" w:rsidR="00864BE6" w:rsidRDefault="00E17744">
            <w:pPr>
              <w:spacing w:before="1"/>
              <w:rPr>
                <w:b/>
                <w:sz w:val="18"/>
                <w:szCs w:val="18"/>
                <w:u w:val="single"/>
              </w:rPr>
            </w:pPr>
            <w:r>
              <w:rPr>
                <w:color w:val="000000"/>
                <w:sz w:val="18"/>
                <w:szCs w:val="18"/>
              </w:rPr>
              <w:t>CEO &amp; President,</w:t>
            </w:r>
            <w:r>
              <w:rPr>
                <w:color w:val="000000"/>
                <w:sz w:val="18"/>
                <w:szCs w:val="18"/>
              </w:rPr>
              <w:br/>
              <w:t>AMN Healthcare Services, Inc.</w:t>
            </w:r>
          </w:p>
        </w:tc>
        <w:tc>
          <w:tcPr>
            <w:tcW w:w="992" w:type="dxa"/>
          </w:tcPr>
          <w:p w14:paraId="228E4A91" w14:textId="77777777" w:rsidR="00864BE6" w:rsidRDefault="00E17744">
            <w:pPr>
              <w:spacing w:before="1"/>
              <w:rPr>
                <w:b/>
                <w:sz w:val="18"/>
                <w:szCs w:val="18"/>
                <w:u w:val="single"/>
              </w:rPr>
            </w:pPr>
            <w:r>
              <w:rPr>
                <w:color w:val="000000"/>
                <w:sz w:val="18"/>
                <w:szCs w:val="18"/>
              </w:rPr>
              <w:t>2014</w:t>
            </w:r>
          </w:p>
        </w:tc>
        <w:tc>
          <w:tcPr>
            <w:tcW w:w="1403" w:type="dxa"/>
          </w:tcPr>
          <w:p w14:paraId="47CF50C0" w14:textId="77777777" w:rsidR="00864BE6" w:rsidRDefault="00E17744">
            <w:pPr>
              <w:spacing w:before="1"/>
              <w:rPr>
                <w:color w:val="000000"/>
                <w:sz w:val="18"/>
                <w:szCs w:val="18"/>
              </w:rPr>
            </w:pPr>
            <w:r>
              <w:rPr>
                <w:color w:val="000000"/>
                <w:sz w:val="18"/>
                <w:szCs w:val="18"/>
              </w:rPr>
              <w:t>Audit</w:t>
            </w:r>
            <w:r>
              <w:rPr>
                <w:color w:val="000000"/>
                <w:sz w:val="18"/>
                <w:szCs w:val="18"/>
              </w:rPr>
              <w:br/>
            </w:r>
          </w:p>
          <w:p w14:paraId="7759B8CD" w14:textId="77777777" w:rsidR="00864BE6" w:rsidRDefault="00E17744">
            <w:pPr>
              <w:spacing w:before="1"/>
              <w:rPr>
                <w:b/>
                <w:sz w:val="18"/>
                <w:szCs w:val="18"/>
                <w:u w:val="single"/>
              </w:rPr>
            </w:pPr>
            <w:r>
              <w:rPr>
                <w:color w:val="000000"/>
                <w:sz w:val="18"/>
                <w:szCs w:val="18"/>
              </w:rPr>
              <w:t>Finance (Chair)</w:t>
            </w:r>
          </w:p>
        </w:tc>
        <w:tc>
          <w:tcPr>
            <w:tcW w:w="2011" w:type="dxa"/>
          </w:tcPr>
          <w:p w14:paraId="4813959F" w14:textId="77777777" w:rsidR="00864BE6" w:rsidRDefault="00E17744">
            <w:pPr>
              <w:spacing w:before="1"/>
              <w:rPr>
                <w:b/>
                <w:sz w:val="18"/>
                <w:szCs w:val="18"/>
                <w:u w:val="single"/>
              </w:rPr>
            </w:pPr>
            <w:r>
              <w:rPr>
                <w:color w:val="000000"/>
                <w:sz w:val="18"/>
                <w:szCs w:val="18"/>
              </w:rPr>
              <w:t>AMN Healthcare Services, Inc.</w:t>
            </w:r>
          </w:p>
        </w:tc>
        <w:tc>
          <w:tcPr>
            <w:tcW w:w="1268" w:type="dxa"/>
          </w:tcPr>
          <w:p w14:paraId="325FC60F" w14:textId="77777777" w:rsidR="00864BE6" w:rsidRDefault="00E17744">
            <w:pPr>
              <w:spacing w:before="1"/>
              <w:rPr>
                <w:b/>
                <w:sz w:val="18"/>
                <w:szCs w:val="18"/>
                <w:u w:val="single"/>
              </w:rPr>
            </w:pPr>
            <w:r>
              <w:rPr>
                <w:color w:val="000000"/>
                <w:sz w:val="18"/>
                <w:szCs w:val="18"/>
              </w:rPr>
              <w:t>10,061</w:t>
            </w:r>
          </w:p>
        </w:tc>
        <w:tc>
          <w:tcPr>
            <w:tcW w:w="3055" w:type="dxa"/>
          </w:tcPr>
          <w:p w14:paraId="1F3E0A5D" w14:textId="77777777" w:rsidR="00864BE6" w:rsidRDefault="00E17744">
            <w:pPr>
              <w:spacing w:before="1"/>
              <w:rPr>
                <w:color w:val="000000"/>
                <w:sz w:val="18"/>
                <w:szCs w:val="18"/>
              </w:rPr>
            </w:pPr>
            <w:r>
              <w:rPr>
                <w:color w:val="000000"/>
                <w:sz w:val="18"/>
                <w:szCs w:val="18"/>
              </w:rPr>
              <w:t xml:space="preserve">Current CEO and President </w:t>
            </w:r>
            <w:r>
              <w:rPr>
                <w:color w:val="000000"/>
                <w:sz w:val="18"/>
                <w:szCs w:val="18"/>
              </w:rPr>
              <w:br/>
              <w:t xml:space="preserve">(AMN Healthcare Services, Inc.) </w:t>
            </w:r>
            <w:r>
              <w:rPr>
                <w:color w:val="000000"/>
                <w:sz w:val="18"/>
                <w:szCs w:val="18"/>
              </w:rPr>
              <w:br/>
            </w:r>
          </w:p>
          <w:p w14:paraId="2A204E41" w14:textId="77777777" w:rsidR="00864BE6" w:rsidRDefault="00E17744">
            <w:pPr>
              <w:spacing w:before="1"/>
              <w:rPr>
                <w:color w:val="000000"/>
                <w:sz w:val="18"/>
                <w:szCs w:val="18"/>
              </w:rPr>
            </w:pPr>
            <w:r>
              <w:rPr>
                <w:color w:val="000000"/>
                <w:sz w:val="18"/>
                <w:szCs w:val="18"/>
              </w:rPr>
              <w:t>Member of Women Business Leaders and Women Corporate Directors</w:t>
            </w:r>
            <w:r>
              <w:rPr>
                <w:color w:val="000000"/>
                <w:sz w:val="18"/>
                <w:szCs w:val="18"/>
              </w:rPr>
              <w:br/>
            </w:r>
          </w:p>
          <w:p w14:paraId="3466DD7E" w14:textId="77777777" w:rsidR="00864BE6" w:rsidRDefault="00E17744">
            <w:pPr>
              <w:spacing w:before="1"/>
              <w:rPr>
                <w:b/>
                <w:sz w:val="18"/>
                <w:szCs w:val="18"/>
                <w:u w:val="single"/>
              </w:rPr>
            </w:pPr>
            <w:r>
              <w:rPr>
                <w:color w:val="000000"/>
                <w:sz w:val="18"/>
                <w:szCs w:val="18"/>
              </w:rPr>
              <w:t>Experiences with long-range planning experience and company board service</w:t>
            </w:r>
          </w:p>
        </w:tc>
      </w:tr>
    </w:tbl>
    <w:p w14:paraId="24E9863E" w14:textId="77777777" w:rsidR="00864BE6" w:rsidRDefault="00E17744">
      <w:r>
        <w:br w:type="page"/>
      </w:r>
    </w:p>
    <w:tbl>
      <w:tblPr>
        <w:tblStyle w:val="ad"/>
        <w:tblW w:w="10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992"/>
        <w:gridCol w:w="1403"/>
        <w:gridCol w:w="2011"/>
        <w:gridCol w:w="1268"/>
        <w:gridCol w:w="3055"/>
      </w:tblGrid>
      <w:tr w:rsidR="00864BE6" w14:paraId="2A78050E" w14:textId="77777777" w:rsidTr="00E17744">
        <w:trPr>
          <w:trHeight w:val="542"/>
        </w:trPr>
        <w:tc>
          <w:tcPr>
            <w:tcW w:w="1701" w:type="dxa"/>
            <w:shd w:val="clear" w:color="auto" w:fill="1F4E79"/>
          </w:tcPr>
          <w:p w14:paraId="2DCFC3AE" w14:textId="77777777" w:rsidR="00864BE6" w:rsidRDefault="00E17744">
            <w:pPr>
              <w:spacing w:before="1"/>
              <w:rPr>
                <w:b/>
                <w:color w:val="FFFFFF"/>
                <w:sz w:val="20"/>
                <w:szCs w:val="20"/>
              </w:rPr>
            </w:pPr>
            <w:r>
              <w:rPr>
                <w:b/>
                <w:color w:val="FFFFFF"/>
                <w:sz w:val="20"/>
                <w:szCs w:val="20"/>
              </w:rPr>
              <w:lastRenderedPageBreak/>
              <w:t>Current Occupation</w:t>
            </w:r>
          </w:p>
        </w:tc>
        <w:tc>
          <w:tcPr>
            <w:tcW w:w="992" w:type="dxa"/>
            <w:shd w:val="clear" w:color="auto" w:fill="1F4E79"/>
          </w:tcPr>
          <w:p w14:paraId="1692A4CF" w14:textId="77777777" w:rsidR="00864BE6" w:rsidRDefault="00E17744">
            <w:pPr>
              <w:spacing w:before="1"/>
              <w:rPr>
                <w:b/>
                <w:color w:val="FFFFFF"/>
                <w:sz w:val="20"/>
                <w:szCs w:val="20"/>
              </w:rPr>
            </w:pPr>
            <w:r>
              <w:rPr>
                <w:b/>
                <w:color w:val="FFFFFF"/>
                <w:sz w:val="20"/>
                <w:szCs w:val="20"/>
              </w:rPr>
              <w:t>Director Since</w:t>
            </w:r>
          </w:p>
        </w:tc>
        <w:tc>
          <w:tcPr>
            <w:tcW w:w="1403" w:type="dxa"/>
            <w:shd w:val="clear" w:color="auto" w:fill="1F4E79"/>
          </w:tcPr>
          <w:p w14:paraId="12C94E54" w14:textId="77777777" w:rsidR="00864BE6" w:rsidRDefault="00E17744">
            <w:pPr>
              <w:spacing w:before="1"/>
              <w:rPr>
                <w:b/>
                <w:color w:val="FFFFFF"/>
                <w:sz w:val="20"/>
                <w:szCs w:val="20"/>
              </w:rPr>
            </w:pPr>
            <w:r>
              <w:rPr>
                <w:b/>
                <w:color w:val="FFFFFF"/>
                <w:sz w:val="20"/>
                <w:szCs w:val="20"/>
              </w:rPr>
              <w:t>Committees</w:t>
            </w:r>
          </w:p>
        </w:tc>
        <w:tc>
          <w:tcPr>
            <w:tcW w:w="2011" w:type="dxa"/>
            <w:shd w:val="clear" w:color="auto" w:fill="1F4E79"/>
          </w:tcPr>
          <w:p w14:paraId="4FCE97AC" w14:textId="77777777" w:rsidR="00864BE6" w:rsidRDefault="00E17744">
            <w:pPr>
              <w:spacing w:before="1"/>
              <w:rPr>
                <w:b/>
                <w:color w:val="FFFFFF"/>
                <w:sz w:val="20"/>
                <w:szCs w:val="20"/>
              </w:rPr>
            </w:pPr>
            <w:r>
              <w:rPr>
                <w:b/>
                <w:color w:val="FFFFFF"/>
                <w:sz w:val="20"/>
                <w:szCs w:val="20"/>
              </w:rPr>
              <w:t>Other Public Boards</w:t>
            </w:r>
          </w:p>
        </w:tc>
        <w:tc>
          <w:tcPr>
            <w:tcW w:w="1268" w:type="dxa"/>
            <w:shd w:val="clear" w:color="auto" w:fill="1F4E79"/>
          </w:tcPr>
          <w:p w14:paraId="439D934D" w14:textId="77777777" w:rsidR="00864BE6" w:rsidRDefault="00E17744">
            <w:pPr>
              <w:spacing w:before="1"/>
              <w:rPr>
                <w:b/>
                <w:color w:val="FFFFFF"/>
                <w:sz w:val="20"/>
                <w:szCs w:val="20"/>
              </w:rPr>
            </w:pPr>
            <w:r>
              <w:rPr>
                <w:b/>
                <w:color w:val="FFFFFF"/>
                <w:sz w:val="20"/>
                <w:szCs w:val="20"/>
              </w:rPr>
              <w:t>Ownership Share</w:t>
            </w:r>
          </w:p>
        </w:tc>
        <w:tc>
          <w:tcPr>
            <w:tcW w:w="3055" w:type="dxa"/>
            <w:shd w:val="clear" w:color="auto" w:fill="1F4E79"/>
          </w:tcPr>
          <w:p w14:paraId="37FE31FB" w14:textId="77777777" w:rsidR="00E17744" w:rsidRDefault="00E17744">
            <w:pPr>
              <w:spacing w:before="1"/>
              <w:rPr>
                <w:b/>
                <w:color w:val="FFFFFF"/>
                <w:sz w:val="20"/>
                <w:szCs w:val="20"/>
              </w:rPr>
            </w:pPr>
            <w:r>
              <w:rPr>
                <w:b/>
                <w:color w:val="FFFFFF"/>
                <w:sz w:val="20"/>
                <w:szCs w:val="20"/>
              </w:rPr>
              <w:t xml:space="preserve">Why is the Director a </w:t>
            </w:r>
          </w:p>
          <w:p w14:paraId="0F28C771" w14:textId="423CF7E0" w:rsidR="00864BE6" w:rsidRDefault="00E17744">
            <w:pPr>
              <w:spacing w:before="1"/>
              <w:rPr>
                <w:b/>
                <w:color w:val="FFFFFF"/>
                <w:sz w:val="20"/>
                <w:szCs w:val="20"/>
              </w:rPr>
            </w:pPr>
            <w:r>
              <w:rPr>
                <w:b/>
                <w:color w:val="FFFFFF"/>
                <w:sz w:val="20"/>
                <w:szCs w:val="20"/>
              </w:rPr>
              <w:t>Good Fit?</w:t>
            </w:r>
          </w:p>
        </w:tc>
      </w:tr>
      <w:tr w:rsidR="00864BE6" w14:paraId="5571988A" w14:textId="77777777">
        <w:trPr>
          <w:trHeight w:val="296"/>
        </w:trPr>
        <w:tc>
          <w:tcPr>
            <w:tcW w:w="10430" w:type="dxa"/>
            <w:gridSpan w:val="6"/>
            <w:shd w:val="clear" w:color="auto" w:fill="FFD965"/>
          </w:tcPr>
          <w:p w14:paraId="5966BD1B" w14:textId="77777777" w:rsidR="00864BE6" w:rsidRDefault="00E17744">
            <w:pPr>
              <w:spacing w:before="1"/>
              <w:jc w:val="center"/>
              <w:rPr>
                <w:b/>
                <w:i/>
                <w:sz w:val="20"/>
                <w:szCs w:val="20"/>
              </w:rPr>
            </w:pPr>
            <w:r>
              <w:rPr>
                <w:b/>
                <w:i/>
                <w:sz w:val="20"/>
                <w:szCs w:val="20"/>
              </w:rPr>
              <w:t>Brian S. Tyler</w:t>
            </w:r>
          </w:p>
        </w:tc>
      </w:tr>
      <w:tr w:rsidR="00864BE6" w14:paraId="5F9072E4" w14:textId="77777777" w:rsidTr="00E17744">
        <w:trPr>
          <w:trHeight w:val="1843"/>
        </w:trPr>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01F5B6E9" w14:textId="77777777" w:rsidR="00864BE6" w:rsidRDefault="00E17744">
            <w:pPr>
              <w:spacing w:before="1"/>
              <w:rPr>
                <w:b/>
                <w:sz w:val="18"/>
                <w:szCs w:val="18"/>
                <w:u w:val="single"/>
              </w:rPr>
            </w:pPr>
            <w:r>
              <w:rPr>
                <w:color w:val="000000"/>
                <w:sz w:val="18"/>
                <w:szCs w:val="18"/>
              </w:rPr>
              <w:t>CEO,</w:t>
            </w:r>
            <w:r>
              <w:rPr>
                <w:color w:val="000000"/>
                <w:sz w:val="18"/>
                <w:szCs w:val="18"/>
              </w:rPr>
              <w:br/>
              <w:t>McKesson Corporation</w:t>
            </w:r>
          </w:p>
        </w:tc>
        <w:tc>
          <w:tcPr>
            <w:tcW w:w="992" w:type="dxa"/>
            <w:tcBorders>
              <w:top w:val="single" w:sz="8" w:space="0" w:color="000000"/>
              <w:left w:val="nil"/>
              <w:bottom w:val="single" w:sz="8" w:space="0" w:color="000000"/>
              <w:right w:val="single" w:sz="8" w:space="0" w:color="000000"/>
            </w:tcBorders>
            <w:shd w:val="clear" w:color="auto" w:fill="auto"/>
          </w:tcPr>
          <w:p w14:paraId="4A76B4C7" w14:textId="77777777" w:rsidR="00864BE6" w:rsidRDefault="00E17744">
            <w:pPr>
              <w:spacing w:before="1"/>
              <w:rPr>
                <w:b/>
                <w:sz w:val="18"/>
                <w:szCs w:val="18"/>
                <w:u w:val="single"/>
              </w:rPr>
            </w:pPr>
            <w:r>
              <w:rPr>
                <w:color w:val="000000"/>
                <w:sz w:val="18"/>
                <w:szCs w:val="18"/>
              </w:rPr>
              <w:t>2019</w:t>
            </w:r>
          </w:p>
        </w:tc>
        <w:tc>
          <w:tcPr>
            <w:tcW w:w="1403" w:type="dxa"/>
            <w:tcBorders>
              <w:top w:val="single" w:sz="8" w:space="0" w:color="000000"/>
              <w:left w:val="nil"/>
              <w:bottom w:val="single" w:sz="8" w:space="0" w:color="000000"/>
              <w:right w:val="single" w:sz="8" w:space="0" w:color="000000"/>
            </w:tcBorders>
            <w:shd w:val="clear" w:color="auto" w:fill="auto"/>
          </w:tcPr>
          <w:p w14:paraId="47020F9C" w14:textId="77777777" w:rsidR="00864BE6" w:rsidRDefault="00E17744">
            <w:pPr>
              <w:spacing w:before="1"/>
              <w:rPr>
                <w:b/>
                <w:sz w:val="18"/>
                <w:szCs w:val="18"/>
                <w:u w:val="single"/>
              </w:rPr>
            </w:pPr>
            <w:r>
              <w:rPr>
                <w:color w:val="000000"/>
                <w:sz w:val="18"/>
                <w:szCs w:val="18"/>
              </w:rPr>
              <w:t>N/A</w:t>
            </w:r>
          </w:p>
        </w:tc>
        <w:tc>
          <w:tcPr>
            <w:tcW w:w="2011" w:type="dxa"/>
            <w:tcBorders>
              <w:top w:val="single" w:sz="8" w:space="0" w:color="000000"/>
              <w:left w:val="nil"/>
              <w:bottom w:val="single" w:sz="8" w:space="0" w:color="000000"/>
              <w:right w:val="single" w:sz="8" w:space="0" w:color="000000"/>
            </w:tcBorders>
            <w:shd w:val="clear" w:color="auto" w:fill="auto"/>
          </w:tcPr>
          <w:p w14:paraId="351DB1EF" w14:textId="77777777" w:rsidR="00864BE6" w:rsidRDefault="00E17744">
            <w:pPr>
              <w:spacing w:before="1"/>
              <w:rPr>
                <w:b/>
                <w:sz w:val="18"/>
                <w:szCs w:val="18"/>
                <w:u w:val="single"/>
              </w:rPr>
            </w:pPr>
            <w:r>
              <w:rPr>
                <w:color w:val="000000"/>
                <w:sz w:val="18"/>
                <w:szCs w:val="18"/>
              </w:rPr>
              <w:t>Republic Services, Inc.</w:t>
            </w:r>
          </w:p>
        </w:tc>
        <w:tc>
          <w:tcPr>
            <w:tcW w:w="1268" w:type="dxa"/>
            <w:tcBorders>
              <w:top w:val="single" w:sz="8" w:space="0" w:color="000000"/>
              <w:left w:val="nil"/>
              <w:bottom w:val="single" w:sz="8" w:space="0" w:color="000000"/>
              <w:right w:val="single" w:sz="8" w:space="0" w:color="000000"/>
            </w:tcBorders>
            <w:shd w:val="clear" w:color="auto" w:fill="auto"/>
          </w:tcPr>
          <w:p w14:paraId="4F3FE4A1" w14:textId="77777777" w:rsidR="00864BE6" w:rsidRDefault="00E17744">
            <w:pPr>
              <w:spacing w:before="1"/>
              <w:rPr>
                <w:b/>
                <w:sz w:val="18"/>
                <w:szCs w:val="18"/>
                <w:u w:val="single"/>
              </w:rPr>
            </w:pPr>
            <w:r>
              <w:rPr>
                <w:color w:val="000000"/>
                <w:sz w:val="18"/>
                <w:szCs w:val="18"/>
              </w:rPr>
              <w:t>172,549</w:t>
            </w:r>
          </w:p>
        </w:tc>
        <w:tc>
          <w:tcPr>
            <w:tcW w:w="3055" w:type="dxa"/>
            <w:tcBorders>
              <w:top w:val="single" w:sz="8" w:space="0" w:color="000000"/>
              <w:left w:val="nil"/>
              <w:bottom w:val="single" w:sz="8" w:space="0" w:color="000000"/>
              <w:right w:val="single" w:sz="8" w:space="0" w:color="000000"/>
            </w:tcBorders>
            <w:shd w:val="clear" w:color="auto" w:fill="auto"/>
          </w:tcPr>
          <w:p w14:paraId="6132E747" w14:textId="77777777" w:rsidR="00864BE6" w:rsidRDefault="00E17744">
            <w:pPr>
              <w:spacing w:before="1"/>
              <w:rPr>
                <w:color w:val="000000"/>
                <w:sz w:val="18"/>
                <w:szCs w:val="18"/>
              </w:rPr>
            </w:pPr>
            <w:r>
              <w:rPr>
                <w:color w:val="000000"/>
                <w:sz w:val="18"/>
                <w:szCs w:val="18"/>
              </w:rPr>
              <w:t xml:space="preserve">Current CEO of McKesson </w:t>
            </w:r>
          </w:p>
          <w:p w14:paraId="78DF731E" w14:textId="77777777" w:rsidR="00864BE6" w:rsidRDefault="00E17744">
            <w:pPr>
              <w:spacing w:before="1"/>
              <w:rPr>
                <w:color w:val="000000"/>
                <w:sz w:val="18"/>
                <w:szCs w:val="18"/>
              </w:rPr>
            </w:pPr>
            <w:r>
              <w:rPr>
                <w:color w:val="000000"/>
                <w:sz w:val="18"/>
                <w:szCs w:val="18"/>
              </w:rPr>
              <w:t>(2019-Present)</w:t>
            </w:r>
            <w:r>
              <w:rPr>
                <w:color w:val="000000"/>
                <w:sz w:val="18"/>
                <w:szCs w:val="18"/>
              </w:rPr>
              <w:br/>
            </w:r>
          </w:p>
          <w:p w14:paraId="2F504E6B" w14:textId="77777777" w:rsidR="00864BE6" w:rsidRDefault="00E17744">
            <w:pPr>
              <w:spacing w:before="1"/>
              <w:rPr>
                <w:color w:val="000000"/>
                <w:sz w:val="18"/>
                <w:szCs w:val="18"/>
              </w:rPr>
            </w:pPr>
            <w:r>
              <w:rPr>
                <w:color w:val="000000"/>
                <w:sz w:val="18"/>
                <w:szCs w:val="18"/>
              </w:rPr>
              <w:t>Different executive positions with McKesson since 2015</w:t>
            </w:r>
            <w:r>
              <w:rPr>
                <w:color w:val="000000"/>
                <w:sz w:val="18"/>
                <w:szCs w:val="18"/>
              </w:rPr>
              <w:br/>
            </w:r>
          </w:p>
          <w:p w14:paraId="36DD36EA" w14:textId="77777777" w:rsidR="00864BE6" w:rsidRDefault="00E17744">
            <w:pPr>
              <w:spacing w:before="1"/>
              <w:rPr>
                <w:b/>
                <w:sz w:val="18"/>
                <w:szCs w:val="18"/>
                <w:u w:val="single"/>
              </w:rPr>
            </w:pPr>
            <w:r>
              <w:rPr>
                <w:color w:val="000000"/>
                <w:sz w:val="18"/>
                <w:szCs w:val="18"/>
              </w:rPr>
              <w:t>Extensive knowledge of the company culture and workforce</w:t>
            </w:r>
          </w:p>
        </w:tc>
      </w:tr>
      <w:tr w:rsidR="00864BE6" w14:paraId="33A8024A" w14:textId="77777777">
        <w:trPr>
          <w:trHeight w:val="286"/>
        </w:trPr>
        <w:tc>
          <w:tcPr>
            <w:tcW w:w="10430" w:type="dxa"/>
            <w:gridSpan w:val="6"/>
            <w:shd w:val="clear" w:color="auto" w:fill="FFD965"/>
          </w:tcPr>
          <w:p w14:paraId="43948465" w14:textId="77777777" w:rsidR="00864BE6" w:rsidRDefault="00E17744">
            <w:pPr>
              <w:spacing w:before="1"/>
              <w:jc w:val="center"/>
              <w:rPr>
                <w:b/>
                <w:i/>
                <w:sz w:val="20"/>
                <w:szCs w:val="20"/>
              </w:rPr>
            </w:pPr>
            <w:r>
              <w:rPr>
                <w:b/>
                <w:i/>
                <w:sz w:val="20"/>
                <w:szCs w:val="20"/>
              </w:rPr>
              <w:t>Kathleen Wilson-Thompson</w:t>
            </w:r>
          </w:p>
        </w:tc>
      </w:tr>
      <w:tr w:rsidR="00864BE6" w14:paraId="47D4714B" w14:textId="77777777" w:rsidTr="00E17744">
        <w:trPr>
          <w:trHeight w:val="2257"/>
        </w:trPr>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4F6CA46D" w14:textId="77777777" w:rsidR="00864BE6" w:rsidRDefault="00E17744">
            <w:pPr>
              <w:spacing w:before="1"/>
              <w:rPr>
                <w:b/>
                <w:sz w:val="18"/>
                <w:szCs w:val="18"/>
                <w:u w:val="single"/>
              </w:rPr>
            </w:pPr>
            <w:r>
              <w:rPr>
                <w:color w:val="000000"/>
                <w:sz w:val="18"/>
                <w:szCs w:val="18"/>
              </w:rPr>
              <w:t>Retired EVP &amp; Global CHRO, Walgreens Boots Alliance, Inc.</w:t>
            </w:r>
          </w:p>
        </w:tc>
        <w:tc>
          <w:tcPr>
            <w:tcW w:w="992" w:type="dxa"/>
            <w:tcBorders>
              <w:top w:val="single" w:sz="8" w:space="0" w:color="000000"/>
              <w:left w:val="nil"/>
              <w:bottom w:val="single" w:sz="8" w:space="0" w:color="000000"/>
              <w:right w:val="single" w:sz="8" w:space="0" w:color="000000"/>
            </w:tcBorders>
            <w:shd w:val="clear" w:color="auto" w:fill="auto"/>
          </w:tcPr>
          <w:p w14:paraId="15ECD7BF" w14:textId="77777777" w:rsidR="00864BE6" w:rsidRDefault="00E17744">
            <w:pPr>
              <w:spacing w:before="1"/>
              <w:rPr>
                <w:b/>
                <w:sz w:val="18"/>
                <w:szCs w:val="18"/>
                <w:u w:val="single"/>
              </w:rPr>
            </w:pPr>
            <w:r>
              <w:rPr>
                <w:color w:val="000000"/>
                <w:sz w:val="18"/>
                <w:szCs w:val="18"/>
              </w:rPr>
              <w:t>2022</w:t>
            </w:r>
          </w:p>
        </w:tc>
        <w:tc>
          <w:tcPr>
            <w:tcW w:w="1403" w:type="dxa"/>
            <w:tcBorders>
              <w:top w:val="single" w:sz="8" w:space="0" w:color="000000"/>
              <w:left w:val="nil"/>
              <w:bottom w:val="single" w:sz="8" w:space="0" w:color="000000"/>
              <w:right w:val="single" w:sz="8" w:space="0" w:color="000000"/>
            </w:tcBorders>
            <w:shd w:val="clear" w:color="auto" w:fill="auto"/>
          </w:tcPr>
          <w:p w14:paraId="3A1D6E50" w14:textId="77777777" w:rsidR="00864BE6" w:rsidRDefault="00E17744">
            <w:pPr>
              <w:spacing w:before="1"/>
              <w:rPr>
                <w:color w:val="000000"/>
                <w:sz w:val="18"/>
                <w:szCs w:val="18"/>
              </w:rPr>
            </w:pPr>
            <w:r>
              <w:rPr>
                <w:color w:val="000000"/>
                <w:sz w:val="18"/>
                <w:szCs w:val="18"/>
              </w:rPr>
              <w:t>Compensation</w:t>
            </w:r>
            <w:r>
              <w:rPr>
                <w:color w:val="000000"/>
                <w:sz w:val="18"/>
                <w:szCs w:val="18"/>
              </w:rPr>
              <w:br/>
            </w:r>
          </w:p>
          <w:p w14:paraId="161DC82F" w14:textId="77777777" w:rsidR="00864BE6" w:rsidRDefault="00E17744">
            <w:pPr>
              <w:spacing w:before="1"/>
              <w:rPr>
                <w:b/>
                <w:sz w:val="18"/>
                <w:szCs w:val="18"/>
                <w:u w:val="single"/>
              </w:rPr>
            </w:pPr>
            <w:r>
              <w:rPr>
                <w:color w:val="000000"/>
                <w:sz w:val="18"/>
                <w:szCs w:val="18"/>
              </w:rPr>
              <w:t>Governance</w:t>
            </w:r>
          </w:p>
        </w:tc>
        <w:tc>
          <w:tcPr>
            <w:tcW w:w="2011" w:type="dxa"/>
            <w:tcBorders>
              <w:top w:val="single" w:sz="8" w:space="0" w:color="000000"/>
              <w:left w:val="nil"/>
              <w:bottom w:val="single" w:sz="8" w:space="0" w:color="000000"/>
              <w:right w:val="single" w:sz="8" w:space="0" w:color="000000"/>
            </w:tcBorders>
            <w:shd w:val="clear" w:color="auto" w:fill="auto"/>
          </w:tcPr>
          <w:p w14:paraId="0F9573BE" w14:textId="77777777" w:rsidR="00864BE6" w:rsidRDefault="00E17744">
            <w:pPr>
              <w:spacing w:before="1"/>
              <w:rPr>
                <w:color w:val="000000"/>
                <w:sz w:val="18"/>
                <w:szCs w:val="18"/>
              </w:rPr>
            </w:pPr>
            <w:r>
              <w:rPr>
                <w:color w:val="000000"/>
                <w:sz w:val="18"/>
                <w:szCs w:val="18"/>
              </w:rPr>
              <w:t>Tesla, Inc.</w:t>
            </w:r>
            <w:r>
              <w:rPr>
                <w:color w:val="000000"/>
                <w:sz w:val="18"/>
                <w:szCs w:val="18"/>
              </w:rPr>
              <w:br/>
            </w:r>
          </w:p>
          <w:p w14:paraId="7385EA21" w14:textId="77777777" w:rsidR="00864BE6" w:rsidRDefault="00E17744">
            <w:pPr>
              <w:spacing w:before="1"/>
              <w:rPr>
                <w:b/>
                <w:sz w:val="18"/>
                <w:szCs w:val="18"/>
                <w:u w:val="single"/>
              </w:rPr>
            </w:pPr>
            <w:r>
              <w:rPr>
                <w:color w:val="000000"/>
                <w:sz w:val="18"/>
                <w:szCs w:val="18"/>
              </w:rPr>
              <w:t xml:space="preserve">Wolverine </w:t>
            </w:r>
            <w:proofErr w:type="gramStart"/>
            <w:r>
              <w:rPr>
                <w:color w:val="000000"/>
                <w:sz w:val="18"/>
                <w:szCs w:val="18"/>
              </w:rPr>
              <w:t>World Wide</w:t>
            </w:r>
            <w:proofErr w:type="gramEnd"/>
            <w:r>
              <w:rPr>
                <w:color w:val="000000"/>
                <w:sz w:val="18"/>
                <w:szCs w:val="18"/>
              </w:rPr>
              <w:t>, Inc.</w:t>
            </w:r>
          </w:p>
        </w:tc>
        <w:tc>
          <w:tcPr>
            <w:tcW w:w="1268" w:type="dxa"/>
            <w:tcBorders>
              <w:top w:val="single" w:sz="8" w:space="0" w:color="000000"/>
              <w:left w:val="nil"/>
              <w:bottom w:val="single" w:sz="8" w:space="0" w:color="000000"/>
              <w:right w:val="single" w:sz="8" w:space="0" w:color="000000"/>
            </w:tcBorders>
            <w:shd w:val="clear" w:color="auto" w:fill="auto"/>
          </w:tcPr>
          <w:p w14:paraId="7373F756" w14:textId="77777777" w:rsidR="00864BE6" w:rsidRDefault="00E17744">
            <w:pPr>
              <w:spacing w:before="1"/>
              <w:rPr>
                <w:b/>
                <w:sz w:val="18"/>
                <w:szCs w:val="18"/>
                <w:u w:val="single"/>
              </w:rPr>
            </w:pPr>
            <w:r>
              <w:rPr>
                <w:color w:val="000000"/>
                <w:sz w:val="18"/>
                <w:szCs w:val="18"/>
              </w:rPr>
              <w:t>349</w:t>
            </w:r>
          </w:p>
        </w:tc>
        <w:tc>
          <w:tcPr>
            <w:tcW w:w="3055" w:type="dxa"/>
            <w:tcBorders>
              <w:top w:val="single" w:sz="8" w:space="0" w:color="000000"/>
              <w:left w:val="nil"/>
              <w:bottom w:val="single" w:sz="8" w:space="0" w:color="000000"/>
              <w:right w:val="single" w:sz="8" w:space="0" w:color="000000"/>
            </w:tcBorders>
            <w:shd w:val="clear" w:color="auto" w:fill="auto"/>
          </w:tcPr>
          <w:p w14:paraId="42E4881E" w14:textId="77777777" w:rsidR="00864BE6" w:rsidRDefault="00E17744">
            <w:pPr>
              <w:spacing w:before="1"/>
              <w:rPr>
                <w:color w:val="000000"/>
                <w:sz w:val="18"/>
                <w:szCs w:val="18"/>
              </w:rPr>
            </w:pPr>
            <w:r>
              <w:rPr>
                <w:color w:val="000000"/>
                <w:sz w:val="18"/>
                <w:szCs w:val="18"/>
              </w:rPr>
              <w:t>Former executive VP and global chief HR officer for Walgreens</w:t>
            </w:r>
            <w:r>
              <w:rPr>
                <w:color w:val="000000"/>
                <w:sz w:val="18"/>
                <w:szCs w:val="18"/>
              </w:rPr>
              <w:br/>
              <w:t>(2014-2021)</w:t>
            </w:r>
            <w:r>
              <w:rPr>
                <w:color w:val="000000"/>
                <w:sz w:val="18"/>
                <w:szCs w:val="18"/>
              </w:rPr>
              <w:br/>
            </w:r>
          </w:p>
          <w:p w14:paraId="5446B3B3" w14:textId="77777777" w:rsidR="00864BE6" w:rsidRDefault="00E17744">
            <w:pPr>
              <w:spacing w:before="1"/>
              <w:rPr>
                <w:color w:val="000000"/>
                <w:sz w:val="18"/>
                <w:szCs w:val="18"/>
              </w:rPr>
            </w:pPr>
            <w:r>
              <w:rPr>
                <w:color w:val="000000"/>
                <w:sz w:val="18"/>
                <w:szCs w:val="18"/>
              </w:rPr>
              <w:t>Former senior VP global HR for Kellogg Company (2010-2014)</w:t>
            </w:r>
            <w:r>
              <w:rPr>
                <w:color w:val="000000"/>
                <w:sz w:val="18"/>
                <w:szCs w:val="18"/>
              </w:rPr>
              <w:br/>
            </w:r>
          </w:p>
          <w:p w14:paraId="3768BAD6" w14:textId="77777777" w:rsidR="00864BE6" w:rsidRDefault="00E17744">
            <w:pPr>
              <w:spacing w:before="1"/>
              <w:rPr>
                <w:b/>
                <w:sz w:val="18"/>
                <w:szCs w:val="18"/>
                <w:u w:val="single"/>
              </w:rPr>
            </w:pPr>
            <w:r>
              <w:rPr>
                <w:color w:val="000000"/>
                <w:sz w:val="18"/>
                <w:szCs w:val="18"/>
              </w:rPr>
              <w:t xml:space="preserve">Experience with human capital management and extensive </w:t>
            </w:r>
            <w:r>
              <w:rPr>
                <w:color w:val="000000"/>
                <w:sz w:val="18"/>
                <w:szCs w:val="18"/>
              </w:rPr>
              <w:br/>
              <w:t xml:space="preserve">board service </w:t>
            </w:r>
          </w:p>
        </w:tc>
      </w:tr>
    </w:tbl>
    <w:p w14:paraId="3C0B2403" w14:textId="77777777" w:rsidR="00864BE6" w:rsidRDefault="00864BE6">
      <w:pPr>
        <w:pBdr>
          <w:top w:val="nil"/>
          <w:left w:val="nil"/>
          <w:bottom w:val="nil"/>
          <w:right w:val="nil"/>
          <w:between w:val="nil"/>
        </w:pBdr>
        <w:spacing w:before="1"/>
        <w:rPr>
          <w:b/>
          <w:sz w:val="24"/>
          <w:szCs w:val="24"/>
          <w:u w:val="single"/>
        </w:rPr>
      </w:pPr>
    </w:p>
    <w:p w14:paraId="127151CC" w14:textId="77777777" w:rsidR="00864BE6" w:rsidRDefault="00E17744">
      <w:pPr>
        <w:spacing w:line="480" w:lineRule="auto"/>
        <w:rPr>
          <w:sz w:val="24"/>
          <w:szCs w:val="24"/>
        </w:rPr>
      </w:pPr>
      <w:r>
        <w:rPr>
          <w:b/>
          <w:sz w:val="24"/>
          <w:szCs w:val="24"/>
        </w:rPr>
        <w:t>Brian S. Tyler</w:t>
      </w:r>
      <w:r>
        <w:rPr>
          <w:sz w:val="24"/>
          <w:szCs w:val="24"/>
        </w:rPr>
        <w:t xml:space="preserve"> currently serves as McKesson’s CEO (since April 1, 2019). His former executive roles with the company include chairman on the management board, president of North American Pharmaceutical Distribution and Services, and vice president of corporate strategy and business development. Mr. Tyler has more than 22 years of experience in the healthcare field, and has sat on the board of directors since 2021. </w:t>
      </w:r>
    </w:p>
    <w:p w14:paraId="205BB642" w14:textId="77777777" w:rsidR="00864BE6" w:rsidRDefault="00E17744">
      <w:pPr>
        <w:pBdr>
          <w:top w:val="nil"/>
          <w:left w:val="nil"/>
          <w:bottom w:val="nil"/>
          <w:right w:val="nil"/>
          <w:between w:val="nil"/>
        </w:pBdr>
        <w:spacing w:before="1" w:line="480" w:lineRule="auto"/>
        <w:rPr>
          <w:sz w:val="24"/>
          <w:szCs w:val="24"/>
        </w:rPr>
      </w:pPr>
      <w:r>
        <w:rPr>
          <w:sz w:val="24"/>
          <w:szCs w:val="24"/>
        </w:rPr>
        <w:t>Mr. Tyler is not the Chairman of the Board; independent chair Donald R. Knauss currently occupies the role of Chairman of the Board. Table 4 displays the current list of top executives at McKesson and their individual ownership shares (as of June 9, 2022):</w:t>
      </w:r>
    </w:p>
    <w:tbl>
      <w:tblPr>
        <w:tblStyle w:val="ae"/>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5670"/>
        <w:gridCol w:w="2160"/>
      </w:tblGrid>
      <w:tr w:rsidR="00864BE6" w14:paraId="629A6DFB" w14:textId="77777777" w:rsidTr="00E17744">
        <w:trPr>
          <w:trHeight w:val="341"/>
        </w:trPr>
        <w:tc>
          <w:tcPr>
            <w:tcW w:w="2335" w:type="dxa"/>
            <w:tcBorders>
              <w:bottom w:val="single" w:sz="4" w:space="0" w:color="000000"/>
            </w:tcBorders>
            <w:shd w:val="clear" w:color="auto" w:fill="1F4E79"/>
          </w:tcPr>
          <w:p w14:paraId="796BCFD3" w14:textId="77777777" w:rsidR="00864BE6" w:rsidRDefault="00E17744">
            <w:pPr>
              <w:spacing w:before="1"/>
              <w:rPr>
                <w:b/>
                <w:color w:val="FFFFFF"/>
                <w:sz w:val="24"/>
                <w:szCs w:val="24"/>
              </w:rPr>
            </w:pPr>
            <w:r>
              <w:rPr>
                <w:b/>
                <w:color w:val="FFFFFF"/>
                <w:sz w:val="24"/>
                <w:szCs w:val="24"/>
              </w:rPr>
              <w:t>Name</w:t>
            </w:r>
          </w:p>
        </w:tc>
        <w:tc>
          <w:tcPr>
            <w:tcW w:w="5670" w:type="dxa"/>
            <w:tcBorders>
              <w:bottom w:val="single" w:sz="4" w:space="0" w:color="000000"/>
            </w:tcBorders>
            <w:shd w:val="clear" w:color="auto" w:fill="1F4E79"/>
          </w:tcPr>
          <w:p w14:paraId="3810C74A" w14:textId="77777777" w:rsidR="00864BE6" w:rsidRDefault="00E17744">
            <w:pPr>
              <w:spacing w:before="1"/>
              <w:rPr>
                <w:b/>
                <w:color w:val="FFFFFF"/>
                <w:sz w:val="24"/>
                <w:szCs w:val="24"/>
              </w:rPr>
            </w:pPr>
            <w:r>
              <w:rPr>
                <w:b/>
                <w:color w:val="FFFFFF"/>
                <w:sz w:val="24"/>
                <w:szCs w:val="24"/>
              </w:rPr>
              <w:t>Current Executive Role</w:t>
            </w:r>
          </w:p>
        </w:tc>
        <w:tc>
          <w:tcPr>
            <w:tcW w:w="2160" w:type="dxa"/>
            <w:tcBorders>
              <w:bottom w:val="single" w:sz="4" w:space="0" w:color="000000"/>
            </w:tcBorders>
            <w:shd w:val="clear" w:color="auto" w:fill="1F4E79"/>
          </w:tcPr>
          <w:p w14:paraId="76BA429D" w14:textId="77777777" w:rsidR="00864BE6" w:rsidRDefault="00E17744">
            <w:pPr>
              <w:spacing w:before="1"/>
              <w:rPr>
                <w:b/>
                <w:color w:val="FFFFFF"/>
                <w:sz w:val="24"/>
                <w:szCs w:val="24"/>
              </w:rPr>
            </w:pPr>
            <w:r>
              <w:rPr>
                <w:b/>
                <w:color w:val="FFFFFF"/>
                <w:sz w:val="24"/>
                <w:szCs w:val="24"/>
              </w:rPr>
              <w:t>Ownership Share</w:t>
            </w:r>
          </w:p>
        </w:tc>
      </w:tr>
      <w:tr w:rsidR="00864BE6" w14:paraId="27B7C713" w14:textId="77777777">
        <w:trPr>
          <w:trHeight w:val="359"/>
        </w:trPr>
        <w:tc>
          <w:tcPr>
            <w:tcW w:w="2335" w:type="dxa"/>
            <w:shd w:val="clear" w:color="auto" w:fill="FFD965"/>
          </w:tcPr>
          <w:p w14:paraId="597A1438" w14:textId="77777777" w:rsidR="00864BE6" w:rsidRDefault="00E17744">
            <w:pPr>
              <w:spacing w:before="1"/>
              <w:rPr>
                <w:b/>
              </w:rPr>
            </w:pPr>
            <w:r>
              <w:rPr>
                <w:b/>
              </w:rPr>
              <w:t>Brian S. Tyler</w:t>
            </w:r>
          </w:p>
        </w:tc>
        <w:tc>
          <w:tcPr>
            <w:tcW w:w="5670" w:type="dxa"/>
          </w:tcPr>
          <w:p w14:paraId="3B66809C" w14:textId="77777777" w:rsidR="00864BE6" w:rsidRDefault="00E17744">
            <w:pPr>
              <w:spacing w:before="1"/>
            </w:pPr>
            <w:r>
              <w:t>Chief Executive Officer</w:t>
            </w:r>
          </w:p>
        </w:tc>
        <w:tc>
          <w:tcPr>
            <w:tcW w:w="2160" w:type="dxa"/>
          </w:tcPr>
          <w:p w14:paraId="6660B976" w14:textId="77777777" w:rsidR="00864BE6" w:rsidRDefault="00E17744">
            <w:pPr>
              <w:spacing w:before="1"/>
            </w:pPr>
            <w:r>
              <w:t>172,549</w:t>
            </w:r>
          </w:p>
        </w:tc>
      </w:tr>
      <w:tr w:rsidR="00864BE6" w14:paraId="40532B98" w14:textId="77777777" w:rsidTr="00E17744">
        <w:trPr>
          <w:trHeight w:val="394"/>
        </w:trPr>
        <w:tc>
          <w:tcPr>
            <w:tcW w:w="2335" w:type="dxa"/>
            <w:tcBorders>
              <w:top w:val="single" w:sz="4" w:space="0" w:color="000000"/>
              <w:left w:val="single" w:sz="4" w:space="0" w:color="000000"/>
              <w:bottom w:val="single" w:sz="4" w:space="0" w:color="000000"/>
              <w:right w:val="single" w:sz="4" w:space="0" w:color="000000"/>
            </w:tcBorders>
            <w:shd w:val="clear" w:color="auto" w:fill="FFD965"/>
          </w:tcPr>
          <w:p w14:paraId="505CEA42" w14:textId="77777777" w:rsidR="00864BE6" w:rsidRDefault="00E17744">
            <w:pPr>
              <w:spacing w:before="1"/>
              <w:rPr>
                <w:b/>
                <w:u w:val="single"/>
              </w:rPr>
            </w:pPr>
            <w:r>
              <w:rPr>
                <w:b/>
                <w:color w:val="000000"/>
              </w:rPr>
              <w:t>Britt J. Vitalone</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1793D553" w14:textId="77777777" w:rsidR="00864BE6" w:rsidRDefault="00E17744">
            <w:pPr>
              <w:spacing w:before="1"/>
              <w:rPr>
                <w:b/>
                <w:u w:val="single"/>
              </w:rPr>
            </w:pPr>
            <w:r>
              <w:rPr>
                <w:color w:val="000000"/>
              </w:rPr>
              <w:t>Executive Vice President and Chief Financial Officer</w:t>
            </w:r>
          </w:p>
        </w:tc>
        <w:tc>
          <w:tcPr>
            <w:tcW w:w="2160" w:type="dxa"/>
            <w:tcBorders>
              <w:top w:val="single" w:sz="4" w:space="0" w:color="000000"/>
              <w:left w:val="single" w:sz="4" w:space="0" w:color="000000"/>
              <w:bottom w:val="single" w:sz="4" w:space="0" w:color="000000"/>
              <w:right w:val="single" w:sz="4" w:space="0" w:color="000000"/>
            </w:tcBorders>
          </w:tcPr>
          <w:p w14:paraId="1D6B817C" w14:textId="77777777" w:rsidR="00864BE6" w:rsidRDefault="00E17744">
            <w:pPr>
              <w:spacing w:before="1"/>
              <w:rPr>
                <w:color w:val="000000"/>
              </w:rPr>
            </w:pPr>
            <w:r>
              <w:rPr>
                <w:color w:val="000000"/>
              </w:rPr>
              <w:t>20,562</w:t>
            </w:r>
          </w:p>
        </w:tc>
      </w:tr>
      <w:tr w:rsidR="00864BE6" w14:paraId="6953457B" w14:textId="77777777">
        <w:trPr>
          <w:trHeight w:val="619"/>
        </w:trPr>
        <w:tc>
          <w:tcPr>
            <w:tcW w:w="2335" w:type="dxa"/>
            <w:shd w:val="clear" w:color="auto" w:fill="FFD965"/>
          </w:tcPr>
          <w:p w14:paraId="51BC2CE0" w14:textId="77777777" w:rsidR="00864BE6" w:rsidRDefault="00E17744">
            <w:pPr>
              <w:spacing w:before="1"/>
              <w:rPr>
                <w:b/>
                <w:u w:val="single"/>
              </w:rPr>
            </w:pPr>
            <w:r>
              <w:rPr>
                <w:b/>
                <w:color w:val="000000"/>
              </w:rPr>
              <w:t>Lori A. Schechter</w:t>
            </w:r>
          </w:p>
        </w:tc>
        <w:tc>
          <w:tcPr>
            <w:tcW w:w="5670" w:type="dxa"/>
          </w:tcPr>
          <w:p w14:paraId="3B12723B" w14:textId="77777777" w:rsidR="00864BE6" w:rsidRDefault="00E17744">
            <w:pPr>
              <w:spacing w:before="1"/>
              <w:rPr>
                <w:color w:val="000000"/>
              </w:rPr>
            </w:pPr>
            <w:r>
              <w:rPr>
                <w:color w:val="000000"/>
              </w:rPr>
              <w:t xml:space="preserve">Executive Vice President, Chief Legal Officer, and </w:t>
            </w:r>
          </w:p>
          <w:p w14:paraId="4DB507A4" w14:textId="77777777" w:rsidR="00864BE6" w:rsidRDefault="00E17744">
            <w:pPr>
              <w:spacing w:before="1"/>
              <w:rPr>
                <w:b/>
                <w:u w:val="single"/>
              </w:rPr>
            </w:pPr>
            <w:r>
              <w:rPr>
                <w:color w:val="000000"/>
              </w:rPr>
              <w:t>General Counsel</w:t>
            </w:r>
          </w:p>
        </w:tc>
        <w:tc>
          <w:tcPr>
            <w:tcW w:w="2160" w:type="dxa"/>
          </w:tcPr>
          <w:p w14:paraId="34F2FFFC" w14:textId="77777777" w:rsidR="00864BE6" w:rsidRDefault="00E17744">
            <w:pPr>
              <w:spacing w:before="1"/>
              <w:rPr>
                <w:color w:val="000000"/>
              </w:rPr>
            </w:pPr>
            <w:r>
              <w:rPr>
                <w:color w:val="000000"/>
              </w:rPr>
              <w:t>24,786</w:t>
            </w:r>
          </w:p>
        </w:tc>
      </w:tr>
      <w:tr w:rsidR="00864BE6" w14:paraId="64CCE99D" w14:textId="77777777">
        <w:trPr>
          <w:trHeight w:val="611"/>
        </w:trPr>
        <w:tc>
          <w:tcPr>
            <w:tcW w:w="2335" w:type="dxa"/>
            <w:shd w:val="clear" w:color="auto" w:fill="FFD965"/>
          </w:tcPr>
          <w:p w14:paraId="3A9D5ED8" w14:textId="77777777" w:rsidR="00864BE6" w:rsidRDefault="00E17744">
            <w:pPr>
              <w:spacing w:before="1"/>
              <w:rPr>
                <w:b/>
                <w:u w:val="single"/>
              </w:rPr>
            </w:pPr>
            <w:r>
              <w:rPr>
                <w:b/>
                <w:color w:val="000000"/>
              </w:rPr>
              <w:t>Tracy L. Faber</w:t>
            </w:r>
          </w:p>
        </w:tc>
        <w:tc>
          <w:tcPr>
            <w:tcW w:w="5670" w:type="dxa"/>
          </w:tcPr>
          <w:p w14:paraId="424C522B" w14:textId="77777777" w:rsidR="00864BE6" w:rsidRDefault="00E17744">
            <w:pPr>
              <w:spacing w:before="1"/>
              <w:rPr>
                <w:b/>
                <w:u w:val="single"/>
              </w:rPr>
            </w:pPr>
            <w:r>
              <w:rPr>
                <w:color w:val="000000"/>
              </w:rPr>
              <w:t>Executive Vice President and Chief Human Resources Officer</w:t>
            </w:r>
          </w:p>
        </w:tc>
        <w:tc>
          <w:tcPr>
            <w:tcW w:w="2160" w:type="dxa"/>
          </w:tcPr>
          <w:p w14:paraId="04F92353" w14:textId="77777777" w:rsidR="00864BE6" w:rsidRDefault="00E17744">
            <w:pPr>
              <w:spacing w:before="1"/>
              <w:rPr>
                <w:color w:val="000000"/>
              </w:rPr>
            </w:pPr>
            <w:r>
              <w:rPr>
                <w:color w:val="000000"/>
              </w:rPr>
              <w:t>15,566</w:t>
            </w:r>
          </w:p>
        </w:tc>
      </w:tr>
      <w:tr w:rsidR="00864BE6" w14:paraId="41D1D4F0" w14:textId="77777777" w:rsidTr="00E17744">
        <w:trPr>
          <w:trHeight w:val="619"/>
        </w:trPr>
        <w:tc>
          <w:tcPr>
            <w:tcW w:w="2335" w:type="dxa"/>
            <w:tcBorders>
              <w:top w:val="single" w:sz="4" w:space="0" w:color="000000"/>
              <w:left w:val="single" w:sz="4" w:space="0" w:color="000000"/>
              <w:bottom w:val="single" w:sz="4" w:space="0" w:color="000000"/>
              <w:right w:val="single" w:sz="4" w:space="0" w:color="000000"/>
            </w:tcBorders>
            <w:shd w:val="clear" w:color="auto" w:fill="FFD965"/>
          </w:tcPr>
          <w:p w14:paraId="242B0A4C" w14:textId="77777777" w:rsidR="00864BE6" w:rsidRDefault="00E17744">
            <w:pPr>
              <w:spacing w:before="1"/>
              <w:rPr>
                <w:b/>
                <w:u w:val="single"/>
              </w:rPr>
            </w:pPr>
            <w:r>
              <w:rPr>
                <w:b/>
                <w:color w:val="000000"/>
              </w:rPr>
              <w:t>Nancy Flores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2236CC6B" w14:textId="77777777" w:rsidR="00864BE6" w:rsidRDefault="00E17744">
            <w:pPr>
              <w:spacing w:before="1"/>
              <w:rPr>
                <w:b/>
                <w:u w:val="single"/>
              </w:rPr>
            </w:pPr>
            <w:r>
              <w:rPr>
                <w:color w:val="000000"/>
              </w:rPr>
              <w:t>Executive Vice President, Chief Information Officer, and Chief Technology Officer</w:t>
            </w:r>
          </w:p>
        </w:tc>
        <w:tc>
          <w:tcPr>
            <w:tcW w:w="2160" w:type="dxa"/>
            <w:tcBorders>
              <w:top w:val="single" w:sz="4" w:space="0" w:color="000000"/>
              <w:left w:val="single" w:sz="4" w:space="0" w:color="000000"/>
              <w:bottom w:val="single" w:sz="4" w:space="0" w:color="000000"/>
              <w:right w:val="single" w:sz="4" w:space="0" w:color="000000"/>
            </w:tcBorders>
          </w:tcPr>
          <w:p w14:paraId="2B4CF14D" w14:textId="77777777" w:rsidR="00864BE6" w:rsidRDefault="00E17744">
            <w:pPr>
              <w:spacing w:before="1"/>
              <w:rPr>
                <w:color w:val="000000"/>
              </w:rPr>
            </w:pPr>
            <w:r>
              <w:rPr>
                <w:color w:val="000000"/>
              </w:rPr>
              <w:t>5,458</w:t>
            </w:r>
          </w:p>
        </w:tc>
      </w:tr>
    </w:tbl>
    <w:p w14:paraId="29E2DD58" w14:textId="77777777" w:rsidR="00864BE6" w:rsidRDefault="00864BE6">
      <w:pPr>
        <w:rPr>
          <w:sz w:val="24"/>
          <w:szCs w:val="24"/>
        </w:rPr>
      </w:pPr>
    </w:p>
    <w:p w14:paraId="7F5250DB" w14:textId="77777777" w:rsidR="00864BE6" w:rsidRDefault="00E17744">
      <w:pPr>
        <w:pBdr>
          <w:top w:val="nil"/>
          <w:left w:val="nil"/>
          <w:bottom w:val="nil"/>
          <w:right w:val="nil"/>
          <w:between w:val="nil"/>
        </w:pBdr>
        <w:spacing w:before="1" w:line="480" w:lineRule="auto"/>
        <w:rPr>
          <w:sz w:val="24"/>
          <w:szCs w:val="24"/>
        </w:rPr>
      </w:pPr>
      <w:r>
        <w:rPr>
          <w:sz w:val="24"/>
          <w:szCs w:val="24"/>
        </w:rPr>
        <w:lastRenderedPageBreak/>
        <w:t>Table 5 displays the current compensation for the top executives at McKesson (as of June 9, 2022):</w:t>
      </w:r>
    </w:p>
    <w:tbl>
      <w:tblPr>
        <w:tblStyle w:val="af"/>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2"/>
        <w:gridCol w:w="1324"/>
        <w:gridCol w:w="1109"/>
        <w:gridCol w:w="1391"/>
        <w:gridCol w:w="2119"/>
        <w:gridCol w:w="2250"/>
        <w:gridCol w:w="1260"/>
      </w:tblGrid>
      <w:tr w:rsidR="00864BE6" w14:paraId="3F3F885C" w14:textId="77777777" w:rsidTr="00FF097E">
        <w:trPr>
          <w:trHeight w:val="776"/>
        </w:trPr>
        <w:tc>
          <w:tcPr>
            <w:tcW w:w="802" w:type="dxa"/>
            <w:shd w:val="clear" w:color="auto" w:fill="1F4E79"/>
          </w:tcPr>
          <w:p w14:paraId="13F4E43D" w14:textId="77777777" w:rsidR="00864BE6" w:rsidRDefault="00E17744">
            <w:pPr>
              <w:spacing w:before="1"/>
              <w:rPr>
                <w:b/>
                <w:color w:val="FFFFFF"/>
                <w:sz w:val="20"/>
                <w:szCs w:val="20"/>
              </w:rPr>
            </w:pPr>
            <w:r>
              <w:rPr>
                <w:b/>
                <w:color w:val="FFFFFF"/>
                <w:sz w:val="20"/>
                <w:szCs w:val="20"/>
              </w:rPr>
              <w:t>Fiscal Year</w:t>
            </w:r>
          </w:p>
        </w:tc>
        <w:tc>
          <w:tcPr>
            <w:tcW w:w="1324" w:type="dxa"/>
            <w:shd w:val="clear" w:color="auto" w:fill="1F4E79"/>
          </w:tcPr>
          <w:p w14:paraId="34E4A33F" w14:textId="77777777" w:rsidR="00864BE6" w:rsidRDefault="00E17744">
            <w:pPr>
              <w:spacing w:before="1"/>
              <w:rPr>
                <w:b/>
                <w:color w:val="FFFFFF"/>
                <w:sz w:val="20"/>
                <w:szCs w:val="20"/>
              </w:rPr>
            </w:pPr>
            <w:r>
              <w:rPr>
                <w:b/>
                <w:color w:val="FFFFFF"/>
                <w:sz w:val="20"/>
                <w:szCs w:val="20"/>
              </w:rPr>
              <w:t>Salary ($)</w:t>
            </w:r>
          </w:p>
        </w:tc>
        <w:tc>
          <w:tcPr>
            <w:tcW w:w="1109" w:type="dxa"/>
            <w:shd w:val="clear" w:color="auto" w:fill="1F4E79"/>
          </w:tcPr>
          <w:p w14:paraId="42576C5F" w14:textId="77777777" w:rsidR="00864BE6" w:rsidRDefault="00E17744">
            <w:pPr>
              <w:spacing w:before="1"/>
              <w:rPr>
                <w:b/>
                <w:color w:val="FFFFFF"/>
                <w:sz w:val="20"/>
                <w:szCs w:val="20"/>
              </w:rPr>
            </w:pPr>
            <w:r>
              <w:rPr>
                <w:b/>
                <w:color w:val="FFFFFF"/>
                <w:sz w:val="20"/>
                <w:szCs w:val="20"/>
              </w:rPr>
              <w:t>Bonus ($)</w:t>
            </w:r>
          </w:p>
        </w:tc>
        <w:tc>
          <w:tcPr>
            <w:tcW w:w="1391" w:type="dxa"/>
            <w:shd w:val="clear" w:color="auto" w:fill="1F4E79"/>
          </w:tcPr>
          <w:p w14:paraId="2EE5531A" w14:textId="77777777" w:rsidR="00864BE6" w:rsidRDefault="00E17744">
            <w:pPr>
              <w:spacing w:before="1"/>
              <w:rPr>
                <w:b/>
                <w:color w:val="FFFFFF"/>
                <w:sz w:val="20"/>
                <w:szCs w:val="20"/>
              </w:rPr>
            </w:pPr>
            <w:r>
              <w:rPr>
                <w:b/>
                <w:color w:val="FFFFFF"/>
                <w:sz w:val="20"/>
                <w:szCs w:val="20"/>
              </w:rPr>
              <w:t>Stock Awards ($)</w:t>
            </w:r>
          </w:p>
        </w:tc>
        <w:tc>
          <w:tcPr>
            <w:tcW w:w="2119" w:type="dxa"/>
            <w:shd w:val="clear" w:color="auto" w:fill="1F4E79"/>
          </w:tcPr>
          <w:p w14:paraId="2EB1D713" w14:textId="77777777" w:rsidR="00864BE6" w:rsidRDefault="00E17744">
            <w:pPr>
              <w:spacing w:before="1"/>
              <w:rPr>
                <w:b/>
                <w:color w:val="FFFFFF"/>
                <w:sz w:val="20"/>
                <w:szCs w:val="20"/>
              </w:rPr>
            </w:pPr>
            <w:r>
              <w:rPr>
                <w:b/>
                <w:color w:val="FFFFFF"/>
                <w:sz w:val="20"/>
                <w:szCs w:val="20"/>
              </w:rPr>
              <w:t>Non-Equity Incentive Plan Compensation ($)</w:t>
            </w:r>
          </w:p>
        </w:tc>
        <w:tc>
          <w:tcPr>
            <w:tcW w:w="2250" w:type="dxa"/>
            <w:shd w:val="clear" w:color="auto" w:fill="1F4E79"/>
          </w:tcPr>
          <w:p w14:paraId="7794CA71" w14:textId="77777777" w:rsidR="00864BE6" w:rsidRDefault="00E17744">
            <w:pPr>
              <w:spacing w:before="1"/>
              <w:rPr>
                <w:b/>
                <w:color w:val="FFFFFF"/>
                <w:sz w:val="20"/>
                <w:szCs w:val="20"/>
              </w:rPr>
            </w:pPr>
            <w:r>
              <w:rPr>
                <w:b/>
                <w:color w:val="FFFFFF"/>
                <w:sz w:val="20"/>
                <w:szCs w:val="20"/>
              </w:rPr>
              <w:t xml:space="preserve">All Other </w:t>
            </w:r>
          </w:p>
          <w:p w14:paraId="22274963" w14:textId="77777777" w:rsidR="00864BE6" w:rsidRDefault="00E17744">
            <w:pPr>
              <w:spacing w:before="1"/>
              <w:rPr>
                <w:b/>
                <w:color w:val="FFFFFF"/>
                <w:sz w:val="20"/>
                <w:szCs w:val="20"/>
              </w:rPr>
            </w:pPr>
            <w:r>
              <w:rPr>
                <w:b/>
                <w:color w:val="FFFFFF"/>
                <w:sz w:val="20"/>
                <w:szCs w:val="20"/>
              </w:rPr>
              <w:t>Compensation ($)</w:t>
            </w:r>
          </w:p>
        </w:tc>
        <w:tc>
          <w:tcPr>
            <w:tcW w:w="1260" w:type="dxa"/>
            <w:shd w:val="clear" w:color="auto" w:fill="1F4E79"/>
          </w:tcPr>
          <w:p w14:paraId="58372A03" w14:textId="77777777" w:rsidR="00864BE6" w:rsidRDefault="00E17744">
            <w:pPr>
              <w:spacing w:before="1"/>
              <w:rPr>
                <w:b/>
                <w:color w:val="FFFFFF"/>
                <w:sz w:val="20"/>
                <w:szCs w:val="20"/>
              </w:rPr>
            </w:pPr>
            <w:r>
              <w:rPr>
                <w:b/>
                <w:color w:val="FFFFFF"/>
                <w:sz w:val="20"/>
                <w:szCs w:val="20"/>
              </w:rPr>
              <w:t>Total</w:t>
            </w:r>
          </w:p>
          <w:p w14:paraId="5753A721" w14:textId="77777777" w:rsidR="00864BE6" w:rsidRDefault="00E17744">
            <w:pPr>
              <w:spacing w:before="1"/>
              <w:rPr>
                <w:b/>
                <w:color w:val="FFFFFF"/>
                <w:sz w:val="20"/>
                <w:szCs w:val="20"/>
              </w:rPr>
            </w:pPr>
            <w:r>
              <w:rPr>
                <w:b/>
                <w:color w:val="FFFFFF"/>
                <w:sz w:val="20"/>
                <w:szCs w:val="20"/>
              </w:rPr>
              <w:t>($)</w:t>
            </w:r>
          </w:p>
        </w:tc>
      </w:tr>
      <w:tr w:rsidR="00864BE6" w14:paraId="71EC27BD" w14:textId="77777777" w:rsidTr="00FF097E">
        <w:trPr>
          <w:trHeight w:val="272"/>
        </w:trPr>
        <w:tc>
          <w:tcPr>
            <w:tcW w:w="10255" w:type="dxa"/>
            <w:gridSpan w:val="7"/>
            <w:shd w:val="clear" w:color="auto" w:fill="FFD965"/>
          </w:tcPr>
          <w:p w14:paraId="035F166E" w14:textId="77777777" w:rsidR="00864BE6" w:rsidRDefault="00E17744">
            <w:pPr>
              <w:spacing w:before="1"/>
              <w:jc w:val="center"/>
              <w:rPr>
                <w:b/>
                <w:i/>
                <w:sz w:val="20"/>
                <w:szCs w:val="20"/>
              </w:rPr>
            </w:pPr>
            <w:r>
              <w:rPr>
                <w:b/>
                <w:i/>
                <w:sz w:val="20"/>
                <w:szCs w:val="20"/>
              </w:rPr>
              <w:t>Brian S. Tyler, Chief Executive Officer</w:t>
            </w:r>
          </w:p>
        </w:tc>
      </w:tr>
      <w:tr w:rsidR="00864BE6" w14:paraId="5A3DA234" w14:textId="77777777" w:rsidTr="00FF097E">
        <w:trPr>
          <w:trHeight w:val="323"/>
        </w:trPr>
        <w:tc>
          <w:tcPr>
            <w:tcW w:w="802" w:type="dxa"/>
          </w:tcPr>
          <w:p w14:paraId="0BBD7D31" w14:textId="77777777" w:rsidR="00864BE6" w:rsidRDefault="00E17744">
            <w:pPr>
              <w:spacing w:before="1"/>
              <w:rPr>
                <w:b/>
                <w:sz w:val="20"/>
                <w:szCs w:val="20"/>
              </w:rPr>
            </w:pPr>
            <w:r>
              <w:rPr>
                <w:b/>
                <w:sz w:val="20"/>
                <w:szCs w:val="20"/>
              </w:rPr>
              <w:t>2022</w:t>
            </w:r>
          </w:p>
        </w:tc>
        <w:tc>
          <w:tcPr>
            <w:tcW w:w="1324" w:type="dxa"/>
          </w:tcPr>
          <w:p w14:paraId="7F787A44" w14:textId="77777777" w:rsidR="00864BE6" w:rsidRDefault="00E17744">
            <w:pPr>
              <w:spacing w:before="1"/>
              <w:rPr>
                <w:sz w:val="20"/>
                <w:szCs w:val="20"/>
              </w:rPr>
            </w:pPr>
            <w:r>
              <w:rPr>
                <w:sz w:val="20"/>
                <w:szCs w:val="20"/>
              </w:rPr>
              <w:t>1,375,000</w:t>
            </w:r>
          </w:p>
        </w:tc>
        <w:tc>
          <w:tcPr>
            <w:tcW w:w="1109" w:type="dxa"/>
          </w:tcPr>
          <w:p w14:paraId="4BF78F1E" w14:textId="77777777" w:rsidR="00864BE6" w:rsidRDefault="00E17744">
            <w:pPr>
              <w:spacing w:before="1"/>
              <w:rPr>
                <w:sz w:val="20"/>
                <w:szCs w:val="20"/>
              </w:rPr>
            </w:pPr>
            <w:r>
              <w:rPr>
                <w:sz w:val="20"/>
                <w:szCs w:val="20"/>
              </w:rPr>
              <w:t>0</w:t>
            </w:r>
          </w:p>
        </w:tc>
        <w:tc>
          <w:tcPr>
            <w:tcW w:w="1391" w:type="dxa"/>
          </w:tcPr>
          <w:p w14:paraId="733A5B05" w14:textId="77777777" w:rsidR="00864BE6" w:rsidRDefault="00E17744">
            <w:pPr>
              <w:spacing w:before="1"/>
              <w:rPr>
                <w:sz w:val="20"/>
                <w:szCs w:val="20"/>
              </w:rPr>
            </w:pPr>
            <w:r>
              <w:rPr>
                <w:sz w:val="20"/>
                <w:szCs w:val="20"/>
              </w:rPr>
              <w:t>12,250,438</w:t>
            </w:r>
          </w:p>
        </w:tc>
        <w:tc>
          <w:tcPr>
            <w:tcW w:w="2119" w:type="dxa"/>
          </w:tcPr>
          <w:p w14:paraId="20C2C8F4" w14:textId="77777777" w:rsidR="00864BE6" w:rsidRDefault="00E17744">
            <w:pPr>
              <w:spacing w:before="1"/>
              <w:rPr>
                <w:sz w:val="20"/>
                <w:szCs w:val="20"/>
              </w:rPr>
            </w:pPr>
            <w:r>
              <w:rPr>
                <w:sz w:val="20"/>
                <w:szCs w:val="20"/>
              </w:rPr>
              <w:t>4,210,938</w:t>
            </w:r>
          </w:p>
        </w:tc>
        <w:tc>
          <w:tcPr>
            <w:tcW w:w="2250" w:type="dxa"/>
          </w:tcPr>
          <w:p w14:paraId="6BA3EF1C" w14:textId="77777777" w:rsidR="00864BE6" w:rsidRDefault="00E17744">
            <w:pPr>
              <w:spacing w:before="1"/>
              <w:rPr>
                <w:sz w:val="20"/>
                <w:szCs w:val="20"/>
              </w:rPr>
            </w:pPr>
            <w:r>
              <w:rPr>
                <w:sz w:val="20"/>
                <w:szCs w:val="20"/>
              </w:rPr>
              <w:t>315,706</w:t>
            </w:r>
          </w:p>
        </w:tc>
        <w:tc>
          <w:tcPr>
            <w:tcW w:w="1260" w:type="dxa"/>
          </w:tcPr>
          <w:p w14:paraId="0B190767" w14:textId="77777777" w:rsidR="00864BE6" w:rsidRDefault="00E17744">
            <w:pPr>
              <w:spacing w:before="1"/>
              <w:rPr>
                <w:sz w:val="20"/>
                <w:szCs w:val="20"/>
              </w:rPr>
            </w:pPr>
            <w:r>
              <w:rPr>
                <w:sz w:val="20"/>
                <w:szCs w:val="20"/>
              </w:rPr>
              <w:t>18,152,082</w:t>
            </w:r>
          </w:p>
        </w:tc>
      </w:tr>
      <w:tr w:rsidR="00864BE6" w14:paraId="109230EE" w14:textId="77777777" w:rsidTr="00FF097E">
        <w:trPr>
          <w:trHeight w:val="350"/>
        </w:trPr>
        <w:tc>
          <w:tcPr>
            <w:tcW w:w="802" w:type="dxa"/>
          </w:tcPr>
          <w:p w14:paraId="0984900B" w14:textId="77777777" w:rsidR="00864BE6" w:rsidRDefault="00E17744">
            <w:pPr>
              <w:spacing w:before="1"/>
              <w:rPr>
                <w:b/>
                <w:sz w:val="20"/>
                <w:szCs w:val="20"/>
              </w:rPr>
            </w:pPr>
            <w:r>
              <w:rPr>
                <w:b/>
                <w:sz w:val="20"/>
                <w:szCs w:val="20"/>
              </w:rPr>
              <w:t>2021</w:t>
            </w:r>
          </w:p>
        </w:tc>
        <w:tc>
          <w:tcPr>
            <w:tcW w:w="1324" w:type="dxa"/>
          </w:tcPr>
          <w:p w14:paraId="3D969FBB" w14:textId="77777777" w:rsidR="00864BE6" w:rsidRDefault="00E17744">
            <w:pPr>
              <w:spacing w:before="1"/>
              <w:rPr>
                <w:sz w:val="20"/>
                <w:szCs w:val="20"/>
              </w:rPr>
            </w:pPr>
            <w:r>
              <w:rPr>
                <w:sz w:val="20"/>
                <w:szCs w:val="20"/>
              </w:rPr>
              <w:t>1,177,083</w:t>
            </w:r>
          </w:p>
        </w:tc>
        <w:tc>
          <w:tcPr>
            <w:tcW w:w="1109" w:type="dxa"/>
          </w:tcPr>
          <w:p w14:paraId="567AA971" w14:textId="77777777" w:rsidR="00864BE6" w:rsidRDefault="00E17744">
            <w:pPr>
              <w:spacing w:before="1"/>
              <w:rPr>
                <w:sz w:val="20"/>
                <w:szCs w:val="20"/>
              </w:rPr>
            </w:pPr>
            <w:r>
              <w:rPr>
                <w:sz w:val="20"/>
                <w:szCs w:val="20"/>
              </w:rPr>
              <w:t>0</w:t>
            </w:r>
          </w:p>
        </w:tc>
        <w:tc>
          <w:tcPr>
            <w:tcW w:w="1391" w:type="dxa"/>
          </w:tcPr>
          <w:p w14:paraId="3AC32C18" w14:textId="77777777" w:rsidR="00864BE6" w:rsidRDefault="00E17744">
            <w:pPr>
              <w:spacing w:before="1"/>
              <w:rPr>
                <w:sz w:val="20"/>
                <w:szCs w:val="20"/>
              </w:rPr>
            </w:pPr>
            <w:r>
              <w:rPr>
                <w:sz w:val="20"/>
                <w:szCs w:val="20"/>
              </w:rPr>
              <w:t>11,500,289</w:t>
            </w:r>
          </w:p>
        </w:tc>
        <w:tc>
          <w:tcPr>
            <w:tcW w:w="2119" w:type="dxa"/>
          </w:tcPr>
          <w:p w14:paraId="6C7F589A" w14:textId="77777777" w:rsidR="00864BE6" w:rsidRDefault="00E17744">
            <w:pPr>
              <w:spacing w:before="1"/>
              <w:rPr>
                <w:sz w:val="20"/>
                <w:szCs w:val="20"/>
              </w:rPr>
            </w:pPr>
            <w:r>
              <w:rPr>
                <w:sz w:val="20"/>
                <w:szCs w:val="20"/>
              </w:rPr>
              <w:t>1,602,813</w:t>
            </w:r>
          </w:p>
        </w:tc>
        <w:tc>
          <w:tcPr>
            <w:tcW w:w="2250" w:type="dxa"/>
          </w:tcPr>
          <w:p w14:paraId="6C76FB83" w14:textId="77777777" w:rsidR="00864BE6" w:rsidRDefault="00E17744">
            <w:pPr>
              <w:spacing w:before="1"/>
              <w:rPr>
                <w:sz w:val="20"/>
                <w:szCs w:val="20"/>
              </w:rPr>
            </w:pPr>
            <w:r>
              <w:rPr>
                <w:sz w:val="20"/>
                <w:szCs w:val="20"/>
              </w:rPr>
              <w:t>559,888</w:t>
            </w:r>
          </w:p>
        </w:tc>
        <w:tc>
          <w:tcPr>
            <w:tcW w:w="1260" w:type="dxa"/>
          </w:tcPr>
          <w:p w14:paraId="2B9BBC43" w14:textId="77777777" w:rsidR="00864BE6" w:rsidRDefault="00E17744">
            <w:pPr>
              <w:spacing w:before="1"/>
              <w:rPr>
                <w:sz w:val="20"/>
                <w:szCs w:val="20"/>
              </w:rPr>
            </w:pPr>
            <w:r>
              <w:rPr>
                <w:sz w:val="20"/>
                <w:szCs w:val="20"/>
              </w:rPr>
              <w:t>14,840,073</w:t>
            </w:r>
          </w:p>
        </w:tc>
      </w:tr>
      <w:tr w:rsidR="00864BE6" w14:paraId="05828A13" w14:textId="77777777" w:rsidTr="00FF097E">
        <w:trPr>
          <w:trHeight w:val="350"/>
        </w:trPr>
        <w:tc>
          <w:tcPr>
            <w:tcW w:w="802" w:type="dxa"/>
          </w:tcPr>
          <w:p w14:paraId="536BE517" w14:textId="77777777" w:rsidR="00864BE6" w:rsidRDefault="00E17744">
            <w:pPr>
              <w:spacing w:before="1"/>
              <w:rPr>
                <w:b/>
                <w:sz w:val="20"/>
                <w:szCs w:val="20"/>
              </w:rPr>
            </w:pPr>
            <w:r>
              <w:rPr>
                <w:b/>
                <w:sz w:val="20"/>
                <w:szCs w:val="20"/>
              </w:rPr>
              <w:t>2020</w:t>
            </w:r>
          </w:p>
        </w:tc>
        <w:tc>
          <w:tcPr>
            <w:tcW w:w="1324" w:type="dxa"/>
          </w:tcPr>
          <w:p w14:paraId="6D4079E5" w14:textId="77777777" w:rsidR="00864BE6" w:rsidRDefault="00E17744">
            <w:pPr>
              <w:spacing w:before="1"/>
              <w:rPr>
                <w:sz w:val="20"/>
                <w:szCs w:val="20"/>
              </w:rPr>
            </w:pPr>
            <w:r>
              <w:rPr>
                <w:sz w:val="20"/>
                <w:szCs w:val="20"/>
              </w:rPr>
              <w:t>1,250,000</w:t>
            </w:r>
          </w:p>
        </w:tc>
        <w:tc>
          <w:tcPr>
            <w:tcW w:w="1109" w:type="dxa"/>
          </w:tcPr>
          <w:p w14:paraId="5D913E86" w14:textId="77777777" w:rsidR="00864BE6" w:rsidRDefault="00E17744">
            <w:pPr>
              <w:spacing w:before="1"/>
              <w:rPr>
                <w:sz w:val="20"/>
                <w:szCs w:val="20"/>
              </w:rPr>
            </w:pPr>
            <w:r>
              <w:rPr>
                <w:sz w:val="20"/>
                <w:szCs w:val="20"/>
              </w:rPr>
              <w:t>0</w:t>
            </w:r>
          </w:p>
        </w:tc>
        <w:tc>
          <w:tcPr>
            <w:tcW w:w="1391" w:type="dxa"/>
          </w:tcPr>
          <w:p w14:paraId="28189018" w14:textId="77777777" w:rsidR="00864BE6" w:rsidRDefault="00E17744">
            <w:pPr>
              <w:spacing w:before="1"/>
              <w:rPr>
                <w:sz w:val="20"/>
                <w:szCs w:val="20"/>
              </w:rPr>
            </w:pPr>
            <w:r>
              <w:rPr>
                <w:sz w:val="20"/>
                <w:szCs w:val="20"/>
              </w:rPr>
              <w:t>9,875,191</w:t>
            </w:r>
          </w:p>
        </w:tc>
        <w:tc>
          <w:tcPr>
            <w:tcW w:w="2119" w:type="dxa"/>
          </w:tcPr>
          <w:p w14:paraId="515CB465" w14:textId="77777777" w:rsidR="00864BE6" w:rsidRDefault="00E17744">
            <w:pPr>
              <w:spacing w:before="1"/>
              <w:rPr>
                <w:sz w:val="20"/>
                <w:szCs w:val="20"/>
              </w:rPr>
            </w:pPr>
            <w:r>
              <w:rPr>
                <w:sz w:val="20"/>
                <w:szCs w:val="20"/>
              </w:rPr>
              <w:t>3,654,000</w:t>
            </w:r>
          </w:p>
        </w:tc>
        <w:tc>
          <w:tcPr>
            <w:tcW w:w="2250" w:type="dxa"/>
          </w:tcPr>
          <w:p w14:paraId="6C817210" w14:textId="77777777" w:rsidR="00864BE6" w:rsidRDefault="00E17744">
            <w:pPr>
              <w:spacing w:before="1"/>
              <w:rPr>
                <w:sz w:val="20"/>
                <w:szCs w:val="20"/>
              </w:rPr>
            </w:pPr>
            <w:r>
              <w:rPr>
                <w:sz w:val="20"/>
                <w:szCs w:val="20"/>
              </w:rPr>
              <w:t>656,279</w:t>
            </w:r>
          </w:p>
        </w:tc>
        <w:tc>
          <w:tcPr>
            <w:tcW w:w="1260" w:type="dxa"/>
          </w:tcPr>
          <w:p w14:paraId="3D01B4D1" w14:textId="77777777" w:rsidR="00864BE6" w:rsidRDefault="00E17744">
            <w:pPr>
              <w:spacing w:before="1"/>
              <w:rPr>
                <w:sz w:val="20"/>
                <w:szCs w:val="20"/>
              </w:rPr>
            </w:pPr>
            <w:r>
              <w:rPr>
                <w:sz w:val="20"/>
                <w:szCs w:val="20"/>
              </w:rPr>
              <w:t>15,435,470</w:t>
            </w:r>
          </w:p>
        </w:tc>
      </w:tr>
      <w:tr w:rsidR="00864BE6" w14:paraId="67CFB212" w14:textId="77777777" w:rsidTr="00FF097E">
        <w:trPr>
          <w:trHeight w:val="272"/>
        </w:trPr>
        <w:tc>
          <w:tcPr>
            <w:tcW w:w="10255" w:type="dxa"/>
            <w:gridSpan w:val="7"/>
            <w:shd w:val="clear" w:color="auto" w:fill="FFD965"/>
          </w:tcPr>
          <w:p w14:paraId="7BF7ADB3" w14:textId="77777777" w:rsidR="00864BE6" w:rsidRDefault="00E17744">
            <w:pPr>
              <w:spacing w:before="1"/>
              <w:jc w:val="center"/>
              <w:rPr>
                <w:b/>
                <w:i/>
                <w:sz w:val="20"/>
                <w:szCs w:val="20"/>
              </w:rPr>
            </w:pPr>
            <w:r>
              <w:rPr>
                <w:b/>
                <w:i/>
                <w:sz w:val="20"/>
                <w:szCs w:val="20"/>
              </w:rPr>
              <w:t>Britt J. Vitalone, Executive VP and CFO</w:t>
            </w:r>
          </w:p>
        </w:tc>
      </w:tr>
      <w:tr w:rsidR="00864BE6" w14:paraId="2DD88EAF" w14:textId="77777777" w:rsidTr="00FF097E">
        <w:trPr>
          <w:trHeight w:val="341"/>
        </w:trPr>
        <w:tc>
          <w:tcPr>
            <w:tcW w:w="802" w:type="dxa"/>
          </w:tcPr>
          <w:p w14:paraId="25EF5B18" w14:textId="77777777" w:rsidR="00864BE6" w:rsidRDefault="00E17744">
            <w:pPr>
              <w:spacing w:before="1"/>
              <w:rPr>
                <w:b/>
                <w:sz w:val="20"/>
                <w:szCs w:val="20"/>
              </w:rPr>
            </w:pPr>
            <w:r>
              <w:rPr>
                <w:b/>
                <w:sz w:val="20"/>
                <w:szCs w:val="20"/>
              </w:rPr>
              <w:t>2022</w:t>
            </w:r>
          </w:p>
        </w:tc>
        <w:tc>
          <w:tcPr>
            <w:tcW w:w="1324" w:type="dxa"/>
          </w:tcPr>
          <w:p w14:paraId="6A86798A" w14:textId="77777777" w:rsidR="00864BE6" w:rsidRDefault="00E17744">
            <w:pPr>
              <w:spacing w:before="1"/>
              <w:rPr>
                <w:sz w:val="20"/>
                <w:szCs w:val="20"/>
              </w:rPr>
            </w:pPr>
            <w:r>
              <w:rPr>
                <w:sz w:val="20"/>
                <w:szCs w:val="20"/>
              </w:rPr>
              <w:t>845,001</w:t>
            </w:r>
          </w:p>
        </w:tc>
        <w:tc>
          <w:tcPr>
            <w:tcW w:w="1109" w:type="dxa"/>
          </w:tcPr>
          <w:p w14:paraId="43F18A76" w14:textId="77777777" w:rsidR="00864BE6" w:rsidRDefault="00E17744">
            <w:pPr>
              <w:spacing w:before="1"/>
              <w:rPr>
                <w:sz w:val="20"/>
                <w:szCs w:val="20"/>
              </w:rPr>
            </w:pPr>
            <w:r>
              <w:rPr>
                <w:sz w:val="20"/>
                <w:szCs w:val="20"/>
              </w:rPr>
              <w:t>0</w:t>
            </w:r>
          </w:p>
        </w:tc>
        <w:tc>
          <w:tcPr>
            <w:tcW w:w="1391" w:type="dxa"/>
          </w:tcPr>
          <w:p w14:paraId="245996DA" w14:textId="77777777" w:rsidR="00864BE6" w:rsidRDefault="00E17744">
            <w:pPr>
              <w:spacing w:before="1"/>
              <w:rPr>
                <w:sz w:val="20"/>
                <w:szCs w:val="20"/>
              </w:rPr>
            </w:pPr>
            <w:r>
              <w:rPr>
                <w:sz w:val="20"/>
                <w:szCs w:val="20"/>
              </w:rPr>
              <w:t>3,500,404</w:t>
            </w:r>
          </w:p>
        </w:tc>
        <w:tc>
          <w:tcPr>
            <w:tcW w:w="2119" w:type="dxa"/>
          </w:tcPr>
          <w:p w14:paraId="1BFCF5B3" w14:textId="77777777" w:rsidR="00864BE6" w:rsidRDefault="00E17744">
            <w:pPr>
              <w:spacing w:before="1"/>
              <w:rPr>
                <w:sz w:val="20"/>
                <w:szCs w:val="20"/>
              </w:rPr>
            </w:pPr>
            <w:r>
              <w:rPr>
                <w:sz w:val="20"/>
                <w:szCs w:val="20"/>
              </w:rPr>
              <w:t>1,700,564</w:t>
            </w:r>
          </w:p>
        </w:tc>
        <w:tc>
          <w:tcPr>
            <w:tcW w:w="2250" w:type="dxa"/>
          </w:tcPr>
          <w:p w14:paraId="526A98F6" w14:textId="77777777" w:rsidR="00864BE6" w:rsidRDefault="00E17744">
            <w:pPr>
              <w:spacing w:before="1"/>
              <w:rPr>
                <w:sz w:val="20"/>
                <w:szCs w:val="20"/>
              </w:rPr>
            </w:pPr>
            <w:r>
              <w:rPr>
                <w:sz w:val="20"/>
                <w:szCs w:val="20"/>
              </w:rPr>
              <w:t>87,763</w:t>
            </w:r>
          </w:p>
        </w:tc>
        <w:tc>
          <w:tcPr>
            <w:tcW w:w="1260" w:type="dxa"/>
          </w:tcPr>
          <w:p w14:paraId="5E7AF367" w14:textId="77777777" w:rsidR="00864BE6" w:rsidRDefault="00E17744">
            <w:pPr>
              <w:spacing w:before="1"/>
              <w:rPr>
                <w:sz w:val="20"/>
                <w:szCs w:val="20"/>
              </w:rPr>
            </w:pPr>
            <w:r>
              <w:rPr>
                <w:sz w:val="20"/>
                <w:szCs w:val="20"/>
              </w:rPr>
              <w:t>6,133,732</w:t>
            </w:r>
          </w:p>
        </w:tc>
      </w:tr>
      <w:tr w:rsidR="00864BE6" w14:paraId="108EBE12" w14:textId="77777777" w:rsidTr="00FF097E">
        <w:trPr>
          <w:trHeight w:val="341"/>
        </w:trPr>
        <w:tc>
          <w:tcPr>
            <w:tcW w:w="802" w:type="dxa"/>
          </w:tcPr>
          <w:p w14:paraId="67E6A85D" w14:textId="77777777" w:rsidR="00864BE6" w:rsidRDefault="00E17744">
            <w:pPr>
              <w:spacing w:before="1"/>
              <w:rPr>
                <w:b/>
                <w:sz w:val="20"/>
                <w:szCs w:val="20"/>
              </w:rPr>
            </w:pPr>
            <w:r>
              <w:rPr>
                <w:b/>
                <w:sz w:val="20"/>
                <w:szCs w:val="20"/>
              </w:rPr>
              <w:t>2021</w:t>
            </w:r>
          </w:p>
        </w:tc>
        <w:tc>
          <w:tcPr>
            <w:tcW w:w="1324" w:type="dxa"/>
          </w:tcPr>
          <w:p w14:paraId="16D5DAFE" w14:textId="77777777" w:rsidR="00864BE6" w:rsidRDefault="00E17744">
            <w:pPr>
              <w:spacing w:before="1"/>
              <w:rPr>
                <w:sz w:val="20"/>
                <w:szCs w:val="20"/>
              </w:rPr>
            </w:pPr>
            <w:r>
              <w:rPr>
                <w:sz w:val="20"/>
                <w:szCs w:val="20"/>
              </w:rPr>
              <w:t>792,667</w:t>
            </w:r>
          </w:p>
        </w:tc>
        <w:tc>
          <w:tcPr>
            <w:tcW w:w="1109" w:type="dxa"/>
          </w:tcPr>
          <w:p w14:paraId="253F08A2" w14:textId="77777777" w:rsidR="00864BE6" w:rsidRDefault="00E17744">
            <w:pPr>
              <w:spacing w:before="1"/>
              <w:rPr>
                <w:sz w:val="20"/>
                <w:szCs w:val="20"/>
              </w:rPr>
            </w:pPr>
            <w:r>
              <w:rPr>
                <w:sz w:val="20"/>
                <w:szCs w:val="20"/>
              </w:rPr>
              <w:t>0</w:t>
            </w:r>
          </w:p>
        </w:tc>
        <w:tc>
          <w:tcPr>
            <w:tcW w:w="1391" w:type="dxa"/>
          </w:tcPr>
          <w:p w14:paraId="7E3AF7D4" w14:textId="77777777" w:rsidR="00864BE6" w:rsidRDefault="00E17744">
            <w:pPr>
              <w:spacing w:before="1"/>
              <w:rPr>
                <w:sz w:val="20"/>
                <w:szCs w:val="20"/>
              </w:rPr>
            </w:pPr>
            <w:r>
              <w:rPr>
                <w:sz w:val="20"/>
                <w:szCs w:val="20"/>
              </w:rPr>
              <w:t>3,250,313</w:t>
            </w:r>
          </w:p>
        </w:tc>
        <w:tc>
          <w:tcPr>
            <w:tcW w:w="2119" w:type="dxa"/>
          </w:tcPr>
          <w:p w14:paraId="37427D12" w14:textId="77777777" w:rsidR="00864BE6" w:rsidRDefault="00E17744">
            <w:pPr>
              <w:spacing w:before="1"/>
              <w:rPr>
                <w:sz w:val="20"/>
                <w:szCs w:val="20"/>
              </w:rPr>
            </w:pPr>
            <w:r>
              <w:rPr>
                <w:sz w:val="20"/>
                <w:szCs w:val="20"/>
              </w:rPr>
              <w:t>1,451,567</w:t>
            </w:r>
          </w:p>
        </w:tc>
        <w:tc>
          <w:tcPr>
            <w:tcW w:w="2250" w:type="dxa"/>
          </w:tcPr>
          <w:p w14:paraId="0CC4FB87" w14:textId="77777777" w:rsidR="00864BE6" w:rsidRDefault="00E17744">
            <w:pPr>
              <w:spacing w:before="1"/>
              <w:rPr>
                <w:sz w:val="20"/>
                <w:szCs w:val="20"/>
              </w:rPr>
            </w:pPr>
            <w:r>
              <w:rPr>
                <w:sz w:val="20"/>
                <w:szCs w:val="20"/>
              </w:rPr>
              <w:t>43,751</w:t>
            </w:r>
          </w:p>
        </w:tc>
        <w:tc>
          <w:tcPr>
            <w:tcW w:w="1260" w:type="dxa"/>
          </w:tcPr>
          <w:p w14:paraId="7BF2114D" w14:textId="77777777" w:rsidR="00864BE6" w:rsidRDefault="00E17744">
            <w:pPr>
              <w:spacing w:before="1"/>
              <w:rPr>
                <w:sz w:val="20"/>
                <w:szCs w:val="20"/>
              </w:rPr>
            </w:pPr>
            <w:r>
              <w:rPr>
                <w:sz w:val="20"/>
                <w:szCs w:val="20"/>
              </w:rPr>
              <w:t>5,538,298</w:t>
            </w:r>
          </w:p>
        </w:tc>
      </w:tr>
      <w:tr w:rsidR="00864BE6" w14:paraId="7076F1CA" w14:textId="77777777" w:rsidTr="00FF097E">
        <w:trPr>
          <w:trHeight w:val="350"/>
        </w:trPr>
        <w:tc>
          <w:tcPr>
            <w:tcW w:w="802" w:type="dxa"/>
          </w:tcPr>
          <w:p w14:paraId="4F1E7F32" w14:textId="77777777" w:rsidR="00864BE6" w:rsidRDefault="00E17744">
            <w:pPr>
              <w:spacing w:before="1"/>
              <w:rPr>
                <w:b/>
                <w:sz w:val="20"/>
                <w:szCs w:val="20"/>
              </w:rPr>
            </w:pPr>
            <w:r>
              <w:rPr>
                <w:b/>
                <w:sz w:val="20"/>
                <w:szCs w:val="20"/>
              </w:rPr>
              <w:t>2020</w:t>
            </w:r>
          </w:p>
        </w:tc>
        <w:tc>
          <w:tcPr>
            <w:tcW w:w="1324" w:type="dxa"/>
          </w:tcPr>
          <w:p w14:paraId="60028604" w14:textId="77777777" w:rsidR="00864BE6" w:rsidRDefault="00E17744">
            <w:pPr>
              <w:spacing w:before="1"/>
              <w:rPr>
                <w:sz w:val="20"/>
                <w:szCs w:val="20"/>
              </w:rPr>
            </w:pPr>
            <w:r>
              <w:rPr>
                <w:sz w:val="20"/>
                <w:szCs w:val="20"/>
              </w:rPr>
              <w:t>813,333</w:t>
            </w:r>
          </w:p>
        </w:tc>
        <w:tc>
          <w:tcPr>
            <w:tcW w:w="1109" w:type="dxa"/>
          </w:tcPr>
          <w:p w14:paraId="5BDC3406" w14:textId="77777777" w:rsidR="00864BE6" w:rsidRDefault="00E17744">
            <w:pPr>
              <w:spacing w:before="1"/>
              <w:rPr>
                <w:sz w:val="20"/>
                <w:szCs w:val="20"/>
              </w:rPr>
            </w:pPr>
            <w:r>
              <w:rPr>
                <w:sz w:val="20"/>
                <w:szCs w:val="20"/>
              </w:rPr>
              <w:t>0</w:t>
            </w:r>
          </w:p>
        </w:tc>
        <w:tc>
          <w:tcPr>
            <w:tcW w:w="1391" w:type="dxa"/>
          </w:tcPr>
          <w:p w14:paraId="29C4AB97" w14:textId="77777777" w:rsidR="00864BE6" w:rsidRDefault="00E17744">
            <w:pPr>
              <w:spacing w:before="1"/>
              <w:rPr>
                <w:sz w:val="20"/>
                <w:szCs w:val="20"/>
              </w:rPr>
            </w:pPr>
            <w:r>
              <w:rPr>
                <w:sz w:val="20"/>
                <w:szCs w:val="20"/>
              </w:rPr>
              <w:t>3,000,058</w:t>
            </w:r>
          </w:p>
        </w:tc>
        <w:tc>
          <w:tcPr>
            <w:tcW w:w="2119" w:type="dxa"/>
          </w:tcPr>
          <w:p w14:paraId="78F7786C" w14:textId="77777777" w:rsidR="00864BE6" w:rsidRDefault="00E17744">
            <w:pPr>
              <w:spacing w:before="1"/>
              <w:rPr>
                <w:sz w:val="20"/>
                <w:szCs w:val="20"/>
              </w:rPr>
            </w:pPr>
            <w:r>
              <w:rPr>
                <w:sz w:val="20"/>
                <w:szCs w:val="20"/>
              </w:rPr>
              <w:t>1,426,683</w:t>
            </w:r>
          </w:p>
        </w:tc>
        <w:tc>
          <w:tcPr>
            <w:tcW w:w="2250" w:type="dxa"/>
          </w:tcPr>
          <w:p w14:paraId="48D3CCC2" w14:textId="77777777" w:rsidR="00864BE6" w:rsidRDefault="00E17744">
            <w:pPr>
              <w:spacing w:before="1"/>
              <w:rPr>
                <w:sz w:val="20"/>
                <w:szCs w:val="20"/>
              </w:rPr>
            </w:pPr>
            <w:r>
              <w:rPr>
                <w:sz w:val="20"/>
                <w:szCs w:val="20"/>
              </w:rPr>
              <w:t>57,208</w:t>
            </w:r>
          </w:p>
        </w:tc>
        <w:tc>
          <w:tcPr>
            <w:tcW w:w="1260" w:type="dxa"/>
          </w:tcPr>
          <w:p w14:paraId="0062FC55" w14:textId="77777777" w:rsidR="00864BE6" w:rsidRDefault="00E17744">
            <w:pPr>
              <w:spacing w:before="1"/>
              <w:rPr>
                <w:sz w:val="20"/>
                <w:szCs w:val="20"/>
              </w:rPr>
            </w:pPr>
            <w:r>
              <w:rPr>
                <w:sz w:val="20"/>
                <w:szCs w:val="20"/>
              </w:rPr>
              <w:t>5,297,282</w:t>
            </w:r>
          </w:p>
        </w:tc>
      </w:tr>
      <w:tr w:rsidR="00864BE6" w14:paraId="4DAC9B33" w14:textId="77777777" w:rsidTr="00FF097E">
        <w:trPr>
          <w:trHeight w:val="272"/>
        </w:trPr>
        <w:tc>
          <w:tcPr>
            <w:tcW w:w="10255" w:type="dxa"/>
            <w:gridSpan w:val="7"/>
            <w:shd w:val="clear" w:color="auto" w:fill="FFD965"/>
          </w:tcPr>
          <w:p w14:paraId="1E26B2F8" w14:textId="77777777" w:rsidR="00864BE6" w:rsidRDefault="00E17744">
            <w:pPr>
              <w:spacing w:before="1"/>
              <w:jc w:val="center"/>
              <w:rPr>
                <w:b/>
                <w:i/>
                <w:sz w:val="20"/>
                <w:szCs w:val="20"/>
              </w:rPr>
            </w:pPr>
            <w:r>
              <w:rPr>
                <w:b/>
                <w:i/>
                <w:sz w:val="20"/>
                <w:szCs w:val="20"/>
              </w:rPr>
              <w:t>Lori A. Schechter, Executive VP, Chief Legal Officer, and General Counsel</w:t>
            </w:r>
          </w:p>
        </w:tc>
      </w:tr>
      <w:tr w:rsidR="00864BE6" w14:paraId="612AA92E" w14:textId="77777777" w:rsidTr="00FF097E">
        <w:trPr>
          <w:trHeight w:val="341"/>
        </w:trPr>
        <w:tc>
          <w:tcPr>
            <w:tcW w:w="802" w:type="dxa"/>
          </w:tcPr>
          <w:p w14:paraId="71CADBD3" w14:textId="77777777" w:rsidR="00864BE6" w:rsidRDefault="00E17744">
            <w:pPr>
              <w:spacing w:before="1"/>
              <w:rPr>
                <w:b/>
                <w:sz w:val="20"/>
                <w:szCs w:val="20"/>
              </w:rPr>
            </w:pPr>
            <w:r>
              <w:rPr>
                <w:b/>
                <w:sz w:val="20"/>
                <w:szCs w:val="20"/>
              </w:rPr>
              <w:t>2022</w:t>
            </w:r>
          </w:p>
        </w:tc>
        <w:tc>
          <w:tcPr>
            <w:tcW w:w="1324" w:type="dxa"/>
          </w:tcPr>
          <w:p w14:paraId="0E6027DD" w14:textId="77777777" w:rsidR="00864BE6" w:rsidRDefault="00E17744">
            <w:pPr>
              <w:spacing w:before="1"/>
              <w:rPr>
                <w:sz w:val="20"/>
                <w:szCs w:val="20"/>
              </w:rPr>
            </w:pPr>
            <w:r>
              <w:rPr>
                <w:sz w:val="20"/>
                <w:szCs w:val="20"/>
              </w:rPr>
              <w:t>812,500</w:t>
            </w:r>
          </w:p>
        </w:tc>
        <w:tc>
          <w:tcPr>
            <w:tcW w:w="1109" w:type="dxa"/>
          </w:tcPr>
          <w:p w14:paraId="19E606A7" w14:textId="77777777" w:rsidR="00864BE6" w:rsidRDefault="00E17744">
            <w:pPr>
              <w:spacing w:before="1"/>
              <w:rPr>
                <w:sz w:val="20"/>
                <w:szCs w:val="20"/>
              </w:rPr>
            </w:pPr>
            <w:r>
              <w:rPr>
                <w:sz w:val="20"/>
                <w:szCs w:val="20"/>
              </w:rPr>
              <w:t>0</w:t>
            </w:r>
          </w:p>
        </w:tc>
        <w:tc>
          <w:tcPr>
            <w:tcW w:w="1391" w:type="dxa"/>
          </w:tcPr>
          <w:p w14:paraId="289A0571" w14:textId="77777777" w:rsidR="00864BE6" w:rsidRDefault="00E17744">
            <w:pPr>
              <w:spacing w:before="1"/>
              <w:rPr>
                <w:sz w:val="20"/>
                <w:szCs w:val="20"/>
              </w:rPr>
            </w:pPr>
            <w:r>
              <w:rPr>
                <w:sz w:val="20"/>
                <w:szCs w:val="20"/>
              </w:rPr>
              <w:t>2,605,261</w:t>
            </w:r>
          </w:p>
        </w:tc>
        <w:tc>
          <w:tcPr>
            <w:tcW w:w="2119" w:type="dxa"/>
          </w:tcPr>
          <w:p w14:paraId="37CF928C" w14:textId="77777777" w:rsidR="00864BE6" w:rsidRDefault="00E17744">
            <w:pPr>
              <w:spacing w:before="1"/>
              <w:rPr>
                <w:sz w:val="20"/>
                <w:szCs w:val="20"/>
              </w:rPr>
            </w:pPr>
            <w:r>
              <w:rPr>
                <w:sz w:val="20"/>
                <w:szCs w:val="20"/>
              </w:rPr>
              <w:t>1,421,875</w:t>
            </w:r>
          </w:p>
        </w:tc>
        <w:tc>
          <w:tcPr>
            <w:tcW w:w="2250" w:type="dxa"/>
          </w:tcPr>
          <w:p w14:paraId="3135DE2D" w14:textId="77777777" w:rsidR="00864BE6" w:rsidRDefault="00E17744">
            <w:pPr>
              <w:spacing w:before="1"/>
              <w:rPr>
                <w:sz w:val="20"/>
                <w:szCs w:val="20"/>
              </w:rPr>
            </w:pPr>
            <w:r>
              <w:rPr>
                <w:sz w:val="20"/>
                <w:szCs w:val="20"/>
              </w:rPr>
              <w:t>429,141</w:t>
            </w:r>
          </w:p>
        </w:tc>
        <w:tc>
          <w:tcPr>
            <w:tcW w:w="1260" w:type="dxa"/>
          </w:tcPr>
          <w:p w14:paraId="7A992B9A" w14:textId="77777777" w:rsidR="00864BE6" w:rsidRDefault="00E17744">
            <w:pPr>
              <w:spacing w:before="1"/>
              <w:rPr>
                <w:sz w:val="20"/>
                <w:szCs w:val="20"/>
              </w:rPr>
            </w:pPr>
            <w:r>
              <w:rPr>
                <w:sz w:val="20"/>
                <w:szCs w:val="20"/>
              </w:rPr>
              <w:t>5,268,777</w:t>
            </w:r>
          </w:p>
        </w:tc>
      </w:tr>
      <w:tr w:rsidR="00864BE6" w14:paraId="611F760E" w14:textId="77777777" w:rsidTr="00FF097E">
        <w:trPr>
          <w:trHeight w:val="341"/>
        </w:trPr>
        <w:tc>
          <w:tcPr>
            <w:tcW w:w="802" w:type="dxa"/>
          </w:tcPr>
          <w:p w14:paraId="3CA93BD4" w14:textId="77777777" w:rsidR="00864BE6" w:rsidRDefault="00E17744">
            <w:pPr>
              <w:spacing w:before="1"/>
              <w:rPr>
                <w:b/>
                <w:sz w:val="20"/>
                <w:szCs w:val="20"/>
              </w:rPr>
            </w:pPr>
            <w:r>
              <w:rPr>
                <w:b/>
                <w:sz w:val="20"/>
                <w:szCs w:val="20"/>
              </w:rPr>
              <w:t>2021</w:t>
            </w:r>
          </w:p>
        </w:tc>
        <w:tc>
          <w:tcPr>
            <w:tcW w:w="1324" w:type="dxa"/>
          </w:tcPr>
          <w:p w14:paraId="4368FFFE" w14:textId="77777777" w:rsidR="00864BE6" w:rsidRDefault="00E17744">
            <w:pPr>
              <w:spacing w:before="1"/>
              <w:rPr>
                <w:sz w:val="20"/>
                <w:szCs w:val="20"/>
              </w:rPr>
            </w:pPr>
            <w:r>
              <w:rPr>
                <w:sz w:val="20"/>
                <w:szCs w:val="20"/>
              </w:rPr>
              <w:t>773,333</w:t>
            </w:r>
          </w:p>
        </w:tc>
        <w:tc>
          <w:tcPr>
            <w:tcW w:w="1109" w:type="dxa"/>
          </w:tcPr>
          <w:p w14:paraId="2E319428" w14:textId="77777777" w:rsidR="00864BE6" w:rsidRDefault="00E17744">
            <w:pPr>
              <w:spacing w:before="1"/>
              <w:rPr>
                <w:sz w:val="20"/>
                <w:szCs w:val="20"/>
              </w:rPr>
            </w:pPr>
            <w:r>
              <w:rPr>
                <w:sz w:val="20"/>
                <w:szCs w:val="20"/>
              </w:rPr>
              <w:t>0</w:t>
            </w:r>
          </w:p>
        </w:tc>
        <w:tc>
          <w:tcPr>
            <w:tcW w:w="1391" w:type="dxa"/>
          </w:tcPr>
          <w:p w14:paraId="3F0D970D" w14:textId="77777777" w:rsidR="00864BE6" w:rsidRDefault="00E17744">
            <w:pPr>
              <w:spacing w:before="1"/>
              <w:rPr>
                <w:sz w:val="20"/>
                <w:szCs w:val="20"/>
              </w:rPr>
            </w:pPr>
            <w:r>
              <w:rPr>
                <w:sz w:val="20"/>
                <w:szCs w:val="20"/>
              </w:rPr>
              <w:t>2,605,244</w:t>
            </w:r>
          </w:p>
        </w:tc>
        <w:tc>
          <w:tcPr>
            <w:tcW w:w="2119" w:type="dxa"/>
          </w:tcPr>
          <w:p w14:paraId="0768A35F" w14:textId="77777777" w:rsidR="00864BE6" w:rsidRDefault="00E17744">
            <w:pPr>
              <w:spacing w:before="1"/>
              <w:rPr>
                <w:sz w:val="20"/>
                <w:szCs w:val="20"/>
              </w:rPr>
            </w:pPr>
            <w:r>
              <w:rPr>
                <w:sz w:val="20"/>
                <w:szCs w:val="20"/>
              </w:rPr>
              <w:t>1,242,233</w:t>
            </w:r>
          </w:p>
        </w:tc>
        <w:tc>
          <w:tcPr>
            <w:tcW w:w="2250" w:type="dxa"/>
          </w:tcPr>
          <w:p w14:paraId="5450183A" w14:textId="77777777" w:rsidR="00864BE6" w:rsidRDefault="00E17744">
            <w:pPr>
              <w:spacing w:before="1"/>
              <w:rPr>
                <w:sz w:val="20"/>
                <w:szCs w:val="20"/>
              </w:rPr>
            </w:pPr>
            <w:r>
              <w:rPr>
                <w:sz w:val="20"/>
                <w:szCs w:val="20"/>
              </w:rPr>
              <w:t>305,657</w:t>
            </w:r>
          </w:p>
        </w:tc>
        <w:tc>
          <w:tcPr>
            <w:tcW w:w="1260" w:type="dxa"/>
          </w:tcPr>
          <w:p w14:paraId="1FBE4310" w14:textId="77777777" w:rsidR="00864BE6" w:rsidRDefault="00E17744">
            <w:pPr>
              <w:spacing w:before="1"/>
              <w:rPr>
                <w:sz w:val="20"/>
                <w:szCs w:val="20"/>
              </w:rPr>
            </w:pPr>
            <w:r>
              <w:rPr>
                <w:sz w:val="20"/>
                <w:szCs w:val="20"/>
              </w:rPr>
              <w:t>4,926,467</w:t>
            </w:r>
          </w:p>
        </w:tc>
      </w:tr>
      <w:tr w:rsidR="00864BE6" w14:paraId="5D39F165" w14:textId="77777777" w:rsidTr="00FF097E">
        <w:trPr>
          <w:trHeight w:val="350"/>
        </w:trPr>
        <w:tc>
          <w:tcPr>
            <w:tcW w:w="802" w:type="dxa"/>
          </w:tcPr>
          <w:p w14:paraId="0F00EE9A" w14:textId="77777777" w:rsidR="00864BE6" w:rsidRDefault="00E17744">
            <w:pPr>
              <w:spacing w:before="1"/>
              <w:rPr>
                <w:b/>
                <w:sz w:val="20"/>
                <w:szCs w:val="20"/>
              </w:rPr>
            </w:pPr>
            <w:r>
              <w:rPr>
                <w:b/>
                <w:sz w:val="20"/>
                <w:szCs w:val="20"/>
              </w:rPr>
              <w:t>2020</w:t>
            </w:r>
          </w:p>
        </w:tc>
        <w:tc>
          <w:tcPr>
            <w:tcW w:w="1324" w:type="dxa"/>
          </w:tcPr>
          <w:p w14:paraId="31CE328F" w14:textId="77777777" w:rsidR="00864BE6" w:rsidRDefault="00E17744">
            <w:pPr>
              <w:spacing w:before="1"/>
              <w:rPr>
                <w:sz w:val="20"/>
                <w:szCs w:val="20"/>
              </w:rPr>
            </w:pPr>
            <w:r>
              <w:rPr>
                <w:sz w:val="20"/>
                <w:szCs w:val="20"/>
              </w:rPr>
              <w:t>800,000</w:t>
            </w:r>
          </w:p>
        </w:tc>
        <w:tc>
          <w:tcPr>
            <w:tcW w:w="1109" w:type="dxa"/>
          </w:tcPr>
          <w:p w14:paraId="4E765CA8" w14:textId="77777777" w:rsidR="00864BE6" w:rsidRDefault="00E17744">
            <w:pPr>
              <w:spacing w:before="1"/>
              <w:rPr>
                <w:sz w:val="20"/>
                <w:szCs w:val="20"/>
              </w:rPr>
            </w:pPr>
            <w:r>
              <w:rPr>
                <w:sz w:val="20"/>
                <w:szCs w:val="20"/>
              </w:rPr>
              <w:t>0</w:t>
            </w:r>
          </w:p>
        </w:tc>
        <w:tc>
          <w:tcPr>
            <w:tcW w:w="1391" w:type="dxa"/>
          </w:tcPr>
          <w:p w14:paraId="2DCD8887" w14:textId="77777777" w:rsidR="00864BE6" w:rsidRDefault="00E17744">
            <w:pPr>
              <w:spacing w:before="1"/>
              <w:rPr>
                <w:sz w:val="20"/>
                <w:szCs w:val="20"/>
              </w:rPr>
            </w:pPr>
            <w:r>
              <w:rPr>
                <w:sz w:val="20"/>
                <w:szCs w:val="20"/>
              </w:rPr>
              <w:t>2,605,167</w:t>
            </w:r>
          </w:p>
        </w:tc>
        <w:tc>
          <w:tcPr>
            <w:tcW w:w="2119" w:type="dxa"/>
          </w:tcPr>
          <w:p w14:paraId="40FB614F" w14:textId="77777777" w:rsidR="00864BE6" w:rsidRDefault="00E17744">
            <w:pPr>
              <w:spacing w:before="1"/>
              <w:rPr>
                <w:sz w:val="20"/>
                <w:szCs w:val="20"/>
              </w:rPr>
            </w:pPr>
            <w:r>
              <w:rPr>
                <w:sz w:val="20"/>
                <w:szCs w:val="20"/>
              </w:rPr>
              <w:t>1,813,010</w:t>
            </w:r>
          </w:p>
        </w:tc>
        <w:tc>
          <w:tcPr>
            <w:tcW w:w="2250" w:type="dxa"/>
          </w:tcPr>
          <w:p w14:paraId="06D0EB5E" w14:textId="77777777" w:rsidR="00864BE6" w:rsidRDefault="00E17744">
            <w:pPr>
              <w:spacing w:before="1"/>
              <w:rPr>
                <w:sz w:val="20"/>
                <w:szCs w:val="20"/>
              </w:rPr>
            </w:pPr>
            <w:r>
              <w:rPr>
                <w:sz w:val="20"/>
                <w:szCs w:val="20"/>
              </w:rPr>
              <w:t>94,734</w:t>
            </w:r>
          </w:p>
        </w:tc>
        <w:tc>
          <w:tcPr>
            <w:tcW w:w="1260" w:type="dxa"/>
          </w:tcPr>
          <w:p w14:paraId="17E23C8F" w14:textId="77777777" w:rsidR="00864BE6" w:rsidRDefault="00E17744">
            <w:pPr>
              <w:spacing w:before="1"/>
              <w:rPr>
                <w:sz w:val="20"/>
                <w:szCs w:val="20"/>
              </w:rPr>
            </w:pPr>
            <w:r>
              <w:rPr>
                <w:sz w:val="20"/>
                <w:szCs w:val="20"/>
              </w:rPr>
              <w:t>5,312,911</w:t>
            </w:r>
          </w:p>
        </w:tc>
      </w:tr>
      <w:tr w:rsidR="00864BE6" w14:paraId="66805CA9" w14:textId="77777777" w:rsidTr="00FF097E">
        <w:trPr>
          <w:trHeight w:val="272"/>
        </w:trPr>
        <w:tc>
          <w:tcPr>
            <w:tcW w:w="10255" w:type="dxa"/>
            <w:gridSpan w:val="7"/>
            <w:shd w:val="clear" w:color="auto" w:fill="FFD965"/>
          </w:tcPr>
          <w:p w14:paraId="12EE996B" w14:textId="77777777" w:rsidR="00864BE6" w:rsidRDefault="00E17744">
            <w:pPr>
              <w:spacing w:before="1"/>
              <w:jc w:val="center"/>
              <w:rPr>
                <w:b/>
                <w:i/>
                <w:sz w:val="20"/>
                <w:szCs w:val="20"/>
              </w:rPr>
            </w:pPr>
            <w:bookmarkStart w:id="13" w:name="_heading=h.lnxbz9" w:colFirst="0" w:colLast="0"/>
            <w:bookmarkEnd w:id="13"/>
            <w:r>
              <w:rPr>
                <w:b/>
                <w:i/>
                <w:sz w:val="20"/>
                <w:szCs w:val="20"/>
              </w:rPr>
              <w:t>Tracy L. Faber, Executive VP and Chief HR Officer</w:t>
            </w:r>
          </w:p>
        </w:tc>
      </w:tr>
      <w:tr w:rsidR="00864BE6" w14:paraId="171D90DF" w14:textId="77777777" w:rsidTr="00FF097E">
        <w:trPr>
          <w:trHeight w:val="341"/>
        </w:trPr>
        <w:tc>
          <w:tcPr>
            <w:tcW w:w="802" w:type="dxa"/>
          </w:tcPr>
          <w:p w14:paraId="656FA179" w14:textId="77777777" w:rsidR="00864BE6" w:rsidRDefault="00E17744">
            <w:pPr>
              <w:spacing w:before="1"/>
              <w:rPr>
                <w:b/>
                <w:sz w:val="20"/>
                <w:szCs w:val="20"/>
              </w:rPr>
            </w:pPr>
            <w:r>
              <w:rPr>
                <w:b/>
                <w:sz w:val="20"/>
                <w:szCs w:val="20"/>
              </w:rPr>
              <w:t>2022</w:t>
            </w:r>
          </w:p>
        </w:tc>
        <w:tc>
          <w:tcPr>
            <w:tcW w:w="1324" w:type="dxa"/>
          </w:tcPr>
          <w:p w14:paraId="0692963F" w14:textId="77777777" w:rsidR="00864BE6" w:rsidRDefault="00E17744">
            <w:pPr>
              <w:spacing w:before="1"/>
              <w:rPr>
                <w:sz w:val="20"/>
                <w:szCs w:val="20"/>
              </w:rPr>
            </w:pPr>
            <w:r>
              <w:rPr>
                <w:sz w:val="20"/>
                <w:szCs w:val="20"/>
              </w:rPr>
              <w:t>641,667</w:t>
            </w:r>
          </w:p>
        </w:tc>
        <w:tc>
          <w:tcPr>
            <w:tcW w:w="1109" w:type="dxa"/>
          </w:tcPr>
          <w:p w14:paraId="409AA8F5" w14:textId="77777777" w:rsidR="00864BE6" w:rsidRDefault="00E17744">
            <w:pPr>
              <w:spacing w:before="1"/>
              <w:rPr>
                <w:sz w:val="20"/>
                <w:szCs w:val="20"/>
              </w:rPr>
            </w:pPr>
            <w:r>
              <w:rPr>
                <w:sz w:val="20"/>
                <w:szCs w:val="20"/>
              </w:rPr>
              <w:t>0</w:t>
            </w:r>
          </w:p>
        </w:tc>
        <w:tc>
          <w:tcPr>
            <w:tcW w:w="1391" w:type="dxa"/>
          </w:tcPr>
          <w:p w14:paraId="08509014" w14:textId="77777777" w:rsidR="00864BE6" w:rsidRDefault="00E17744">
            <w:pPr>
              <w:spacing w:before="1"/>
              <w:rPr>
                <w:sz w:val="20"/>
                <w:szCs w:val="20"/>
              </w:rPr>
            </w:pPr>
            <w:r>
              <w:rPr>
                <w:sz w:val="20"/>
                <w:szCs w:val="20"/>
              </w:rPr>
              <w:t>1,750,514</w:t>
            </w:r>
          </w:p>
        </w:tc>
        <w:tc>
          <w:tcPr>
            <w:tcW w:w="2119" w:type="dxa"/>
          </w:tcPr>
          <w:p w14:paraId="15B41746" w14:textId="77777777" w:rsidR="00864BE6" w:rsidRDefault="00E17744">
            <w:pPr>
              <w:spacing w:before="1"/>
              <w:rPr>
                <w:sz w:val="20"/>
                <w:szCs w:val="20"/>
              </w:rPr>
            </w:pPr>
            <w:r>
              <w:rPr>
                <w:sz w:val="20"/>
                <w:szCs w:val="20"/>
              </w:rPr>
              <w:t>1,122,917</w:t>
            </w:r>
          </w:p>
        </w:tc>
        <w:tc>
          <w:tcPr>
            <w:tcW w:w="2250" w:type="dxa"/>
          </w:tcPr>
          <w:p w14:paraId="38EDA143" w14:textId="77777777" w:rsidR="00864BE6" w:rsidRDefault="00E17744">
            <w:pPr>
              <w:spacing w:before="1"/>
              <w:rPr>
                <w:sz w:val="20"/>
                <w:szCs w:val="20"/>
              </w:rPr>
            </w:pPr>
            <w:r>
              <w:rPr>
                <w:sz w:val="20"/>
                <w:szCs w:val="20"/>
              </w:rPr>
              <w:t>67,383</w:t>
            </w:r>
          </w:p>
        </w:tc>
        <w:tc>
          <w:tcPr>
            <w:tcW w:w="1260" w:type="dxa"/>
          </w:tcPr>
          <w:p w14:paraId="0F505019" w14:textId="77777777" w:rsidR="00864BE6" w:rsidRDefault="00E17744">
            <w:pPr>
              <w:spacing w:before="1"/>
              <w:rPr>
                <w:sz w:val="20"/>
                <w:szCs w:val="20"/>
              </w:rPr>
            </w:pPr>
            <w:r>
              <w:rPr>
                <w:sz w:val="20"/>
                <w:szCs w:val="20"/>
              </w:rPr>
              <w:t>3,582,481</w:t>
            </w:r>
          </w:p>
        </w:tc>
      </w:tr>
      <w:tr w:rsidR="00864BE6" w14:paraId="3FC90966" w14:textId="77777777" w:rsidTr="00FF097E">
        <w:trPr>
          <w:trHeight w:val="341"/>
        </w:trPr>
        <w:tc>
          <w:tcPr>
            <w:tcW w:w="802" w:type="dxa"/>
          </w:tcPr>
          <w:p w14:paraId="644B80EB" w14:textId="77777777" w:rsidR="00864BE6" w:rsidRDefault="00E17744">
            <w:pPr>
              <w:spacing w:before="1"/>
              <w:rPr>
                <w:b/>
                <w:sz w:val="20"/>
                <w:szCs w:val="20"/>
              </w:rPr>
            </w:pPr>
            <w:r>
              <w:rPr>
                <w:b/>
                <w:sz w:val="20"/>
                <w:szCs w:val="20"/>
              </w:rPr>
              <w:t>2021</w:t>
            </w:r>
          </w:p>
        </w:tc>
        <w:tc>
          <w:tcPr>
            <w:tcW w:w="1324" w:type="dxa"/>
          </w:tcPr>
          <w:p w14:paraId="3F9DA345" w14:textId="77777777" w:rsidR="00864BE6" w:rsidRDefault="00E17744">
            <w:pPr>
              <w:spacing w:before="1"/>
              <w:rPr>
                <w:sz w:val="20"/>
                <w:szCs w:val="20"/>
              </w:rPr>
            </w:pPr>
            <w:r>
              <w:rPr>
                <w:sz w:val="20"/>
                <w:szCs w:val="20"/>
              </w:rPr>
              <w:t>604,167</w:t>
            </w:r>
          </w:p>
        </w:tc>
        <w:tc>
          <w:tcPr>
            <w:tcW w:w="1109" w:type="dxa"/>
          </w:tcPr>
          <w:p w14:paraId="1D8D5720" w14:textId="77777777" w:rsidR="00864BE6" w:rsidRDefault="00E17744">
            <w:pPr>
              <w:spacing w:before="1"/>
              <w:rPr>
                <w:sz w:val="20"/>
                <w:szCs w:val="20"/>
              </w:rPr>
            </w:pPr>
            <w:r>
              <w:rPr>
                <w:sz w:val="20"/>
                <w:szCs w:val="20"/>
              </w:rPr>
              <w:t>0</w:t>
            </w:r>
          </w:p>
        </w:tc>
        <w:tc>
          <w:tcPr>
            <w:tcW w:w="1391" w:type="dxa"/>
          </w:tcPr>
          <w:p w14:paraId="52541DEC" w14:textId="77777777" w:rsidR="00864BE6" w:rsidRDefault="00E17744">
            <w:pPr>
              <w:spacing w:before="1"/>
              <w:rPr>
                <w:sz w:val="20"/>
                <w:szCs w:val="20"/>
              </w:rPr>
            </w:pPr>
            <w:r>
              <w:rPr>
                <w:sz w:val="20"/>
                <w:szCs w:val="20"/>
              </w:rPr>
              <w:t>1,750,361</w:t>
            </w:r>
          </w:p>
        </w:tc>
        <w:tc>
          <w:tcPr>
            <w:tcW w:w="2119" w:type="dxa"/>
          </w:tcPr>
          <w:p w14:paraId="000CC287" w14:textId="77777777" w:rsidR="00864BE6" w:rsidRDefault="00E17744">
            <w:pPr>
              <w:spacing w:before="1"/>
              <w:rPr>
                <w:sz w:val="20"/>
                <w:szCs w:val="20"/>
              </w:rPr>
            </w:pPr>
            <w:r>
              <w:rPr>
                <w:sz w:val="20"/>
                <w:szCs w:val="20"/>
              </w:rPr>
              <w:t>680,667</w:t>
            </w:r>
          </w:p>
        </w:tc>
        <w:tc>
          <w:tcPr>
            <w:tcW w:w="2250" w:type="dxa"/>
          </w:tcPr>
          <w:p w14:paraId="048F55B7" w14:textId="77777777" w:rsidR="00864BE6" w:rsidRDefault="00E17744">
            <w:pPr>
              <w:spacing w:before="1"/>
              <w:rPr>
                <w:sz w:val="20"/>
                <w:szCs w:val="20"/>
              </w:rPr>
            </w:pPr>
            <w:r>
              <w:rPr>
                <w:sz w:val="20"/>
                <w:szCs w:val="20"/>
              </w:rPr>
              <w:t>60,453</w:t>
            </w:r>
          </w:p>
        </w:tc>
        <w:tc>
          <w:tcPr>
            <w:tcW w:w="1260" w:type="dxa"/>
          </w:tcPr>
          <w:p w14:paraId="09D80874" w14:textId="77777777" w:rsidR="00864BE6" w:rsidRDefault="00E17744">
            <w:pPr>
              <w:spacing w:before="1"/>
              <w:rPr>
                <w:sz w:val="20"/>
                <w:szCs w:val="20"/>
              </w:rPr>
            </w:pPr>
            <w:r>
              <w:rPr>
                <w:sz w:val="20"/>
                <w:szCs w:val="20"/>
              </w:rPr>
              <w:t>3,095,648</w:t>
            </w:r>
          </w:p>
        </w:tc>
      </w:tr>
      <w:tr w:rsidR="00864BE6" w14:paraId="07A88C77" w14:textId="77777777" w:rsidTr="00FF097E">
        <w:trPr>
          <w:trHeight w:val="350"/>
        </w:trPr>
        <w:tc>
          <w:tcPr>
            <w:tcW w:w="802" w:type="dxa"/>
          </w:tcPr>
          <w:p w14:paraId="1E7A6BBC" w14:textId="77777777" w:rsidR="00864BE6" w:rsidRDefault="00E17744">
            <w:pPr>
              <w:spacing w:before="1"/>
              <w:rPr>
                <w:b/>
                <w:sz w:val="20"/>
                <w:szCs w:val="20"/>
              </w:rPr>
            </w:pPr>
            <w:r>
              <w:rPr>
                <w:b/>
                <w:sz w:val="20"/>
                <w:szCs w:val="20"/>
              </w:rPr>
              <w:t>2020</w:t>
            </w:r>
          </w:p>
        </w:tc>
        <w:tc>
          <w:tcPr>
            <w:tcW w:w="1324" w:type="dxa"/>
          </w:tcPr>
          <w:p w14:paraId="5983DF37" w14:textId="77777777" w:rsidR="00864BE6" w:rsidRDefault="00E17744">
            <w:pPr>
              <w:spacing w:before="1"/>
              <w:rPr>
                <w:sz w:val="20"/>
                <w:szCs w:val="20"/>
              </w:rPr>
            </w:pPr>
            <w:r>
              <w:rPr>
                <w:sz w:val="20"/>
                <w:szCs w:val="20"/>
              </w:rPr>
              <w:t>533,708</w:t>
            </w:r>
          </w:p>
        </w:tc>
        <w:tc>
          <w:tcPr>
            <w:tcW w:w="1109" w:type="dxa"/>
          </w:tcPr>
          <w:p w14:paraId="33172B9B" w14:textId="77777777" w:rsidR="00864BE6" w:rsidRDefault="00E17744">
            <w:pPr>
              <w:spacing w:before="1"/>
              <w:rPr>
                <w:sz w:val="20"/>
                <w:szCs w:val="20"/>
              </w:rPr>
            </w:pPr>
            <w:r>
              <w:rPr>
                <w:sz w:val="20"/>
                <w:szCs w:val="20"/>
              </w:rPr>
              <w:t>0</w:t>
            </w:r>
          </w:p>
        </w:tc>
        <w:tc>
          <w:tcPr>
            <w:tcW w:w="1391" w:type="dxa"/>
          </w:tcPr>
          <w:p w14:paraId="1AF09EFF" w14:textId="77777777" w:rsidR="00864BE6" w:rsidRDefault="00E17744">
            <w:pPr>
              <w:spacing w:before="1"/>
              <w:rPr>
                <w:sz w:val="20"/>
                <w:szCs w:val="20"/>
              </w:rPr>
            </w:pPr>
            <w:r>
              <w:rPr>
                <w:sz w:val="20"/>
                <w:szCs w:val="20"/>
              </w:rPr>
              <w:t>1,300,266</w:t>
            </w:r>
          </w:p>
        </w:tc>
        <w:tc>
          <w:tcPr>
            <w:tcW w:w="2119" w:type="dxa"/>
          </w:tcPr>
          <w:p w14:paraId="1C104D45" w14:textId="77777777" w:rsidR="00864BE6" w:rsidRDefault="00E17744">
            <w:pPr>
              <w:spacing w:before="1"/>
              <w:rPr>
                <w:sz w:val="20"/>
                <w:szCs w:val="20"/>
              </w:rPr>
            </w:pPr>
            <w:r>
              <w:rPr>
                <w:sz w:val="20"/>
                <w:szCs w:val="20"/>
              </w:rPr>
              <w:t>676,927</w:t>
            </w:r>
          </w:p>
        </w:tc>
        <w:tc>
          <w:tcPr>
            <w:tcW w:w="2250" w:type="dxa"/>
          </w:tcPr>
          <w:p w14:paraId="3870FF1F" w14:textId="77777777" w:rsidR="00864BE6" w:rsidRDefault="00E17744">
            <w:pPr>
              <w:spacing w:before="1"/>
              <w:rPr>
                <w:sz w:val="20"/>
                <w:szCs w:val="20"/>
              </w:rPr>
            </w:pPr>
            <w:r>
              <w:rPr>
                <w:sz w:val="20"/>
                <w:szCs w:val="20"/>
              </w:rPr>
              <w:t>51,340</w:t>
            </w:r>
          </w:p>
        </w:tc>
        <w:tc>
          <w:tcPr>
            <w:tcW w:w="1260" w:type="dxa"/>
          </w:tcPr>
          <w:p w14:paraId="61F824CC" w14:textId="77777777" w:rsidR="00864BE6" w:rsidRDefault="00E17744">
            <w:pPr>
              <w:spacing w:before="1"/>
              <w:rPr>
                <w:sz w:val="20"/>
                <w:szCs w:val="20"/>
              </w:rPr>
            </w:pPr>
            <w:r>
              <w:rPr>
                <w:sz w:val="20"/>
                <w:szCs w:val="20"/>
              </w:rPr>
              <w:t>2,562,241</w:t>
            </w:r>
          </w:p>
        </w:tc>
      </w:tr>
      <w:tr w:rsidR="00864BE6" w14:paraId="64D37D68" w14:textId="77777777" w:rsidTr="00FF097E">
        <w:trPr>
          <w:trHeight w:val="272"/>
        </w:trPr>
        <w:tc>
          <w:tcPr>
            <w:tcW w:w="10255" w:type="dxa"/>
            <w:gridSpan w:val="7"/>
            <w:shd w:val="clear" w:color="auto" w:fill="FFD965"/>
          </w:tcPr>
          <w:p w14:paraId="6821695A" w14:textId="77777777" w:rsidR="00864BE6" w:rsidRDefault="00E17744">
            <w:pPr>
              <w:spacing w:before="1"/>
              <w:jc w:val="center"/>
              <w:rPr>
                <w:b/>
                <w:i/>
                <w:sz w:val="20"/>
                <w:szCs w:val="20"/>
              </w:rPr>
            </w:pPr>
            <w:r>
              <w:rPr>
                <w:b/>
                <w:i/>
                <w:sz w:val="20"/>
                <w:szCs w:val="20"/>
              </w:rPr>
              <w:t>Nancy Flores, Executive VP, CFO, and CTO</w:t>
            </w:r>
          </w:p>
        </w:tc>
      </w:tr>
      <w:tr w:rsidR="00864BE6" w14:paraId="31FA7E88" w14:textId="77777777" w:rsidTr="00FF097E">
        <w:trPr>
          <w:trHeight w:val="341"/>
        </w:trPr>
        <w:tc>
          <w:tcPr>
            <w:tcW w:w="802" w:type="dxa"/>
          </w:tcPr>
          <w:p w14:paraId="207EE536" w14:textId="77777777" w:rsidR="00864BE6" w:rsidRDefault="00E17744">
            <w:pPr>
              <w:spacing w:before="1"/>
              <w:rPr>
                <w:b/>
                <w:sz w:val="20"/>
                <w:szCs w:val="20"/>
              </w:rPr>
            </w:pPr>
            <w:r>
              <w:rPr>
                <w:b/>
                <w:sz w:val="20"/>
                <w:szCs w:val="20"/>
              </w:rPr>
              <w:t>2022</w:t>
            </w:r>
          </w:p>
        </w:tc>
        <w:tc>
          <w:tcPr>
            <w:tcW w:w="1324" w:type="dxa"/>
          </w:tcPr>
          <w:p w14:paraId="3F2C07B5" w14:textId="77777777" w:rsidR="00864BE6" w:rsidRDefault="00E17744">
            <w:pPr>
              <w:spacing w:before="1"/>
              <w:rPr>
                <w:sz w:val="20"/>
                <w:szCs w:val="20"/>
              </w:rPr>
            </w:pPr>
            <w:r>
              <w:rPr>
                <w:sz w:val="20"/>
                <w:szCs w:val="20"/>
              </w:rPr>
              <w:t>570,834</w:t>
            </w:r>
          </w:p>
        </w:tc>
        <w:tc>
          <w:tcPr>
            <w:tcW w:w="1109" w:type="dxa"/>
          </w:tcPr>
          <w:p w14:paraId="17308259" w14:textId="77777777" w:rsidR="00864BE6" w:rsidRDefault="00E17744">
            <w:pPr>
              <w:spacing w:before="1"/>
              <w:rPr>
                <w:sz w:val="20"/>
                <w:szCs w:val="20"/>
              </w:rPr>
            </w:pPr>
            <w:r>
              <w:rPr>
                <w:sz w:val="20"/>
                <w:szCs w:val="20"/>
              </w:rPr>
              <w:t>0</w:t>
            </w:r>
          </w:p>
        </w:tc>
        <w:tc>
          <w:tcPr>
            <w:tcW w:w="1391" w:type="dxa"/>
          </w:tcPr>
          <w:p w14:paraId="3B0550C5" w14:textId="77777777" w:rsidR="00864BE6" w:rsidRDefault="00E17744">
            <w:pPr>
              <w:spacing w:before="1"/>
              <w:rPr>
                <w:sz w:val="20"/>
                <w:szCs w:val="20"/>
              </w:rPr>
            </w:pPr>
            <w:r>
              <w:rPr>
                <w:sz w:val="20"/>
                <w:szCs w:val="20"/>
              </w:rPr>
              <w:t>1,450,112</w:t>
            </w:r>
          </w:p>
        </w:tc>
        <w:tc>
          <w:tcPr>
            <w:tcW w:w="2119" w:type="dxa"/>
          </w:tcPr>
          <w:p w14:paraId="55F8777F" w14:textId="77777777" w:rsidR="00864BE6" w:rsidRDefault="00E17744">
            <w:pPr>
              <w:spacing w:before="1"/>
              <w:rPr>
                <w:sz w:val="20"/>
                <w:szCs w:val="20"/>
              </w:rPr>
            </w:pPr>
            <w:r>
              <w:rPr>
                <w:sz w:val="20"/>
                <w:szCs w:val="20"/>
              </w:rPr>
              <w:t>998,960</w:t>
            </w:r>
          </w:p>
        </w:tc>
        <w:tc>
          <w:tcPr>
            <w:tcW w:w="2250" w:type="dxa"/>
          </w:tcPr>
          <w:p w14:paraId="380D2C7D" w14:textId="77777777" w:rsidR="00864BE6" w:rsidRDefault="00E17744">
            <w:pPr>
              <w:spacing w:before="1"/>
              <w:rPr>
                <w:sz w:val="20"/>
                <w:szCs w:val="20"/>
              </w:rPr>
            </w:pPr>
            <w:r>
              <w:rPr>
                <w:sz w:val="20"/>
                <w:szCs w:val="20"/>
              </w:rPr>
              <w:t>35,100</w:t>
            </w:r>
          </w:p>
        </w:tc>
        <w:tc>
          <w:tcPr>
            <w:tcW w:w="1260" w:type="dxa"/>
          </w:tcPr>
          <w:p w14:paraId="6C7079B8" w14:textId="77777777" w:rsidR="00864BE6" w:rsidRDefault="00E17744">
            <w:pPr>
              <w:spacing w:before="1"/>
              <w:rPr>
                <w:sz w:val="20"/>
                <w:szCs w:val="20"/>
              </w:rPr>
            </w:pPr>
            <w:r>
              <w:rPr>
                <w:sz w:val="20"/>
                <w:szCs w:val="20"/>
              </w:rPr>
              <w:t>3,055,006</w:t>
            </w:r>
          </w:p>
        </w:tc>
      </w:tr>
    </w:tbl>
    <w:p w14:paraId="71D4F674" w14:textId="77777777" w:rsidR="00864BE6" w:rsidRDefault="00864BE6">
      <w:pPr>
        <w:pBdr>
          <w:top w:val="nil"/>
          <w:left w:val="nil"/>
          <w:bottom w:val="nil"/>
          <w:right w:val="nil"/>
          <w:between w:val="nil"/>
        </w:pBdr>
        <w:spacing w:before="1"/>
        <w:rPr>
          <w:b/>
          <w:i/>
          <w:color w:val="FF0000"/>
          <w:sz w:val="24"/>
          <w:szCs w:val="24"/>
          <w:u w:val="single"/>
        </w:rPr>
      </w:pPr>
    </w:p>
    <w:p w14:paraId="11FFB22F" w14:textId="77777777" w:rsidR="00864BE6" w:rsidRDefault="00E17744">
      <w:pPr>
        <w:pBdr>
          <w:top w:val="nil"/>
          <w:left w:val="nil"/>
          <w:bottom w:val="nil"/>
          <w:right w:val="nil"/>
          <w:between w:val="nil"/>
        </w:pBdr>
        <w:spacing w:before="1" w:line="480" w:lineRule="auto"/>
        <w:rPr>
          <w:sz w:val="24"/>
          <w:szCs w:val="24"/>
        </w:rPr>
      </w:pPr>
      <w:r>
        <w:rPr>
          <w:sz w:val="24"/>
          <w:szCs w:val="24"/>
        </w:rPr>
        <w:t>Table 6 displays the two current beneficial owners of McKesson (The Vanguard Group and BlackRock, Inc.) (as of June 9, 2022):</w:t>
      </w:r>
    </w:p>
    <w:tbl>
      <w:tblPr>
        <w:tblStyle w:val="af0"/>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3150"/>
        <w:gridCol w:w="3060"/>
      </w:tblGrid>
      <w:tr w:rsidR="00864BE6" w14:paraId="05F3EFE6" w14:textId="77777777">
        <w:trPr>
          <w:trHeight w:val="629"/>
        </w:trPr>
        <w:tc>
          <w:tcPr>
            <w:tcW w:w="3955" w:type="dxa"/>
            <w:shd w:val="clear" w:color="auto" w:fill="1F4E79"/>
          </w:tcPr>
          <w:p w14:paraId="19637A3C" w14:textId="77777777" w:rsidR="00864BE6" w:rsidRDefault="00E17744">
            <w:pPr>
              <w:spacing w:before="1"/>
              <w:rPr>
                <w:b/>
                <w:color w:val="FFFFFF"/>
                <w:sz w:val="24"/>
                <w:szCs w:val="24"/>
              </w:rPr>
            </w:pPr>
            <w:r>
              <w:rPr>
                <w:b/>
                <w:color w:val="FFFFFF"/>
                <w:sz w:val="24"/>
                <w:szCs w:val="24"/>
              </w:rPr>
              <w:t>Name of Beneficial Owner</w:t>
            </w:r>
          </w:p>
        </w:tc>
        <w:tc>
          <w:tcPr>
            <w:tcW w:w="3150" w:type="dxa"/>
            <w:shd w:val="clear" w:color="auto" w:fill="1F4E79"/>
          </w:tcPr>
          <w:p w14:paraId="18551C60" w14:textId="77777777" w:rsidR="00864BE6" w:rsidRDefault="00E17744">
            <w:pPr>
              <w:spacing w:before="1"/>
              <w:rPr>
                <w:b/>
                <w:color w:val="FFFFFF"/>
                <w:sz w:val="24"/>
                <w:szCs w:val="24"/>
              </w:rPr>
            </w:pPr>
            <w:r>
              <w:rPr>
                <w:b/>
                <w:color w:val="FFFFFF"/>
                <w:sz w:val="24"/>
                <w:szCs w:val="24"/>
              </w:rPr>
              <w:t xml:space="preserve">Amount and Nature of </w:t>
            </w:r>
          </w:p>
          <w:p w14:paraId="142E5AC8" w14:textId="77777777" w:rsidR="00864BE6" w:rsidRDefault="00E17744">
            <w:pPr>
              <w:spacing w:before="1"/>
              <w:rPr>
                <w:b/>
                <w:color w:val="FFFFFF"/>
                <w:sz w:val="24"/>
                <w:szCs w:val="24"/>
              </w:rPr>
            </w:pPr>
            <w:r>
              <w:rPr>
                <w:b/>
                <w:color w:val="FFFFFF"/>
                <w:sz w:val="24"/>
                <w:szCs w:val="24"/>
              </w:rPr>
              <w:t>Beneficial Ownership</w:t>
            </w:r>
          </w:p>
        </w:tc>
        <w:tc>
          <w:tcPr>
            <w:tcW w:w="3060" w:type="dxa"/>
            <w:shd w:val="clear" w:color="auto" w:fill="1F4E79"/>
          </w:tcPr>
          <w:p w14:paraId="515D5E35" w14:textId="77777777" w:rsidR="00864BE6" w:rsidRDefault="00E17744">
            <w:pPr>
              <w:spacing w:before="1"/>
              <w:rPr>
                <w:b/>
                <w:color w:val="FFFFFF"/>
                <w:sz w:val="24"/>
                <w:szCs w:val="24"/>
              </w:rPr>
            </w:pPr>
            <w:r>
              <w:rPr>
                <w:b/>
                <w:color w:val="FFFFFF"/>
                <w:sz w:val="24"/>
                <w:szCs w:val="24"/>
              </w:rPr>
              <w:t>Percent of Class</w:t>
            </w:r>
          </w:p>
        </w:tc>
      </w:tr>
      <w:tr w:rsidR="00864BE6" w14:paraId="27723543" w14:textId="77777777">
        <w:trPr>
          <w:trHeight w:val="305"/>
        </w:trPr>
        <w:tc>
          <w:tcPr>
            <w:tcW w:w="3955" w:type="dxa"/>
            <w:shd w:val="clear" w:color="auto" w:fill="FFD965"/>
          </w:tcPr>
          <w:p w14:paraId="7A46F975" w14:textId="77777777" w:rsidR="00864BE6" w:rsidRDefault="00E17744">
            <w:pPr>
              <w:spacing w:before="1"/>
              <w:rPr>
                <w:b/>
              </w:rPr>
            </w:pPr>
            <w:r>
              <w:rPr>
                <w:b/>
              </w:rPr>
              <w:t>The Vanguard Group</w:t>
            </w:r>
          </w:p>
        </w:tc>
        <w:tc>
          <w:tcPr>
            <w:tcW w:w="3150" w:type="dxa"/>
          </w:tcPr>
          <w:p w14:paraId="0FDCF278" w14:textId="77777777" w:rsidR="00864BE6" w:rsidRDefault="00E17744">
            <w:pPr>
              <w:spacing w:before="1"/>
            </w:pPr>
            <w:r>
              <w:t>15,497,451</w:t>
            </w:r>
          </w:p>
        </w:tc>
        <w:tc>
          <w:tcPr>
            <w:tcW w:w="3060" w:type="dxa"/>
          </w:tcPr>
          <w:p w14:paraId="2A4EADE7" w14:textId="77777777" w:rsidR="00864BE6" w:rsidRDefault="00E17744">
            <w:pPr>
              <w:spacing w:before="1"/>
            </w:pPr>
            <w:r>
              <w:t>10.79%</w:t>
            </w:r>
          </w:p>
        </w:tc>
      </w:tr>
      <w:tr w:rsidR="00864BE6" w14:paraId="7BD18AA8" w14:textId="77777777">
        <w:trPr>
          <w:trHeight w:val="307"/>
        </w:trPr>
        <w:tc>
          <w:tcPr>
            <w:tcW w:w="3955" w:type="dxa"/>
            <w:tcBorders>
              <w:top w:val="single" w:sz="8" w:space="0" w:color="000000"/>
              <w:left w:val="single" w:sz="8" w:space="0" w:color="000000"/>
              <w:bottom w:val="single" w:sz="8" w:space="0" w:color="000000"/>
              <w:right w:val="single" w:sz="8" w:space="0" w:color="000000"/>
            </w:tcBorders>
            <w:shd w:val="clear" w:color="auto" w:fill="FFD965"/>
          </w:tcPr>
          <w:p w14:paraId="6372039C" w14:textId="77777777" w:rsidR="00864BE6" w:rsidRDefault="00E17744">
            <w:pPr>
              <w:spacing w:before="1"/>
              <w:rPr>
                <w:b/>
                <w:u w:val="single"/>
              </w:rPr>
            </w:pPr>
            <w:r>
              <w:rPr>
                <w:b/>
                <w:color w:val="000000"/>
              </w:rPr>
              <w:t>BlackRock, Inc.</w:t>
            </w:r>
          </w:p>
        </w:tc>
        <w:tc>
          <w:tcPr>
            <w:tcW w:w="3150" w:type="dxa"/>
            <w:tcBorders>
              <w:top w:val="single" w:sz="8" w:space="0" w:color="000000"/>
              <w:left w:val="nil"/>
              <w:bottom w:val="single" w:sz="8" w:space="0" w:color="000000"/>
              <w:right w:val="single" w:sz="8" w:space="0" w:color="000000"/>
            </w:tcBorders>
            <w:shd w:val="clear" w:color="auto" w:fill="auto"/>
          </w:tcPr>
          <w:p w14:paraId="28016153" w14:textId="77777777" w:rsidR="00864BE6" w:rsidRDefault="00E17744">
            <w:pPr>
              <w:spacing w:before="1"/>
              <w:rPr>
                <w:b/>
                <w:u w:val="single"/>
              </w:rPr>
            </w:pPr>
            <w:r>
              <w:rPr>
                <w:color w:val="000000"/>
              </w:rPr>
              <w:t>13,171,252</w:t>
            </w:r>
          </w:p>
        </w:tc>
        <w:tc>
          <w:tcPr>
            <w:tcW w:w="3060" w:type="dxa"/>
            <w:tcBorders>
              <w:top w:val="single" w:sz="8" w:space="0" w:color="000000"/>
              <w:left w:val="nil"/>
              <w:bottom w:val="single" w:sz="8" w:space="0" w:color="000000"/>
              <w:right w:val="single" w:sz="8" w:space="0" w:color="000000"/>
            </w:tcBorders>
          </w:tcPr>
          <w:p w14:paraId="57FF64F9" w14:textId="77777777" w:rsidR="00864BE6" w:rsidRDefault="00E17744">
            <w:pPr>
              <w:spacing w:before="1"/>
              <w:rPr>
                <w:color w:val="000000"/>
              </w:rPr>
            </w:pPr>
            <w:r>
              <w:rPr>
                <w:color w:val="000000"/>
              </w:rPr>
              <w:t>9.71%</w:t>
            </w:r>
          </w:p>
        </w:tc>
      </w:tr>
    </w:tbl>
    <w:p w14:paraId="30C145F2" w14:textId="77777777" w:rsidR="00864BE6" w:rsidRDefault="00864BE6">
      <w:pPr>
        <w:pBdr>
          <w:top w:val="nil"/>
          <w:left w:val="nil"/>
          <w:bottom w:val="nil"/>
          <w:right w:val="nil"/>
          <w:between w:val="nil"/>
        </w:pBdr>
        <w:rPr>
          <w:color w:val="000000"/>
          <w:sz w:val="24"/>
          <w:szCs w:val="24"/>
        </w:rPr>
      </w:pPr>
    </w:p>
    <w:p w14:paraId="01A51296" w14:textId="77777777" w:rsidR="00864BE6" w:rsidRDefault="00E17744">
      <w:pPr>
        <w:rPr>
          <w:color w:val="000000"/>
          <w:sz w:val="24"/>
          <w:szCs w:val="24"/>
        </w:rPr>
      </w:pPr>
      <w:r>
        <w:br w:type="page"/>
      </w:r>
    </w:p>
    <w:p w14:paraId="34C6A46A" w14:textId="77777777" w:rsidR="00864BE6" w:rsidRDefault="00E17744">
      <w:pPr>
        <w:pStyle w:val="Heading1"/>
        <w:rPr>
          <w:color w:val="1F4E79"/>
          <w:sz w:val="32"/>
          <w:szCs w:val="32"/>
        </w:rPr>
      </w:pPr>
      <w:bookmarkStart w:id="14" w:name="_Toc129024019"/>
      <w:r>
        <w:rPr>
          <w:color w:val="1F4E79"/>
          <w:sz w:val="32"/>
          <w:szCs w:val="32"/>
        </w:rPr>
        <w:lastRenderedPageBreak/>
        <w:t>References</w:t>
      </w:r>
      <w:bookmarkEnd w:id="14"/>
    </w:p>
    <w:p w14:paraId="759CE819" w14:textId="77777777" w:rsidR="00080BC6" w:rsidRDefault="00080BC6" w:rsidP="00080BC6">
      <w:pPr>
        <w:pBdr>
          <w:top w:val="nil"/>
          <w:left w:val="nil"/>
          <w:bottom w:val="nil"/>
          <w:right w:val="nil"/>
          <w:between w:val="nil"/>
        </w:pBdr>
        <w:rPr>
          <w:sz w:val="24"/>
          <w:szCs w:val="24"/>
        </w:rPr>
      </w:pPr>
      <w:r>
        <w:rPr>
          <w:sz w:val="24"/>
          <w:szCs w:val="24"/>
        </w:rPr>
        <w:t>Google Finance. “McKesson Corp.” Google Finance Quote.</w:t>
      </w:r>
    </w:p>
    <w:p w14:paraId="1F80FB73" w14:textId="77777777" w:rsidR="00080BC6" w:rsidRDefault="00000000" w:rsidP="00080BC6">
      <w:pPr>
        <w:pBdr>
          <w:top w:val="nil"/>
          <w:left w:val="nil"/>
          <w:bottom w:val="nil"/>
          <w:right w:val="nil"/>
          <w:between w:val="nil"/>
        </w:pBdr>
        <w:rPr>
          <w:color w:val="0000FF"/>
          <w:sz w:val="24"/>
          <w:szCs w:val="24"/>
          <w:u w:val="single"/>
        </w:rPr>
      </w:pPr>
      <w:hyperlink r:id="rId9">
        <w:r w:rsidR="00080BC6">
          <w:rPr>
            <w:color w:val="0000FF"/>
            <w:sz w:val="24"/>
            <w:szCs w:val="24"/>
            <w:u w:val="single"/>
          </w:rPr>
          <w:t>https://www.google.com/finance/quote/MCK:NYSE?hl=en</w:t>
        </w:r>
      </w:hyperlink>
    </w:p>
    <w:p w14:paraId="6BDF6E71" w14:textId="77777777" w:rsidR="00080BC6" w:rsidRDefault="00080BC6">
      <w:pPr>
        <w:pBdr>
          <w:top w:val="nil"/>
          <w:left w:val="nil"/>
          <w:bottom w:val="nil"/>
          <w:right w:val="nil"/>
          <w:between w:val="nil"/>
        </w:pBdr>
        <w:rPr>
          <w:color w:val="000000"/>
          <w:sz w:val="24"/>
          <w:szCs w:val="24"/>
        </w:rPr>
      </w:pPr>
    </w:p>
    <w:p w14:paraId="439E3885" w14:textId="32226091" w:rsidR="00864BE6" w:rsidRDefault="00080BC6">
      <w:pPr>
        <w:pBdr>
          <w:top w:val="nil"/>
          <w:left w:val="nil"/>
          <w:bottom w:val="nil"/>
          <w:right w:val="nil"/>
          <w:between w:val="nil"/>
        </w:pBdr>
        <w:rPr>
          <w:color w:val="000000"/>
          <w:sz w:val="24"/>
          <w:szCs w:val="24"/>
        </w:rPr>
      </w:pPr>
      <w:r>
        <w:rPr>
          <w:color w:val="000000"/>
          <w:sz w:val="24"/>
          <w:szCs w:val="24"/>
        </w:rPr>
        <w:t xml:space="preserve">“McKesson; Medical Supplies, Pharmaceutical Healthcare.” McKesson. </w:t>
      </w:r>
      <w:hyperlink r:id="rId10">
        <w:r>
          <w:rPr>
            <w:color w:val="0000FF"/>
            <w:sz w:val="24"/>
            <w:szCs w:val="24"/>
            <w:u w:val="single"/>
          </w:rPr>
          <w:t>https://www.mckesson.com/</w:t>
        </w:r>
      </w:hyperlink>
      <w:r>
        <w:rPr>
          <w:color w:val="000000"/>
          <w:sz w:val="24"/>
          <w:szCs w:val="24"/>
        </w:rPr>
        <w:t>.</w:t>
      </w:r>
    </w:p>
    <w:p w14:paraId="5D26BE88" w14:textId="77777777" w:rsidR="00080BC6" w:rsidRDefault="00080BC6">
      <w:pPr>
        <w:pBdr>
          <w:top w:val="nil"/>
          <w:left w:val="nil"/>
          <w:bottom w:val="nil"/>
          <w:right w:val="nil"/>
          <w:between w:val="nil"/>
        </w:pBdr>
        <w:rPr>
          <w:color w:val="000000"/>
          <w:sz w:val="24"/>
          <w:szCs w:val="24"/>
        </w:rPr>
      </w:pPr>
    </w:p>
    <w:p w14:paraId="27EB2CA2" w14:textId="1F648A52" w:rsidR="00864BE6" w:rsidRDefault="00E17744">
      <w:pPr>
        <w:pBdr>
          <w:top w:val="nil"/>
          <w:left w:val="nil"/>
          <w:bottom w:val="nil"/>
          <w:right w:val="nil"/>
          <w:between w:val="nil"/>
        </w:pBdr>
        <w:rPr>
          <w:color w:val="000000"/>
          <w:sz w:val="24"/>
          <w:szCs w:val="24"/>
        </w:rPr>
      </w:pPr>
      <w:r>
        <w:rPr>
          <w:color w:val="000000"/>
          <w:sz w:val="24"/>
          <w:szCs w:val="24"/>
        </w:rPr>
        <w:t>“McKesson Form 10-K 2022.”</w:t>
      </w:r>
      <w:r w:rsidR="00080BC6">
        <w:rPr>
          <w:color w:val="000000"/>
          <w:sz w:val="24"/>
          <w:szCs w:val="24"/>
        </w:rPr>
        <w:t xml:space="preserve"> 9 May 2022. U.S. Securities and Exchange Commission. McKesson. </w:t>
      </w:r>
      <w:hyperlink r:id="rId11" w:history="1">
        <w:r w:rsidR="00080BC6" w:rsidRPr="00665D5B">
          <w:rPr>
            <w:rStyle w:val="Hyperlink"/>
            <w:sz w:val="24"/>
            <w:szCs w:val="24"/>
          </w:rPr>
          <w:t>https://www.sec.gov/ix?doc=/Archives/edgar/data/927653/000092765322000051/mck-20220331.htm</w:t>
        </w:r>
      </w:hyperlink>
      <w:r>
        <w:rPr>
          <w:color w:val="000000"/>
          <w:sz w:val="24"/>
          <w:szCs w:val="24"/>
        </w:rPr>
        <w:t>.</w:t>
      </w:r>
    </w:p>
    <w:p w14:paraId="041C0AA3" w14:textId="77777777" w:rsidR="00864BE6" w:rsidRDefault="00864BE6">
      <w:pPr>
        <w:pBdr>
          <w:top w:val="nil"/>
          <w:left w:val="nil"/>
          <w:bottom w:val="nil"/>
          <w:right w:val="nil"/>
          <w:between w:val="nil"/>
        </w:pBdr>
        <w:rPr>
          <w:color w:val="000000"/>
          <w:sz w:val="24"/>
          <w:szCs w:val="24"/>
        </w:rPr>
      </w:pPr>
    </w:p>
    <w:p w14:paraId="42D0C324" w14:textId="05152FC6" w:rsidR="00864BE6" w:rsidRDefault="00E17744">
      <w:pPr>
        <w:pBdr>
          <w:top w:val="nil"/>
          <w:left w:val="nil"/>
          <w:bottom w:val="nil"/>
          <w:right w:val="nil"/>
          <w:between w:val="nil"/>
        </w:pBdr>
        <w:rPr>
          <w:color w:val="000000"/>
          <w:sz w:val="24"/>
          <w:szCs w:val="24"/>
        </w:rPr>
      </w:pPr>
      <w:r>
        <w:rPr>
          <w:color w:val="000000"/>
          <w:sz w:val="24"/>
          <w:szCs w:val="24"/>
        </w:rPr>
        <w:t>“McKesson Form 10-K 2020.”</w:t>
      </w:r>
      <w:r w:rsidR="00080BC6">
        <w:rPr>
          <w:color w:val="000000"/>
          <w:sz w:val="24"/>
          <w:szCs w:val="24"/>
        </w:rPr>
        <w:t xml:space="preserve"> 22 </w:t>
      </w:r>
      <w:proofErr w:type="gramStart"/>
      <w:r w:rsidR="00080BC6">
        <w:rPr>
          <w:color w:val="000000"/>
          <w:sz w:val="24"/>
          <w:szCs w:val="24"/>
        </w:rPr>
        <w:t>May,</w:t>
      </w:r>
      <w:proofErr w:type="gramEnd"/>
      <w:r w:rsidR="00080BC6">
        <w:rPr>
          <w:color w:val="000000"/>
          <w:sz w:val="24"/>
          <w:szCs w:val="24"/>
        </w:rPr>
        <w:t xml:space="preserve"> 2020.</w:t>
      </w:r>
      <w:r>
        <w:rPr>
          <w:color w:val="000000"/>
          <w:sz w:val="24"/>
          <w:szCs w:val="24"/>
        </w:rPr>
        <w:t xml:space="preserve"> </w:t>
      </w:r>
      <w:r w:rsidR="00080BC6">
        <w:rPr>
          <w:color w:val="000000"/>
          <w:sz w:val="24"/>
          <w:szCs w:val="24"/>
        </w:rPr>
        <w:t>U.S. Securities and Exchange Commission. McKesson.</w:t>
      </w:r>
    </w:p>
    <w:p w14:paraId="5DDB1132" w14:textId="77777777" w:rsidR="00864BE6" w:rsidRDefault="00000000">
      <w:pPr>
        <w:pBdr>
          <w:top w:val="nil"/>
          <w:left w:val="nil"/>
          <w:bottom w:val="nil"/>
          <w:right w:val="nil"/>
          <w:between w:val="nil"/>
        </w:pBdr>
        <w:rPr>
          <w:color w:val="000000"/>
          <w:sz w:val="24"/>
          <w:szCs w:val="24"/>
        </w:rPr>
      </w:pPr>
      <w:hyperlink r:id="rId12">
        <w:r w:rsidR="00E17744">
          <w:rPr>
            <w:color w:val="0000FF"/>
            <w:sz w:val="24"/>
            <w:szCs w:val="24"/>
            <w:u w:val="single"/>
          </w:rPr>
          <w:t>https://www.sec.gov/ix?doc=/Archives/edgar/data/927653/000092765320000033/mck10k3312020.htm</w:t>
        </w:r>
      </w:hyperlink>
      <w:r w:rsidR="00E17744">
        <w:rPr>
          <w:color w:val="000000"/>
          <w:sz w:val="24"/>
          <w:szCs w:val="24"/>
        </w:rPr>
        <w:t>.</w:t>
      </w:r>
    </w:p>
    <w:p w14:paraId="382F9231" w14:textId="77777777" w:rsidR="00864BE6" w:rsidRDefault="00864BE6">
      <w:pPr>
        <w:pBdr>
          <w:top w:val="nil"/>
          <w:left w:val="nil"/>
          <w:bottom w:val="nil"/>
          <w:right w:val="nil"/>
          <w:between w:val="nil"/>
        </w:pBdr>
        <w:rPr>
          <w:color w:val="000000"/>
          <w:sz w:val="24"/>
          <w:szCs w:val="24"/>
        </w:rPr>
      </w:pPr>
    </w:p>
    <w:p w14:paraId="14083247" w14:textId="6FA6C16D" w:rsidR="00864BE6" w:rsidRDefault="00E17744">
      <w:pPr>
        <w:pBdr>
          <w:top w:val="nil"/>
          <w:left w:val="nil"/>
          <w:bottom w:val="nil"/>
          <w:right w:val="nil"/>
          <w:between w:val="nil"/>
        </w:pBdr>
        <w:rPr>
          <w:sz w:val="24"/>
          <w:szCs w:val="24"/>
        </w:rPr>
      </w:pPr>
      <w:r>
        <w:rPr>
          <w:sz w:val="24"/>
          <w:szCs w:val="24"/>
        </w:rPr>
        <w:t xml:space="preserve">“Proxy Statement Pursuant to Section 14(a) of the Securities Exchange Act of 1934.” </w:t>
      </w:r>
      <w:r w:rsidR="00D64F36">
        <w:rPr>
          <w:sz w:val="24"/>
          <w:szCs w:val="24"/>
        </w:rPr>
        <w:t xml:space="preserve">9 </w:t>
      </w:r>
      <w:proofErr w:type="gramStart"/>
      <w:r w:rsidR="00D64F36">
        <w:rPr>
          <w:sz w:val="24"/>
          <w:szCs w:val="24"/>
        </w:rPr>
        <w:t>June,</w:t>
      </w:r>
      <w:proofErr w:type="gramEnd"/>
      <w:r w:rsidR="00D64F36">
        <w:rPr>
          <w:sz w:val="24"/>
          <w:szCs w:val="24"/>
        </w:rPr>
        <w:t xml:space="preserve"> 2022. </w:t>
      </w:r>
      <w:r w:rsidR="00D64F36">
        <w:rPr>
          <w:color w:val="000000"/>
          <w:sz w:val="24"/>
          <w:szCs w:val="24"/>
        </w:rPr>
        <w:t>U.S. Securities and Exchange Commission. McKesson.</w:t>
      </w:r>
      <w:r w:rsidR="00E322A2">
        <w:rPr>
          <w:color w:val="000000"/>
          <w:sz w:val="24"/>
          <w:szCs w:val="24"/>
        </w:rPr>
        <w:t xml:space="preserve"> </w:t>
      </w:r>
      <w:hyperlink r:id="rId13" w:history="1">
        <w:r w:rsidR="00D64F36" w:rsidRPr="00665D5B">
          <w:rPr>
            <w:rStyle w:val="Hyperlink"/>
            <w:sz w:val="24"/>
            <w:szCs w:val="24"/>
          </w:rPr>
          <w:t>https://www.sec.gov/Archives/edgar/data/927653/000119312522171040/d308236ddef14a.htm</w:t>
        </w:r>
      </w:hyperlink>
      <w:r>
        <w:rPr>
          <w:sz w:val="24"/>
          <w:szCs w:val="24"/>
        </w:rPr>
        <w:t>.</w:t>
      </w:r>
    </w:p>
    <w:p w14:paraId="0B9311BB" w14:textId="77777777" w:rsidR="00080BC6" w:rsidRDefault="00080BC6">
      <w:pPr>
        <w:pBdr>
          <w:top w:val="nil"/>
          <w:left w:val="nil"/>
          <w:bottom w:val="nil"/>
          <w:right w:val="nil"/>
          <w:between w:val="nil"/>
        </w:pBdr>
        <w:rPr>
          <w:sz w:val="24"/>
          <w:szCs w:val="24"/>
        </w:rPr>
      </w:pPr>
    </w:p>
    <w:p w14:paraId="3502D28A" w14:textId="70111665" w:rsidR="00864BE6" w:rsidRDefault="00E17744">
      <w:pPr>
        <w:pBdr>
          <w:top w:val="nil"/>
          <w:left w:val="nil"/>
          <w:bottom w:val="nil"/>
          <w:right w:val="nil"/>
          <w:between w:val="nil"/>
        </w:pBdr>
        <w:rPr>
          <w:color w:val="0000FF"/>
          <w:sz w:val="24"/>
          <w:szCs w:val="24"/>
          <w:u w:val="single"/>
        </w:rPr>
      </w:pPr>
      <w:r>
        <w:rPr>
          <w:sz w:val="24"/>
          <w:szCs w:val="24"/>
        </w:rPr>
        <w:t>Yahoo Finance</w:t>
      </w:r>
      <w:r w:rsidR="00080BC6">
        <w:rPr>
          <w:sz w:val="24"/>
          <w:szCs w:val="24"/>
        </w:rPr>
        <w:t xml:space="preserve">. “McKesson Corporation (MCK).” Yahoo Finance Quote. </w:t>
      </w:r>
      <w:hyperlink r:id="rId14">
        <w:r>
          <w:rPr>
            <w:color w:val="0000FF"/>
            <w:sz w:val="24"/>
            <w:szCs w:val="24"/>
            <w:u w:val="single"/>
          </w:rPr>
          <w:t>https://finance.yahoo.com/quote/MCK/history?period1=1641168000&amp;period2=1672358400&amp;interval=1d&amp;filter=history&amp;frequency=1d&amp;includeAdjustedClose=true</w:t>
        </w:r>
      </w:hyperlink>
      <w:r w:rsidR="008D33E1" w:rsidRPr="008D33E1">
        <w:rPr>
          <w:sz w:val="24"/>
          <w:szCs w:val="24"/>
        </w:rPr>
        <w:t>.</w:t>
      </w:r>
    </w:p>
    <w:p w14:paraId="32D34935" w14:textId="77777777" w:rsidR="00864BE6" w:rsidRDefault="00E17744">
      <w:pPr>
        <w:pBdr>
          <w:top w:val="nil"/>
          <w:left w:val="nil"/>
          <w:bottom w:val="nil"/>
          <w:right w:val="nil"/>
          <w:between w:val="nil"/>
        </w:pBdr>
        <w:rPr>
          <w:sz w:val="24"/>
          <w:szCs w:val="24"/>
        </w:rPr>
      </w:pPr>
      <w:r>
        <w:br w:type="page"/>
      </w:r>
    </w:p>
    <w:p w14:paraId="6EAC3F4E" w14:textId="77777777" w:rsidR="00864BE6" w:rsidRDefault="00E17744">
      <w:pPr>
        <w:pStyle w:val="Heading1"/>
        <w:rPr>
          <w:color w:val="1F4E79"/>
          <w:sz w:val="32"/>
          <w:szCs w:val="32"/>
        </w:rPr>
      </w:pPr>
      <w:bookmarkStart w:id="15" w:name="_Toc129024020"/>
      <w:r>
        <w:rPr>
          <w:color w:val="1F4E79"/>
          <w:sz w:val="32"/>
          <w:szCs w:val="32"/>
        </w:rPr>
        <w:lastRenderedPageBreak/>
        <w:t>Appendices</w:t>
      </w:r>
      <w:bookmarkEnd w:id="15"/>
    </w:p>
    <w:p w14:paraId="6105975C" w14:textId="77777777" w:rsidR="00864BE6" w:rsidRPr="00080BC6" w:rsidRDefault="00E17744">
      <w:pPr>
        <w:pBdr>
          <w:top w:val="nil"/>
          <w:left w:val="nil"/>
          <w:bottom w:val="nil"/>
          <w:right w:val="nil"/>
          <w:between w:val="nil"/>
        </w:pBdr>
        <w:rPr>
          <w:b/>
          <w:color w:val="1F4E79" w:themeColor="accent5" w:themeShade="80"/>
          <w:sz w:val="24"/>
          <w:szCs w:val="24"/>
        </w:rPr>
      </w:pPr>
      <w:r w:rsidRPr="00080BC6">
        <w:rPr>
          <w:b/>
          <w:color w:val="1F4E79" w:themeColor="accent5" w:themeShade="80"/>
          <w:sz w:val="24"/>
          <w:szCs w:val="24"/>
        </w:rPr>
        <w:t>McKesson Income Statement</w:t>
      </w:r>
    </w:p>
    <w:tbl>
      <w:tblPr>
        <w:tblStyle w:val="af1"/>
        <w:tblW w:w="8190" w:type="dxa"/>
        <w:tblLayout w:type="fixed"/>
        <w:tblLook w:val="0400" w:firstRow="0" w:lastRow="0" w:firstColumn="0" w:lastColumn="0" w:noHBand="0" w:noVBand="1"/>
      </w:tblPr>
      <w:tblGrid>
        <w:gridCol w:w="2921"/>
        <w:gridCol w:w="1006"/>
        <w:gridCol w:w="957"/>
        <w:gridCol w:w="1112"/>
        <w:gridCol w:w="957"/>
        <w:gridCol w:w="1068"/>
        <w:gridCol w:w="169"/>
      </w:tblGrid>
      <w:tr w:rsidR="00864BE6" w14:paraId="18A41FC0" w14:textId="77777777" w:rsidTr="00D64F36">
        <w:trPr>
          <w:gridAfter w:val="1"/>
          <w:wAfter w:w="169" w:type="dxa"/>
          <w:trHeight w:val="420"/>
        </w:trPr>
        <w:tc>
          <w:tcPr>
            <w:tcW w:w="2921" w:type="dxa"/>
            <w:tcMar>
              <w:top w:w="0" w:type="dxa"/>
              <w:left w:w="115" w:type="dxa"/>
              <w:bottom w:w="0" w:type="dxa"/>
              <w:right w:w="115" w:type="dxa"/>
            </w:tcMar>
            <w:vAlign w:val="center"/>
          </w:tcPr>
          <w:p w14:paraId="5F251E64"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sz w:val="28"/>
                <w:szCs w:val="28"/>
              </w:rPr>
              <w:t>Export </w:t>
            </w:r>
          </w:p>
        </w:tc>
        <w:tc>
          <w:tcPr>
            <w:tcW w:w="1006" w:type="dxa"/>
            <w:tcMar>
              <w:top w:w="0" w:type="dxa"/>
              <w:left w:w="115" w:type="dxa"/>
              <w:bottom w:w="0" w:type="dxa"/>
              <w:right w:w="115" w:type="dxa"/>
            </w:tcMar>
            <w:vAlign w:val="bottom"/>
          </w:tcPr>
          <w:p w14:paraId="2E0BBB6B" w14:textId="77777777" w:rsidR="00864BE6" w:rsidRDefault="00864BE6">
            <w:pPr>
              <w:widowControl/>
              <w:rPr>
                <w:rFonts w:ascii="Times New Roman" w:eastAsia="Times New Roman" w:hAnsi="Times New Roman" w:cs="Times New Roman"/>
                <w:sz w:val="24"/>
                <w:szCs w:val="24"/>
              </w:rPr>
            </w:pPr>
          </w:p>
        </w:tc>
        <w:tc>
          <w:tcPr>
            <w:tcW w:w="957" w:type="dxa"/>
            <w:tcMar>
              <w:top w:w="0" w:type="dxa"/>
              <w:left w:w="115" w:type="dxa"/>
              <w:bottom w:w="0" w:type="dxa"/>
              <w:right w:w="115" w:type="dxa"/>
            </w:tcMar>
            <w:vAlign w:val="bottom"/>
          </w:tcPr>
          <w:p w14:paraId="1321D097" w14:textId="77777777" w:rsidR="00864BE6" w:rsidRDefault="00864BE6">
            <w:pPr>
              <w:widowControl/>
              <w:rPr>
                <w:rFonts w:ascii="Times New Roman" w:eastAsia="Times New Roman" w:hAnsi="Times New Roman" w:cs="Times New Roman"/>
                <w:sz w:val="24"/>
                <w:szCs w:val="24"/>
              </w:rPr>
            </w:pPr>
          </w:p>
        </w:tc>
        <w:tc>
          <w:tcPr>
            <w:tcW w:w="1112" w:type="dxa"/>
            <w:tcMar>
              <w:top w:w="0" w:type="dxa"/>
              <w:left w:w="115" w:type="dxa"/>
              <w:bottom w:w="0" w:type="dxa"/>
              <w:right w:w="115" w:type="dxa"/>
            </w:tcMar>
            <w:vAlign w:val="bottom"/>
          </w:tcPr>
          <w:p w14:paraId="134BE6BB" w14:textId="77777777" w:rsidR="00864BE6" w:rsidRDefault="00864BE6">
            <w:pPr>
              <w:widowControl/>
              <w:rPr>
                <w:rFonts w:ascii="Times New Roman" w:eastAsia="Times New Roman" w:hAnsi="Times New Roman" w:cs="Times New Roman"/>
                <w:sz w:val="24"/>
                <w:szCs w:val="24"/>
              </w:rPr>
            </w:pPr>
          </w:p>
        </w:tc>
        <w:tc>
          <w:tcPr>
            <w:tcW w:w="957" w:type="dxa"/>
            <w:tcMar>
              <w:top w:w="0" w:type="dxa"/>
              <w:left w:w="115" w:type="dxa"/>
              <w:bottom w:w="0" w:type="dxa"/>
              <w:right w:w="115" w:type="dxa"/>
            </w:tcMar>
            <w:vAlign w:val="bottom"/>
          </w:tcPr>
          <w:p w14:paraId="61DF5E69" w14:textId="77777777" w:rsidR="00864BE6" w:rsidRDefault="00864BE6">
            <w:pPr>
              <w:widowControl/>
              <w:rPr>
                <w:rFonts w:ascii="Times New Roman" w:eastAsia="Times New Roman" w:hAnsi="Times New Roman" w:cs="Times New Roman"/>
                <w:sz w:val="24"/>
                <w:szCs w:val="24"/>
              </w:rPr>
            </w:pPr>
          </w:p>
        </w:tc>
        <w:tc>
          <w:tcPr>
            <w:tcW w:w="1068" w:type="dxa"/>
            <w:tcMar>
              <w:top w:w="0" w:type="dxa"/>
              <w:left w:w="115" w:type="dxa"/>
              <w:bottom w:w="0" w:type="dxa"/>
              <w:right w:w="115" w:type="dxa"/>
            </w:tcMar>
            <w:vAlign w:val="bottom"/>
          </w:tcPr>
          <w:p w14:paraId="5135D11D" w14:textId="77777777" w:rsidR="00864BE6" w:rsidRDefault="00864BE6">
            <w:pPr>
              <w:widowControl/>
              <w:rPr>
                <w:rFonts w:ascii="Times New Roman" w:eastAsia="Times New Roman" w:hAnsi="Times New Roman" w:cs="Times New Roman"/>
                <w:sz w:val="24"/>
                <w:szCs w:val="24"/>
              </w:rPr>
            </w:pPr>
          </w:p>
        </w:tc>
      </w:tr>
      <w:tr w:rsidR="00864BE6" w14:paraId="7632436A"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6B62D6E6"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b/>
                <w:color w:val="000000"/>
              </w:rPr>
              <w:t>Year</w:t>
            </w:r>
          </w:p>
        </w:tc>
        <w:tc>
          <w:tcPr>
            <w:tcW w:w="1006" w:type="dxa"/>
            <w:tcBorders>
              <w:left w:val="single" w:sz="8" w:space="0" w:color="D1D5DB"/>
              <w:right w:val="single" w:sz="8" w:space="0" w:color="D1D5DB"/>
            </w:tcBorders>
            <w:shd w:val="clear" w:color="auto" w:fill="F6F7F8"/>
            <w:tcMar>
              <w:top w:w="0" w:type="dxa"/>
              <w:left w:w="115" w:type="dxa"/>
              <w:bottom w:w="0" w:type="dxa"/>
              <w:right w:w="115" w:type="dxa"/>
            </w:tcMar>
            <w:vAlign w:val="center"/>
          </w:tcPr>
          <w:p w14:paraId="49DB20B4"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2022</w:t>
            </w:r>
          </w:p>
        </w:tc>
        <w:tc>
          <w:tcPr>
            <w:tcW w:w="957" w:type="dxa"/>
            <w:tcBorders>
              <w:left w:val="single" w:sz="8" w:space="0" w:color="D1D5DB"/>
              <w:right w:val="single" w:sz="8" w:space="0" w:color="D1D5DB"/>
            </w:tcBorders>
            <w:shd w:val="clear" w:color="auto" w:fill="F6F7F8"/>
            <w:tcMar>
              <w:top w:w="0" w:type="dxa"/>
              <w:left w:w="115" w:type="dxa"/>
              <w:bottom w:w="0" w:type="dxa"/>
              <w:right w:w="115" w:type="dxa"/>
            </w:tcMar>
            <w:vAlign w:val="center"/>
          </w:tcPr>
          <w:p w14:paraId="768269A3"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2021</w:t>
            </w:r>
          </w:p>
        </w:tc>
        <w:tc>
          <w:tcPr>
            <w:tcW w:w="1112" w:type="dxa"/>
            <w:tcBorders>
              <w:left w:val="single" w:sz="8" w:space="0" w:color="D1D5DB"/>
              <w:right w:val="single" w:sz="8" w:space="0" w:color="D1D5DB"/>
            </w:tcBorders>
            <w:shd w:val="clear" w:color="auto" w:fill="F6F7F8"/>
            <w:tcMar>
              <w:top w:w="0" w:type="dxa"/>
              <w:left w:w="115" w:type="dxa"/>
              <w:bottom w:w="0" w:type="dxa"/>
              <w:right w:w="115" w:type="dxa"/>
            </w:tcMar>
            <w:vAlign w:val="center"/>
          </w:tcPr>
          <w:p w14:paraId="041B80AA"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2020</w:t>
            </w:r>
          </w:p>
        </w:tc>
        <w:tc>
          <w:tcPr>
            <w:tcW w:w="957" w:type="dxa"/>
            <w:tcBorders>
              <w:left w:val="single" w:sz="8" w:space="0" w:color="D1D5DB"/>
              <w:right w:val="single" w:sz="8" w:space="0" w:color="D1D5DB"/>
            </w:tcBorders>
            <w:shd w:val="clear" w:color="auto" w:fill="F6F7F8"/>
            <w:tcMar>
              <w:top w:w="0" w:type="dxa"/>
              <w:left w:w="115" w:type="dxa"/>
              <w:bottom w:w="0" w:type="dxa"/>
              <w:right w:w="115" w:type="dxa"/>
            </w:tcMar>
            <w:vAlign w:val="center"/>
          </w:tcPr>
          <w:p w14:paraId="2E23A358"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2019</w:t>
            </w:r>
          </w:p>
        </w:tc>
        <w:tc>
          <w:tcPr>
            <w:tcW w:w="1237" w:type="dxa"/>
            <w:gridSpan w:val="2"/>
            <w:tcBorders>
              <w:left w:val="single" w:sz="8" w:space="0" w:color="D1D5DB"/>
              <w:right w:val="single" w:sz="8" w:space="0" w:color="D1D5DB"/>
            </w:tcBorders>
            <w:shd w:val="clear" w:color="auto" w:fill="F6F7F8"/>
            <w:tcMar>
              <w:top w:w="0" w:type="dxa"/>
              <w:left w:w="115" w:type="dxa"/>
              <w:bottom w:w="0" w:type="dxa"/>
              <w:right w:w="115" w:type="dxa"/>
            </w:tcMar>
            <w:vAlign w:val="center"/>
          </w:tcPr>
          <w:p w14:paraId="283E398B"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2018</w:t>
            </w:r>
          </w:p>
        </w:tc>
      </w:tr>
      <w:tr w:rsidR="00864BE6" w14:paraId="014FD22F"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01512303"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b/>
                <w:color w:val="000000"/>
              </w:rPr>
              <w:t>Revenue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20B8D3FA"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263,966 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6DA8E5E6"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238,228</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0388AA39"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231,051</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2CF6F9BE"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214,319</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19D7A7DF"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208,357</w:t>
            </w:r>
          </w:p>
        </w:tc>
      </w:tr>
      <w:tr w:rsidR="00864BE6" w14:paraId="1D170572"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6E3F0314"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rPr>
              <w:t>Revenue Growth (YoY)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02660457"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10.80%</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1EC1362E"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3.11%</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75483B82"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7.81%</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6F1FCEED"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2.86%</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32525F19"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4.95%</w:t>
            </w:r>
          </w:p>
        </w:tc>
      </w:tr>
      <w:tr w:rsidR="00864BE6" w14:paraId="2A1A6694"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1738A535"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rPr>
              <w:t>Cost of Revenue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73269DF8"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250,836</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2B872A62"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226,080</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7B71ABAB"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219,028</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52D3B68E"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202,565</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1F0F541C"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197,173</w:t>
            </w:r>
          </w:p>
        </w:tc>
      </w:tr>
      <w:tr w:rsidR="00864BE6" w14:paraId="5832602D"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51DDFC47"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b/>
                <w:color w:val="000000"/>
              </w:rPr>
              <w:t>Gross Profit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4C2418B1"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13,130</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1FD42388"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12,148</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2863DB18"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12,023</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19D8F486"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11,754</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33297320"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11,184</w:t>
            </w:r>
          </w:p>
        </w:tc>
      </w:tr>
      <w:tr w:rsidR="00864BE6" w14:paraId="5A0104C7"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1FA0781D"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rPr>
              <w:t>Selling, General &amp; Admin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6A2CBB3D"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10,537 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5117F0AC"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8,849</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1E78C456"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9,182</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1A10E685"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8,437</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1568368A"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8,138</w:t>
            </w:r>
          </w:p>
        </w:tc>
      </w:tr>
      <w:tr w:rsidR="00864BE6" w14:paraId="1D6193A3"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74212C6B"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rPr>
              <w:t>Research &amp; Development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37B1F4D1"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0 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4109B7CA"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0</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2CDC8D43"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0</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242404C1"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0</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14D7298C"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125</w:t>
            </w:r>
          </w:p>
        </w:tc>
      </w:tr>
      <w:tr w:rsidR="00864BE6" w14:paraId="7CA78126"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43699B66"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rPr>
              <w:t>Other Operating Expenses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457B60F6"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555 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29438D18"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8,339</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1F888F63"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352</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54F18F3F"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2,431</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52114C43"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2,305</w:t>
            </w:r>
          </w:p>
        </w:tc>
      </w:tr>
      <w:tr w:rsidR="00864BE6" w14:paraId="70A7DC3C"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411294B4"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rPr>
              <w:t>Operating Expenses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00DF87A6"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11,092 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1A639F02"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17,188</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7AD7CFF0"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9,534</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44512914"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10,868</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78A1C24C"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10,568</w:t>
            </w:r>
          </w:p>
        </w:tc>
      </w:tr>
      <w:tr w:rsidR="00864BE6" w14:paraId="3A0FFAAB"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72B8E919"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b/>
                <w:color w:val="000000"/>
              </w:rPr>
              <w:t>Operating Income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3AD3554D"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2,038 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587C3021"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-5,040</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2F4F54EE"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2,489</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1179FA5E"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886</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0F869BB4"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616</w:t>
            </w:r>
          </w:p>
        </w:tc>
      </w:tr>
      <w:tr w:rsidR="00864BE6" w14:paraId="57FE89D9"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12104765"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rPr>
              <w:t>Interest Expense / Income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158F95EE"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178 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407793B1"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217</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4669CB09"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249</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639EFB06"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264</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6510FE74"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283</w:t>
            </w:r>
          </w:p>
        </w:tc>
      </w:tr>
      <w:tr w:rsidR="00864BE6" w14:paraId="19278921"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5AFB1E46"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rPr>
              <w:t>Other Expense / Income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6EC55877"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110 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23DFC2CC"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-23</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5A40BF6F"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1,322</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00FCEF6D"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232</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0279E3DF"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319</w:t>
            </w:r>
          </w:p>
        </w:tc>
      </w:tr>
      <w:tr w:rsidR="00864BE6" w14:paraId="3C6242A0"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1CC46EEC"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b/>
                <w:color w:val="000000"/>
              </w:rPr>
              <w:t>Pretax Income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36E01A35"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1,750 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4E5A2381"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-5,234</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7310EF84"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918</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6BC18B1E"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390</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7B02FAF3"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14</w:t>
            </w:r>
          </w:p>
        </w:tc>
      </w:tr>
      <w:tr w:rsidR="00864BE6" w14:paraId="15433C59"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20A2C1D4"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rPr>
              <w:t>Income Tax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1EF2A35B"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636 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5D719C85"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-695</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6A8E7893"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18</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76B48C92"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356</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0781AFD5"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-53</w:t>
            </w:r>
          </w:p>
        </w:tc>
      </w:tr>
      <w:tr w:rsidR="00864BE6" w14:paraId="61E86AAE"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4F6EDE20"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b/>
                <w:color w:val="000000"/>
              </w:rPr>
              <w:t>Net Income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6B4C4983"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1,114 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68AD2943"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-4,539</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5614E726"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900</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7AF487A6"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34</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1204EC42"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67</w:t>
            </w:r>
          </w:p>
        </w:tc>
      </w:tr>
      <w:tr w:rsidR="00864BE6" w14:paraId="3501A1FA"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2C5172B9"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rPr>
              <w:t>Net Income Growth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4BAAF10F"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77EE9BB8"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17D8E8CB"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2547.06%</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77676C77"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-49.25%</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55B8FE53"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-98.68%</w:t>
            </w:r>
          </w:p>
        </w:tc>
      </w:tr>
      <w:tr w:rsidR="00864BE6" w14:paraId="3A327CCA"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1AAFB5E9"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rPr>
              <w:t>Shares Outstanding (Basic)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61E26710"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152 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4598AC3A"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161</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0D13F7A1"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181</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520F84B3"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196</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38629D1F"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208</w:t>
            </w:r>
          </w:p>
        </w:tc>
      </w:tr>
      <w:tr w:rsidR="00864BE6" w14:paraId="28D65E27"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3DEA12A5"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b/>
                <w:color w:val="000000"/>
              </w:rPr>
              <w:t>Shares Outstanding (Diluted)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57DA25CC"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154 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66E8E57D"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161</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0FB8D936"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182</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41719634"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197</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3D9C1B76"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209</w:t>
            </w:r>
          </w:p>
        </w:tc>
      </w:tr>
      <w:tr w:rsidR="00864BE6" w14:paraId="55A0BB88"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42E6C14E"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rPr>
              <w:t>Shares Change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29929D96"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-4.05%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78B44B92"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-11.56%</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37C41634"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-7.96%</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78948D99"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-5.60%</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76091613"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-6.28%</w:t>
            </w:r>
          </w:p>
        </w:tc>
      </w:tr>
      <w:tr w:rsidR="00864BE6" w14:paraId="778F5412"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12472827"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rPr>
              <w:t>EPS (Basic)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4EDC082E"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7.32 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6A32A666"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-28.26</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34268127"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4.98</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443596CD"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0.17</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56E703F3"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0.32</w:t>
            </w:r>
          </w:p>
        </w:tc>
      </w:tr>
      <w:tr w:rsidR="00864BE6" w14:paraId="2155D3FD"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50992BBA"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b/>
                <w:color w:val="000000"/>
              </w:rPr>
              <w:t>EPS (Diluted)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1F2F5BB5"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7.23 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76DE001F"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-28.26</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3DB7AF81"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4.95</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4AD4C6A6"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0.17</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5FD59F86"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0.32</w:t>
            </w:r>
          </w:p>
        </w:tc>
      </w:tr>
      <w:tr w:rsidR="00864BE6" w14:paraId="0157A885"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74B2517F"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rPr>
              <w:t>EPS Growth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77ED6500"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6948B88B"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25DC9CF7"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2811.76%</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1B7E7BDC"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-46.88%</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5E626F60"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-98.59%</w:t>
            </w:r>
          </w:p>
        </w:tc>
      </w:tr>
      <w:tr w:rsidR="00864BE6" w14:paraId="6E546835"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1AE8A659"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rPr>
              <w:t>Free Cash Flow Per Share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6A42685E"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25.6 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10AAC0CB"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24.29</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01B2F76E"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21.42</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49CAD59B"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17.72</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05718051"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18.1</w:t>
            </w:r>
          </w:p>
        </w:tc>
      </w:tr>
      <w:tr w:rsidR="00864BE6" w14:paraId="63B7E37F"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372EAFB7"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b/>
                <w:color w:val="000000"/>
              </w:rPr>
              <w:t>Dividend Per Share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1517E011"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2.25 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4FFBA4D2"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1.67</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03EEF26C"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1.62</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00D6BC74"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1.51</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49086FDA"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1.3</w:t>
            </w:r>
          </w:p>
        </w:tc>
      </w:tr>
      <w:tr w:rsidR="00864BE6" w14:paraId="24F4DE03"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209F7A9F"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rPr>
              <w:t>Dividend Growth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212FE66D"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34.73%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45A7B412"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3.09%</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4DB3F386"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7.28%</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0B92457B"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16.15%</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05804572"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16.07%</w:t>
            </w:r>
          </w:p>
        </w:tc>
      </w:tr>
      <w:tr w:rsidR="00864BE6" w14:paraId="07A18FE2"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60F5EA63"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rPr>
              <w:t>Gross Margin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552DB4E0"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4.97%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5580D834"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5.10%</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4AF33322"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5.20%</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6EFD7CEF"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5.48%</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0DAED802"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5.37%</w:t>
            </w:r>
          </w:p>
        </w:tc>
      </w:tr>
      <w:tr w:rsidR="00864BE6" w14:paraId="63A094D6"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5C198BB2"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rPr>
              <w:t>Operating Margin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5B110726"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0.77%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374C34B1"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-2.12%</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018E35C2"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1.08%</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47B10395"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0.41%</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6CE33622"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0.30%</w:t>
            </w:r>
          </w:p>
        </w:tc>
      </w:tr>
      <w:tr w:rsidR="00864BE6" w14:paraId="2CFBC1D0"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227AB188"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rPr>
              <w:t>Profit Margin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57F97570"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0.42%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181B2B06"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-1.91%</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654E36C8"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0.39%</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049879F1"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0.02%</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688AB983"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0.03%</w:t>
            </w:r>
          </w:p>
        </w:tc>
      </w:tr>
      <w:tr w:rsidR="00864BE6" w14:paraId="113C4E98"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51471FA1"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rPr>
              <w:t>Free Cash Flow Margin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30953FE0"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1.48%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68C04CCA"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1.64%</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344EC81C"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1.67%</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4D5FB522"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1.62%</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6BB4C6D2"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1.81%</w:t>
            </w:r>
          </w:p>
        </w:tc>
      </w:tr>
      <w:tr w:rsidR="00864BE6" w14:paraId="4F494D79"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519FCAB3"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rPr>
              <w:t>Effective Tax Rate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7A3018AE"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36.34%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222FBB61"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1C344EEF"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1.96%</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1DC4E05F"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91.28%</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24E0632C"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-378.57%</w:t>
            </w:r>
          </w:p>
        </w:tc>
      </w:tr>
      <w:tr w:rsidR="00864BE6" w14:paraId="317556C8"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4A2E0787"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b/>
                <w:color w:val="000000"/>
              </w:rPr>
              <w:t>EBITDA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62E3A773"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2,929 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529BC5B6"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-3,796</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3CFCB647"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2,455</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45E98F7E"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1,603</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2C32BC7A"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1,248</w:t>
            </w:r>
          </w:p>
        </w:tc>
      </w:tr>
      <w:tr w:rsidR="00864BE6" w14:paraId="59E34555"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7D8F14EA"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rPr>
              <w:t>EBITDA Margin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7522422D"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1.11%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3E51AB37"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-1.59%</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5E2221FD"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1.06%</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5E7ECBE9"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0.75%</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4161A427"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0.60%</w:t>
            </w:r>
          </w:p>
        </w:tc>
      </w:tr>
      <w:tr w:rsidR="00D64F36" w14:paraId="32DE931B" w14:textId="77777777" w:rsidTr="00EA0B2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6C99B54C" w14:textId="77777777" w:rsidR="00D64F36" w:rsidRDefault="00D64F36" w:rsidP="00EA0B26">
            <w:pPr>
              <w:widowControl/>
              <w:rPr>
                <w:rFonts w:ascii="Times New Roman" w:eastAsia="Times New Roman" w:hAnsi="Times New Roman" w:cs="Times New Roman"/>
                <w:sz w:val="24"/>
                <w:szCs w:val="24"/>
              </w:rPr>
            </w:pPr>
            <w:r>
              <w:rPr>
                <w:rFonts w:ascii="Quattrocento Sans" w:eastAsia="Quattrocento Sans" w:hAnsi="Quattrocento Sans" w:cs="Quattrocento Sans"/>
                <w:b/>
                <w:color w:val="000000"/>
              </w:rPr>
              <w:t>Year</w:t>
            </w:r>
          </w:p>
        </w:tc>
        <w:tc>
          <w:tcPr>
            <w:tcW w:w="1006" w:type="dxa"/>
            <w:tcBorders>
              <w:left w:val="single" w:sz="8" w:space="0" w:color="D1D5DB"/>
              <w:right w:val="single" w:sz="8" w:space="0" w:color="D1D5DB"/>
            </w:tcBorders>
            <w:shd w:val="clear" w:color="auto" w:fill="F6F7F8"/>
            <w:tcMar>
              <w:top w:w="0" w:type="dxa"/>
              <w:left w:w="115" w:type="dxa"/>
              <w:bottom w:w="0" w:type="dxa"/>
              <w:right w:w="115" w:type="dxa"/>
            </w:tcMar>
            <w:vAlign w:val="center"/>
          </w:tcPr>
          <w:p w14:paraId="5FCD135A" w14:textId="77777777" w:rsidR="00D64F36" w:rsidRDefault="00D64F36" w:rsidP="00EA0B26">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2022</w:t>
            </w:r>
          </w:p>
        </w:tc>
        <w:tc>
          <w:tcPr>
            <w:tcW w:w="957" w:type="dxa"/>
            <w:tcBorders>
              <w:left w:val="single" w:sz="8" w:space="0" w:color="D1D5DB"/>
              <w:right w:val="single" w:sz="8" w:space="0" w:color="D1D5DB"/>
            </w:tcBorders>
            <w:shd w:val="clear" w:color="auto" w:fill="F6F7F8"/>
            <w:tcMar>
              <w:top w:w="0" w:type="dxa"/>
              <w:left w:w="115" w:type="dxa"/>
              <w:bottom w:w="0" w:type="dxa"/>
              <w:right w:w="115" w:type="dxa"/>
            </w:tcMar>
            <w:vAlign w:val="center"/>
          </w:tcPr>
          <w:p w14:paraId="596C4F84" w14:textId="77777777" w:rsidR="00D64F36" w:rsidRDefault="00D64F36" w:rsidP="00EA0B26">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2021</w:t>
            </w:r>
          </w:p>
        </w:tc>
        <w:tc>
          <w:tcPr>
            <w:tcW w:w="1112" w:type="dxa"/>
            <w:tcBorders>
              <w:left w:val="single" w:sz="8" w:space="0" w:color="D1D5DB"/>
              <w:right w:val="single" w:sz="8" w:space="0" w:color="D1D5DB"/>
            </w:tcBorders>
            <w:shd w:val="clear" w:color="auto" w:fill="F6F7F8"/>
            <w:tcMar>
              <w:top w:w="0" w:type="dxa"/>
              <w:left w:w="115" w:type="dxa"/>
              <w:bottom w:w="0" w:type="dxa"/>
              <w:right w:w="115" w:type="dxa"/>
            </w:tcMar>
            <w:vAlign w:val="center"/>
          </w:tcPr>
          <w:p w14:paraId="2B336368" w14:textId="77777777" w:rsidR="00D64F36" w:rsidRDefault="00D64F36" w:rsidP="00EA0B26">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2020</w:t>
            </w:r>
          </w:p>
        </w:tc>
        <w:tc>
          <w:tcPr>
            <w:tcW w:w="957" w:type="dxa"/>
            <w:tcBorders>
              <w:left w:val="single" w:sz="8" w:space="0" w:color="D1D5DB"/>
              <w:right w:val="single" w:sz="8" w:space="0" w:color="D1D5DB"/>
            </w:tcBorders>
            <w:shd w:val="clear" w:color="auto" w:fill="F6F7F8"/>
            <w:tcMar>
              <w:top w:w="0" w:type="dxa"/>
              <w:left w:w="115" w:type="dxa"/>
              <w:bottom w:w="0" w:type="dxa"/>
              <w:right w:w="115" w:type="dxa"/>
            </w:tcMar>
            <w:vAlign w:val="center"/>
          </w:tcPr>
          <w:p w14:paraId="6D794832" w14:textId="77777777" w:rsidR="00D64F36" w:rsidRDefault="00D64F36" w:rsidP="00EA0B26">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2019</w:t>
            </w:r>
          </w:p>
        </w:tc>
        <w:tc>
          <w:tcPr>
            <w:tcW w:w="1237" w:type="dxa"/>
            <w:gridSpan w:val="2"/>
            <w:tcBorders>
              <w:left w:val="single" w:sz="8" w:space="0" w:color="D1D5DB"/>
              <w:right w:val="single" w:sz="8" w:space="0" w:color="D1D5DB"/>
            </w:tcBorders>
            <w:shd w:val="clear" w:color="auto" w:fill="F6F7F8"/>
            <w:tcMar>
              <w:top w:w="0" w:type="dxa"/>
              <w:left w:w="115" w:type="dxa"/>
              <w:bottom w:w="0" w:type="dxa"/>
              <w:right w:w="115" w:type="dxa"/>
            </w:tcMar>
            <w:vAlign w:val="center"/>
          </w:tcPr>
          <w:p w14:paraId="60D3A7F0" w14:textId="77777777" w:rsidR="00D64F36" w:rsidRDefault="00D64F36" w:rsidP="00EA0B26">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2018</w:t>
            </w:r>
          </w:p>
        </w:tc>
      </w:tr>
      <w:tr w:rsidR="00864BE6" w14:paraId="0BA27544"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7EE7AD8F"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rPr>
              <w:t>Depreciation &amp; Amortization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18FA456E"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1,001 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544657D0"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1,221</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29A3B203"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1,288</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07F0E2B4"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949</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3F35BD0D"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951</w:t>
            </w:r>
          </w:p>
        </w:tc>
      </w:tr>
      <w:tr w:rsidR="00864BE6" w14:paraId="22ED65E6" w14:textId="77777777" w:rsidTr="00D64F36">
        <w:trPr>
          <w:trHeight w:val="330"/>
        </w:trPr>
        <w:tc>
          <w:tcPr>
            <w:tcW w:w="2921" w:type="dxa"/>
            <w:tcBorders>
              <w:right w:val="single" w:sz="8" w:space="0" w:color="D1D5DB"/>
            </w:tcBorders>
            <w:shd w:val="clear" w:color="auto" w:fill="F6F7F8"/>
            <w:tcMar>
              <w:top w:w="0" w:type="dxa"/>
              <w:left w:w="115" w:type="dxa"/>
              <w:bottom w:w="0" w:type="dxa"/>
              <w:right w:w="115" w:type="dxa"/>
            </w:tcMar>
            <w:vAlign w:val="center"/>
          </w:tcPr>
          <w:p w14:paraId="72796780"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b/>
                <w:color w:val="000000"/>
              </w:rPr>
              <w:t>EBIT </w:t>
            </w:r>
          </w:p>
        </w:tc>
        <w:tc>
          <w:tcPr>
            <w:tcW w:w="1006" w:type="dxa"/>
            <w:tcBorders>
              <w:left w:val="single" w:sz="8" w:space="0" w:color="D1D5DB"/>
              <w:right w:val="single" w:sz="8" w:space="0" w:color="D1D5DB"/>
            </w:tcBorders>
            <w:tcMar>
              <w:top w:w="0" w:type="dxa"/>
              <w:left w:w="115" w:type="dxa"/>
              <w:bottom w:w="0" w:type="dxa"/>
              <w:right w:w="115" w:type="dxa"/>
            </w:tcMar>
            <w:vAlign w:val="center"/>
          </w:tcPr>
          <w:p w14:paraId="36848360"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1,928 </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14B0C6AE"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-5,017</w:t>
            </w:r>
          </w:p>
        </w:tc>
        <w:tc>
          <w:tcPr>
            <w:tcW w:w="1112" w:type="dxa"/>
            <w:tcBorders>
              <w:left w:val="single" w:sz="8" w:space="0" w:color="D1D5DB"/>
              <w:right w:val="single" w:sz="8" w:space="0" w:color="D1D5DB"/>
            </w:tcBorders>
            <w:tcMar>
              <w:top w:w="0" w:type="dxa"/>
              <w:left w:w="115" w:type="dxa"/>
              <w:bottom w:w="0" w:type="dxa"/>
              <w:right w:w="115" w:type="dxa"/>
            </w:tcMar>
            <w:vAlign w:val="center"/>
          </w:tcPr>
          <w:p w14:paraId="5CC2BBA7"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1,167</w:t>
            </w:r>
          </w:p>
        </w:tc>
        <w:tc>
          <w:tcPr>
            <w:tcW w:w="957" w:type="dxa"/>
            <w:tcBorders>
              <w:left w:val="single" w:sz="8" w:space="0" w:color="D1D5DB"/>
              <w:right w:val="single" w:sz="8" w:space="0" w:color="D1D5DB"/>
            </w:tcBorders>
            <w:tcMar>
              <w:top w:w="0" w:type="dxa"/>
              <w:left w:w="115" w:type="dxa"/>
              <w:bottom w:w="0" w:type="dxa"/>
              <w:right w:w="115" w:type="dxa"/>
            </w:tcMar>
            <w:vAlign w:val="center"/>
          </w:tcPr>
          <w:p w14:paraId="35A5E995"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654</w:t>
            </w:r>
          </w:p>
        </w:tc>
        <w:tc>
          <w:tcPr>
            <w:tcW w:w="1237" w:type="dxa"/>
            <w:gridSpan w:val="2"/>
            <w:tcBorders>
              <w:left w:val="single" w:sz="8" w:space="0" w:color="D1D5DB"/>
              <w:right w:val="single" w:sz="8" w:space="0" w:color="D1D5DB"/>
            </w:tcBorders>
            <w:tcMar>
              <w:top w:w="0" w:type="dxa"/>
              <w:left w:w="115" w:type="dxa"/>
              <w:bottom w:w="0" w:type="dxa"/>
              <w:right w:w="115" w:type="dxa"/>
            </w:tcMar>
            <w:vAlign w:val="center"/>
          </w:tcPr>
          <w:p w14:paraId="38FED2E5"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b/>
                <w:color w:val="000000"/>
              </w:rPr>
              <w:t>297</w:t>
            </w:r>
          </w:p>
        </w:tc>
      </w:tr>
      <w:tr w:rsidR="00864BE6" w14:paraId="1029CC99" w14:textId="77777777" w:rsidTr="00D64F36">
        <w:trPr>
          <w:trHeight w:val="330"/>
        </w:trPr>
        <w:tc>
          <w:tcPr>
            <w:tcW w:w="2921" w:type="dxa"/>
            <w:tcBorders>
              <w:right w:val="single" w:sz="8" w:space="0" w:color="D1D5DB"/>
            </w:tcBorders>
            <w:shd w:val="clear" w:color="auto" w:fill="F2F9FF"/>
            <w:tcMar>
              <w:top w:w="0" w:type="dxa"/>
              <w:left w:w="115" w:type="dxa"/>
              <w:bottom w:w="0" w:type="dxa"/>
              <w:right w:w="115" w:type="dxa"/>
            </w:tcMar>
            <w:vAlign w:val="center"/>
          </w:tcPr>
          <w:p w14:paraId="086ADFB5" w14:textId="77777777" w:rsidR="00864BE6" w:rsidRDefault="00E17744">
            <w:pPr>
              <w:widowControl/>
              <w:rPr>
                <w:rFonts w:ascii="Times New Roman" w:eastAsia="Times New Roman" w:hAnsi="Times New Roman" w:cs="Times New Roman"/>
                <w:sz w:val="24"/>
                <w:szCs w:val="24"/>
              </w:rPr>
            </w:pPr>
            <w:r>
              <w:rPr>
                <w:rFonts w:ascii="Quattrocento Sans" w:eastAsia="Quattrocento Sans" w:hAnsi="Quattrocento Sans" w:cs="Quattrocento Sans"/>
                <w:color w:val="000000"/>
              </w:rPr>
              <w:t>EBIT Margin </w:t>
            </w:r>
          </w:p>
        </w:tc>
        <w:tc>
          <w:tcPr>
            <w:tcW w:w="1006" w:type="dxa"/>
            <w:tcBorders>
              <w:left w:val="single" w:sz="8" w:space="0" w:color="D1D5DB"/>
              <w:right w:val="single" w:sz="8" w:space="0" w:color="D1D5DB"/>
            </w:tcBorders>
            <w:shd w:val="clear" w:color="auto" w:fill="F2F9FF"/>
            <w:tcMar>
              <w:top w:w="0" w:type="dxa"/>
              <w:left w:w="115" w:type="dxa"/>
              <w:bottom w:w="0" w:type="dxa"/>
              <w:right w:w="115" w:type="dxa"/>
            </w:tcMar>
            <w:vAlign w:val="center"/>
          </w:tcPr>
          <w:p w14:paraId="0714CA3F"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0.73% </w:t>
            </w:r>
          </w:p>
        </w:tc>
        <w:tc>
          <w:tcPr>
            <w:tcW w:w="957" w:type="dxa"/>
            <w:tcBorders>
              <w:left w:val="single" w:sz="8" w:space="0" w:color="D1D5DB"/>
              <w:right w:val="single" w:sz="8" w:space="0" w:color="D1D5DB"/>
            </w:tcBorders>
            <w:shd w:val="clear" w:color="auto" w:fill="F2F9FF"/>
            <w:tcMar>
              <w:top w:w="0" w:type="dxa"/>
              <w:left w:w="115" w:type="dxa"/>
              <w:bottom w:w="0" w:type="dxa"/>
              <w:right w:w="115" w:type="dxa"/>
            </w:tcMar>
            <w:vAlign w:val="center"/>
          </w:tcPr>
          <w:p w14:paraId="439F7BCC"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-2.11%</w:t>
            </w:r>
          </w:p>
        </w:tc>
        <w:tc>
          <w:tcPr>
            <w:tcW w:w="1112" w:type="dxa"/>
            <w:tcBorders>
              <w:left w:val="single" w:sz="8" w:space="0" w:color="D1D5DB"/>
              <w:right w:val="single" w:sz="8" w:space="0" w:color="D1D5DB"/>
            </w:tcBorders>
            <w:shd w:val="clear" w:color="auto" w:fill="F2F9FF"/>
            <w:tcMar>
              <w:top w:w="0" w:type="dxa"/>
              <w:left w:w="115" w:type="dxa"/>
              <w:bottom w:w="0" w:type="dxa"/>
              <w:right w:w="115" w:type="dxa"/>
            </w:tcMar>
            <w:vAlign w:val="center"/>
          </w:tcPr>
          <w:p w14:paraId="585D21B1"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0.51%</w:t>
            </w:r>
          </w:p>
        </w:tc>
        <w:tc>
          <w:tcPr>
            <w:tcW w:w="957" w:type="dxa"/>
            <w:tcBorders>
              <w:left w:val="single" w:sz="8" w:space="0" w:color="D1D5DB"/>
              <w:right w:val="single" w:sz="8" w:space="0" w:color="D1D5DB"/>
            </w:tcBorders>
            <w:shd w:val="clear" w:color="auto" w:fill="F2F9FF"/>
            <w:tcMar>
              <w:top w:w="0" w:type="dxa"/>
              <w:left w:w="115" w:type="dxa"/>
              <w:bottom w:w="0" w:type="dxa"/>
              <w:right w:w="115" w:type="dxa"/>
            </w:tcMar>
            <w:vAlign w:val="center"/>
          </w:tcPr>
          <w:p w14:paraId="07E26250"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0.31%</w:t>
            </w:r>
          </w:p>
        </w:tc>
        <w:tc>
          <w:tcPr>
            <w:tcW w:w="1237" w:type="dxa"/>
            <w:gridSpan w:val="2"/>
            <w:tcBorders>
              <w:left w:val="single" w:sz="8" w:space="0" w:color="D1D5DB"/>
              <w:right w:val="single" w:sz="8" w:space="0" w:color="D1D5DB"/>
            </w:tcBorders>
            <w:shd w:val="clear" w:color="auto" w:fill="F2F9FF"/>
            <w:tcMar>
              <w:top w:w="0" w:type="dxa"/>
              <w:left w:w="115" w:type="dxa"/>
              <w:bottom w:w="0" w:type="dxa"/>
              <w:right w:w="115" w:type="dxa"/>
            </w:tcMar>
            <w:vAlign w:val="center"/>
          </w:tcPr>
          <w:p w14:paraId="12E256D4" w14:textId="77777777" w:rsidR="00864BE6" w:rsidRDefault="00E17744">
            <w:pPr>
              <w:widowControl/>
              <w:jc w:val="right"/>
              <w:rPr>
                <w:rFonts w:ascii="Times New Roman" w:eastAsia="Times New Roman" w:hAnsi="Times New Roman" w:cs="Times New Roman"/>
                <w:sz w:val="24"/>
                <w:szCs w:val="24"/>
              </w:rPr>
            </w:pPr>
            <w:r>
              <w:rPr>
                <w:rFonts w:ascii="Quattrocento Sans" w:eastAsia="Quattrocento Sans" w:hAnsi="Quattrocento Sans" w:cs="Quattrocento Sans"/>
                <w:color w:val="000000"/>
              </w:rPr>
              <w:t>0.14%</w:t>
            </w:r>
          </w:p>
        </w:tc>
      </w:tr>
    </w:tbl>
    <w:p w14:paraId="0375E18E" w14:textId="436D9774" w:rsidR="00864BE6" w:rsidRPr="00080BC6" w:rsidRDefault="00080BC6">
      <w:pPr>
        <w:pBdr>
          <w:top w:val="nil"/>
          <w:left w:val="nil"/>
          <w:bottom w:val="nil"/>
          <w:right w:val="nil"/>
          <w:between w:val="nil"/>
        </w:pBdr>
        <w:rPr>
          <w:b/>
          <w:bCs/>
          <w:color w:val="1F4E79" w:themeColor="accent5" w:themeShade="80"/>
          <w:sz w:val="24"/>
          <w:szCs w:val="24"/>
        </w:rPr>
      </w:pPr>
      <w:r w:rsidRPr="00080BC6">
        <w:rPr>
          <w:b/>
          <w:bCs/>
          <w:color w:val="1F4E79" w:themeColor="accent5" w:themeShade="80"/>
          <w:sz w:val="24"/>
          <w:szCs w:val="24"/>
        </w:rPr>
        <w:lastRenderedPageBreak/>
        <w:t>McKesson Stock Data</w:t>
      </w:r>
    </w:p>
    <w:p w14:paraId="1E7278D1" w14:textId="77777777" w:rsidR="00080BC6" w:rsidRDefault="00080BC6">
      <w:pPr>
        <w:pBdr>
          <w:top w:val="nil"/>
          <w:left w:val="nil"/>
          <w:bottom w:val="nil"/>
          <w:right w:val="nil"/>
          <w:between w:val="nil"/>
        </w:pBdr>
      </w:pPr>
    </w:p>
    <w:p w14:paraId="5C5AA7E0" w14:textId="4369C991" w:rsidR="00864BE6" w:rsidRDefault="00000000">
      <w:pPr>
        <w:pBdr>
          <w:top w:val="nil"/>
          <w:left w:val="nil"/>
          <w:bottom w:val="nil"/>
          <w:right w:val="nil"/>
          <w:between w:val="nil"/>
        </w:pBdr>
        <w:rPr>
          <w:sz w:val="24"/>
          <w:szCs w:val="24"/>
        </w:rPr>
      </w:pPr>
      <w:hyperlink r:id="rId15">
        <w:r w:rsidR="00D64F36">
          <w:rPr>
            <w:color w:val="0000EE"/>
            <w:u w:val="single"/>
          </w:rPr>
          <w:t>McKesson FY19-22 Stock Data</w:t>
        </w:r>
      </w:hyperlink>
    </w:p>
    <w:p w14:paraId="1CE72B6C" w14:textId="3E4F3E59" w:rsidR="00864BE6" w:rsidRDefault="00000000">
      <w:pPr>
        <w:pBdr>
          <w:top w:val="nil"/>
          <w:left w:val="nil"/>
          <w:bottom w:val="nil"/>
          <w:right w:val="nil"/>
          <w:between w:val="nil"/>
        </w:pBdr>
        <w:rPr>
          <w:sz w:val="24"/>
          <w:szCs w:val="24"/>
        </w:rPr>
      </w:pPr>
      <w:hyperlink r:id="rId16">
        <w:r w:rsidR="00D64F36">
          <w:rPr>
            <w:color w:val="0000EE"/>
            <w:u w:val="single"/>
          </w:rPr>
          <w:t>McKesson FY17-22 Stock Data</w:t>
        </w:r>
      </w:hyperlink>
    </w:p>
    <w:p w14:paraId="6B79890D" w14:textId="1B0D6F4E" w:rsidR="00864BE6" w:rsidRDefault="00000000">
      <w:pPr>
        <w:pBdr>
          <w:top w:val="nil"/>
          <w:left w:val="nil"/>
          <w:bottom w:val="nil"/>
          <w:right w:val="nil"/>
          <w:between w:val="nil"/>
        </w:pBdr>
        <w:rPr>
          <w:sz w:val="24"/>
          <w:szCs w:val="24"/>
        </w:rPr>
      </w:pPr>
      <w:hyperlink r:id="rId17">
        <w:r w:rsidR="00D64F36">
          <w:rPr>
            <w:color w:val="0000EE"/>
            <w:u w:val="single"/>
          </w:rPr>
          <w:t>McKesson FY21-22 Stock Data</w:t>
        </w:r>
      </w:hyperlink>
    </w:p>
    <w:sectPr w:rsidR="00864BE6">
      <w:headerReference w:type="default" r:id="rId18"/>
      <w:footerReference w:type="default" r:id="rId19"/>
      <w:pgSz w:w="12240" w:h="15840"/>
      <w:pgMar w:top="1350" w:right="900" w:bottom="630" w:left="9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59888" w14:textId="77777777" w:rsidR="00644F60" w:rsidRDefault="00644F60">
      <w:r>
        <w:separator/>
      </w:r>
    </w:p>
  </w:endnote>
  <w:endnote w:type="continuationSeparator" w:id="0">
    <w:p w14:paraId="344ADC1D" w14:textId="77777777" w:rsidR="00644F60" w:rsidRDefault="00644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4976A" w14:textId="025E71C3" w:rsidR="00864BE6" w:rsidRPr="009F6FAD" w:rsidRDefault="00E17744" w:rsidP="009F6FAD">
    <w:pPr>
      <w:pBdr>
        <w:top w:val="single" w:sz="4" w:space="1" w:color="D9D9D9"/>
        <w:left w:val="nil"/>
        <w:bottom w:val="nil"/>
        <w:right w:val="nil"/>
        <w:between w:val="nil"/>
      </w:pBdr>
      <w:tabs>
        <w:tab w:val="center" w:pos="4680"/>
        <w:tab w:val="right" w:pos="9360"/>
      </w:tabs>
      <w:rPr>
        <w:b/>
        <w:color w:val="000000"/>
      </w:rPr>
    </w:pPr>
    <w:r>
      <w:rPr>
        <w:b/>
        <w:color w:val="000000"/>
      </w:rPr>
      <w:fldChar w:fldCharType="begin"/>
    </w:r>
    <w:r>
      <w:rPr>
        <w:b/>
        <w:color w:val="000000"/>
      </w:rPr>
      <w:instrText>PAGE</w:instrText>
    </w:r>
    <w:r>
      <w:rPr>
        <w:b/>
        <w:color w:val="000000"/>
      </w:rPr>
      <w:fldChar w:fldCharType="separate"/>
    </w:r>
    <w:r w:rsidR="00080BC6">
      <w:rPr>
        <w:b/>
        <w:noProof/>
        <w:color w:val="000000"/>
      </w:rPr>
      <w:t>1</w:t>
    </w:r>
    <w:r>
      <w:rPr>
        <w:b/>
        <w:color w:val="000000"/>
      </w:rPr>
      <w:fldChar w:fldCharType="end"/>
    </w:r>
    <w:r>
      <w:rPr>
        <w:b/>
        <w:color w:val="00000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A816C" w14:textId="77777777" w:rsidR="00644F60" w:rsidRDefault="00644F60">
      <w:r>
        <w:separator/>
      </w:r>
    </w:p>
  </w:footnote>
  <w:footnote w:type="continuationSeparator" w:id="0">
    <w:p w14:paraId="60F68B91" w14:textId="77777777" w:rsidR="00644F60" w:rsidRDefault="00644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F9F4C" w14:textId="77777777" w:rsidR="00864BE6" w:rsidRDefault="00E17744">
    <w:pPr>
      <w:pBdr>
        <w:top w:val="nil"/>
        <w:left w:val="nil"/>
        <w:bottom w:val="nil"/>
        <w:right w:val="nil"/>
        <w:between w:val="nil"/>
      </w:pBdr>
      <w:tabs>
        <w:tab w:val="center" w:pos="4680"/>
        <w:tab w:val="right" w:pos="9360"/>
      </w:tabs>
      <w:rPr>
        <w:b/>
        <w:color w:val="000000"/>
      </w:rPr>
    </w:pPr>
    <w:r>
      <w:rPr>
        <w:b/>
        <w:color w:val="000000"/>
      </w:rPr>
      <w:t>McKesson Company Profile – March 6,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D663E"/>
    <w:multiLevelType w:val="multilevel"/>
    <w:tmpl w:val="585AEC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93038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BE6"/>
    <w:rsid w:val="00080BC6"/>
    <w:rsid w:val="001A65EF"/>
    <w:rsid w:val="00290677"/>
    <w:rsid w:val="00644F60"/>
    <w:rsid w:val="00864BE6"/>
    <w:rsid w:val="008D33E1"/>
    <w:rsid w:val="009F6FAD"/>
    <w:rsid w:val="00D45F95"/>
    <w:rsid w:val="00D64F36"/>
    <w:rsid w:val="00E00D79"/>
    <w:rsid w:val="00E17744"/>
    <w:rsid w:val="00E322A2"/>
    <w:rsid w:val="00FB7352"/>
    <w:rsid w:val="00FF0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7EC18"/>
  <w15:docId w15:val="{2E3F8385-5C72-4C0D-AFC6-773D3820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21E"/>
    <w:pPr>
      <w:autoSpaceDE w:val="0"/>
      <w:autoSpaceDN w:val="0"/>
    </w:pPr>
    <w:rPr>
      <w:lang w:bidi="en-US"/>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D6221E"/>
    <w:rPr>
      <w:sz w:val="24"/>
      <w:szCs w:val="24"/>
    </w:rPr>
  </w:style>
  <w:style w:type="character" w:customStyle="1" w:styleId="BodyTextChar">
    <w:name w:val="Body Text Char"/>
    <w:basedOn w:val="DefaultParagraphFont"/>
    <w:link w:val="BodyText"/>
    <w:uiPriority w:val="1"/>
    <w:rsid w:val="00D6221E"/>
    <w:rPr>
      <w:rFonts w:ascii="Cambria" w:eastAsia="Cambria" w:hAnsi="Cambria" w:cs="Cambria"/>
      <w:sz w:val="24"/>
      <w:szCs w:val="24"/>
      <w:lang w:bidi="en-US"/>
    </w:rPr>
  </w:style>
  <w:style w:type="paragraph" w:styleId="ListParagraph">
    <w:name w:val="List Paragraph"/>
    <w:basedOn w:val="Normal"/>
    <w:uiPriority w:val="1"/>
    <w:qFormat/>
    <w:rsid w:val="00D6221E"/>
    <w:pPr>
      <w:ind w:left="820" w:hanging="361"/>
    </w:pPr>
  </w:style>
  <w:style w:type="character" w:styleId="Hyperlink">
    <w:name w:val="Hyperlink"/>
    <w:basedOn w:val="DefaultParagraphFont"/>
    <w:uiPriority w:val="99"/>
    <w:unhideWhenUsed/>
    <w:rsid w:val="00D6221E"/>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873F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35A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2014F6"/>
    <w:pPr>
      <w:tabs>
        <w:tab w:val="center" w:pos="4680"/>
        <w:tab w:val="right" w:pos="9360"/>
      </w:tabs>
    </w:pPr>
  </w:style>
  <w:style w:type="character" w:customStyle="1" w:styleId="HeaderChar">
    <w:name w:val="Header Char"/>
    <w:basedOn w:val="DefaultParagraphFont"/>
    <w:link w:val="Header"/>
    <w:uiPriority w:val="99"/>
    <w:rsid w:val="002014F6"/>
    <w:rPr>
      <w:lang w:bidi="en-US"/>
    </w:rPr>
  </w:style>
  <w:style w:type="paragraph" w:styleId="Footer">
    <w:name w:val="footer"/>
    <w:basedOn w:val="Normal"/>
    <w:link w:val="FooterChar"/>
    <w:uiPriority w:val="99"/>
    <w:unhideWhenUsed/>
    <w:rsid w:val="002014F6"/>
    <w:pPr>
      <w:tabs>
        <w:tab w:val="center" w:pos="4680"/>
        <w:tab w:val="right" w:pos="9360"/>
      </w:tabs>
    </w:pPr>
  </w:style>
  <w:style w:type="character" w:customStyle="1" w:styleId="FooterChar">
    <w:name w:val="Footer Char"/>
    <w:basedOn w:val="DefaultParagraphFont"/>
    <w:link w:val="Footer"/>
    <w:uiPriority w:val="99"/>
    <w:rsid w:val="002014F6"/>
    <w:rPr>
      <w:lang w:bidi="en-US"/>
    </w:rPr>
  </w:style>
  <w:style w:type="character" w:customStyle="1" w:styleId="Heading1Char">
    <w:name w:val="Heading 1 Char"/>
    <w:basedOn w:val="DefaultParagraphFont"/>
    <w:link w:val="Heading1"/>
    <w:uiPriority w:val="9"/>
    <w:rsid w:val="00E752F7"/>
    <w:rPr>
      <w:b/>
      <w:sz w:val="48"/>
      <w:szCs w:val="48"/>
      <w:lang w:bidi="en-US"/>
    </w:rPr>
  </w:style>
  <w:style w:type="paragraph" w:styleId="TOCHeading">
    <w:name w:val="TOC Heading"/>
    <w:basedOn w:val="Heading1"/>
    <w:next w:val="Normal"/>
    <w:uiPriority w:val="39"/>
    <w:unhideWhenUsed/>
    <w:qFormat/>
    <w:rsid w:val="00631F29"/>
    <w:pPr>
      <w:widowControl/>
      <w:autoSpaceDE/>
      <w:autoSpaceDN/>
      <w:spacing w:before="240" w:after="0" w:line="259" w:lineRule="auto"/>
      <w:outlineLvl w:val="9"/>
    </w:pPr>
    <w:rPr>
      <w:rFonts w:asciiTheme="majorHAnsi" w:eastAsiaTheme="majorEastAsia" w:hAnsiTheme="majorHAnsi" w:cstheme="majorBidi"/>
      <w:b w:val="0"/>
      <w:color w:val="2F5496" w:themeColor="accent1" w:themeShade="BF"/>
      <w:sz w:val="32"/>
      <w:szCs w:val="32"/>
      <w:lang w:bidi="ar-SA"/>
    </w:rPr>
  </w:style>
  <w:style w:type="paragraph" w:styleId="TOC1">
    <w:name w:val="toc 1"/>
    <w:basedOn w:val="Normal"/>
    <w:next w:val="Normal"/>
    <w:autoRedefine/>
    <w:uiPriority w:val="39"/>
    <w:unhideWhenUsed/>
    <w:rsid w:val="00631F29"/>
    <w:pPr>
      <w:spacing w:after="100"/>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character" w:styleId="UnresolvedMention">
    <w:name w:val="Unresolved Mention"/>
    <w:basedOn w:val="DefaultParagraphFont"/>
    <w:uiPriority w:val="99"/>
    <w:semiHidden/>
    <w:unhideWhenUsed/>
    <w:rsid w:val="000B187D"/>
    <w:rPr>
      <w:color w:val="605E5C"/>
      <w:shd w:val="clear" w:color="auto" w:fill="E1DFDD"/>
    </w:rPr>
  </w:style>
  <w:style w:type="character" w:styleId="FollowedHyperlink">
    <w:name w:val="FollowedHyperlink"/>
    <w:basedOn w:val="DefaultParagraphFont"/>
    <w:uiPriority w:val="99"/>
    <w:semiHidden/>
    <w:unhideWhenUsed/>
    <w:rsid w:val="007A34BD"/>
    <w:rPr>
      <w:color w:val="954F72" w:themeColor="followedHyperlink"/>
      <w:u w:val="single"/>
    </w:r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c.gov/Archives/edgar/data/927653/000119312522171040/d308236ddef14a.ht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ec.gov/ix?doc=/Archives/edgar/data/927653/000092765320000033/mck10k3312020.htm" TargetMode="External"/><Relationship Id="rId17" Type="http://schemas.openxmlformats.org/officeDocument/2006/relationships/hyperlink" Target="https://docs.google.com/spreadsheets/u/0/d/1ZZYwBIWKJ_UpdodJKlv4ZdXcZObKlnqoiScILjt7KBQ/edit" TargetMode="External"/><Relationship Id="rId2" Type="http://schemas.openxmlformats.org/officeDocument/2006/relationships/numbering" Target="numbering.xml"/><Relationship Id="rId16" Type="http://schemas.openxmlformats.org/officeDocument/2006/relationships/hyperlink" Target="https://docs.google.com/spreadsheets/u/0/d/1SxvHWelgQy6mkicYOvkhEznKgCvFsU6CxrmO0Yqqls4/ed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c.gov/ix?doc=/Archives/edgar/data/927653/000092765322000051/mck-20220331.htm" TargetMode="External"/><Relationship Id="rId5" Type="http://schemas.openxmlformats.org/officeDocument/2006/relationships/webSettings" Target="webSettings.xml"/><Relationship Id="rId15" Type="http://schemas.openxmlformats.org/officeDocument/2006/relationships/hyperlink" Target="https://docs.google.com/spreadsheets/u/0/d/1H19S0_6QdgYra5k8PN0Sxq20cFKommy_2A8EKvxnq3A/edit" TargetMode="External"/><Relationship Id="rId10" Type="http://schemas.openxmlformats.org/officeDocument/2006/relationships/hyperlink" Target="https://www.mckesson.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oogle.com/finance/quote/MCK:NYSE?hl=en" TargetMode="External"/><Relationship Id="rId14" Type="http://schemas.openxmlformats.org/officeDocument/2006/relationships/hyperlink" Target="https://finance.yahoo.com/quote/MCK/history?period1=1641168000&amp;period2=1672358400&amp;interval=1d&amp;filter=history&amp;frequency=1d&amp;includeAdjustedClos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AM349UmW6CyPliyw7sm1m6g3tw==">AMUW2mXcoM7AZ4n99en37LjIJWALav/b1gskgTsNj6PjBgXt2RcvZmAdEM9HFECZm+w5Wr/FrA/J/lmjqtdPuAzTLziYDliTx1e15J3+xrzSI2qxQkuHbcRPxWXQeVvQ8cyWiErPiKSe4dfglbLTIXtHg1DsZm0pbnFiTxqt/LXS6eu9/KX7NMW3YFzDm80oSoIHN0JyeK7LniEc7YBF7JMzgwH2BicExzOikl19tTg8SGgvkzF/OSRtQB2aL4IIVwjlph9pcQAS+ysncimor5t2W1Nnr8v3/Pb8J+8mi1pWxlHRAyUo/6dafpxS0XcH4XuYVedEIqqmPkMLwu37h83PmF18L5W/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4094</Words>
  <Characters>24197</Characters>
  <Application>Microsoft Office Word</Application>
  <DocSecurity>0</DocSecurity>
  <Lines>1273</Lines>
  <Paragraphs>975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Thomas</dc:creator>
  <cp:lastModifiedBy>Donovan, Andrew</cp:lastModifiedBy>
  <cp:revision>8</cp:revision>
  <dcterms:created xsi:type="dcterms:W3CDTF">2023-03-07T01:46:00Z</dcterms:created>
  <dcterms:modified xsi:type="dcterms:W3CDTF">2023-03-07T03:01:00Z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0x01010059B03A976F08EE4A99014F27A6C5149C</vt:lpwstr>
  </property>
</Properties>
</file>