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7508A" w14:textId="53BAC4B0" w:rsidR="00291549" w:rsidRPr="00C45FB6" w:rsidRDefault="00110792" w:rsidP="00392A5B">
      <w:pPr>
        <w:jc w:val="center"/>
      </w:pPr>
      <w:r>
        <w:t xml:space="preserve">Satya </w:t>
      </w:r>
      <w:proofErr w:type="spellStart"/>
      <w:r>
        <w:t>Sriharsha</w:t>
      </w:r>
      <w:proofErr w:type="spellEnd"/>
      <w:r>
        <w:t xml:space="preserve"> Buddha</w:t>
      </w:r>
    </w:p>
    <w:p w14:paraId="11F99B59" w14:textId="75BED42A" w:rsidR="00C45FB6" w:rsidRPr="00C45FB6" w:rsidRDefault="009A55D3" w:rsidP="00392A5B">
      <w:pPr>
        <w:jc w:val="center"/>
      </w:pPr>
      <w:proofErr w:type="spellStart"/>
      <w:r>
        <w:t>Euid</w:t>
      </w:r>
      <w:proofErr w:type="spellEnd"/>
      <w:r>
        <w:t xml:space="preserve">: </w:t>
      </w:r>
      <w:r w:rsidR="00110792">
        <w:t>sb2020</w:t>
      </w:r>
      <w:r>
        <w:br/>
        <w:t>Student ID: 11</w:t>
      </w:r>
      <w:r w:rsidR="00110792">
        <w:t>627317</w:t>
      </w:r>
    </w:p>
    <w:p w14:paraId="2FC9574F" w14:textId="77777777" w:rsidR="00C45FB6" w:rsidRPr="00C45FB6" w:rsidRDefault="00C45FB6" w:rsidP="00392A5B">
      <w:pPr>
        <w:jc w:val="center"/>
      </w:pPr>
    </w:p>
    <w:p w14:paraId="5A275175" w14:textId="77777777" w:rsidR="00C45FB6" w:rsidRDefault="00C45FB6" w:rsidP="00392A5B">
      <w:pPr>
        <w:jc w:val="center"/>
      </w:pPr>
    </w:p>
    <w:p w14:paraId="316CD497" w14:textId="77777777" w:rsidR="0024396B" w:rsidRPr="00C45FB6" w:rsidRDefault="0024396B" w:rsidP="00392A5B">
      <w:pPr>
        <w:jc w:val="center"/>
      </w:pPr>
    </w:p>
    <w:p w14:paraId="37246B97" w14:textId="77777777" w:rsidR="00C45FB6" w:rsidRPr="00C45FB6" w:rsidRDefault="00C45FB6" w:rsidP="00392A5B">
      <w:pPr>
        <w:jc w:val="center"/>
      </w:pPr>
      <w:r w:rsidRPr="00C45FB6">
        <w:t>Individual Case Report for:</w:t>
      </w:r>
    </w:p>
    <w:p w14:paraId="0B404551" w14:textId="47F89B9C" w:rsidR="00C45FB6" w:rsidRDefault="00F71D43" w:rsidP="00392A5B">
      <w:pPr>
        <w:jc w:val="center"/>
        <w:rPr>
          <w:bCs/>
          <w:szCs w:val="20"/>
        </w:rPr>
      </w:pPr>
      <w:r>
        <w:t>South Delaware Coors, Inc.</w:t>
      </w:r>
      <w:r w:rsidR="00C45FB6">
        <w:rPr>
          <w:bCs/>
          <w:szCs w:val="20"/>
        </w:rPr>
        <w:br/>
      </w:r>
    </w:p>
    <w:p w14:paraId="3BAFF683" w14:textId="77777777" w:rsidR="0024396B" w:rsidRDefault="0024396B" w:rsidP="00392A5B">
      <w:pPr>
        <w:jc w:val="center"/>
      </w:pPr>
    </w:p>
    <w:p w14:paraId="6890E15E" w14:textId="77777777" w:rsidR="0024396B" w:rsidRDefault="0024396B" w:rsidP="00392A5B">
      <w:pPr>
        <w:jc w:val="center"/>
      </w:pPr>
    </w:p>
    <w:p w14:paraId="1922D4ED" w14:textId="77777777" w:rsidR="0024396B" w:rsidRPr="0024396B" w:rsidRDefault="0024396B" w:rsidP="00392A5B">
      <w:pPr>
        <w:jc w:val="center"/>
      </w:pPr>
    </w:p>
    <w:p w14:paraId="684F52A6" w14:textId="77777777" w:rsidR="0024396B" w:rsidRPr="0024396B" w:rsidRDefault="0024396B" w:rsidP="00392A5B">
      <w:pPr>
        <w:jc w:val="center"/>
      </w:pPr>
      <w:r w:rsidRPr="0024396B">
        <w:t>MKTG 5150</w:t>
      </w:r>
    </w:p>
    <w:p w14:paraId="4622A03E" w14:textId="77777777" w:rsidR="0024396B" w:rsidRPr="0024396B" w:rsidRDefault="0024396B" w:rsidP="00392A5B">
      <w:pPr>
        <w:jc w:val="center"/>
      </w:pPr>
      <w:r w:rsidRPr="0024396B">
        <w:t>Marketing Management</w:t>
      </w:r>
    </w:p>
    <w:p w14:paraId="396A409E" w14:textId="6942425A" w:rsidR="0024396B" w:rsidRPr="0024396B" w:rsidRDefault="00A5717E" w:rsidP="00392A5B">
      <w:pPr>
        <w:jc w:val="center"/>
      </w:pPr>
      <w:r>
        <w:t>Spring 2023</w:t>
      </w:r>
    </w:p>
    <w:p w14:paraId="3C3DBBED" w14:textId="77777777" w:rsidR="00C45FB6" w:rsidRDefault="00C45FB6" w:rsidP="000227F6"/>
    <w:p w14:paraId="275F345D" w14:textId="77777777" w:rsidR="00C45FB6" w:rsidRDefault="00C45FB6" w:rsidP="000227F6">
      <w:r>
        <w:br w:type="page"/>
      </w:r>
    </w:p>
    <w:p w14:paraId="0A688F48" w14:textId="77777777" w:rsidR="0024396B" w:rsidRDefault="0024396B" w:rsidP="000227F6">
      <w:pPr>
        <w:sectPr w:rsidR="0024396B" w:rsidSect="002411F9">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vAlign w:val="center"/>
          <w:titlePg/>
          <w:docGrid w:linePitch="360"/>
        </w:sectPr>
      </w:pPr>
    </w:p>
    <w:p w14:paraId="684D792C" w14:textId="77777777" w:rsidR="00C45FB6" w:rsidRPr="00CB6070" w:rsidRDefault="0024396B" w:rsidP="000227F6">
      <w:pPr>
        <w:pStyle w:val="Heading1"/>
      </w:pPr>
      <w:r w:rsidRPr="00CB6070">
        <w:lastRenderedPageBreak/>
        <w:t>The Problem</w:t>
      </w:r>
    </w:p>
    <w:p w14:paraId="7F2E79C7" w14:textId="77777777" w:rsidR="00D21FB7" w:rsidRDefault="00D21FB7" w:rsidP="000227F6"/>
    <w:p w14:paraId="3502BD9B" w14:textId="475AA75E" w:rsidR="00D21FB7" w:rsidRPr="0040608C" w:rsidRDefault="00F71D43" w:rsidP="000227F6">
      <w:r w:rsidRPr="00F71D43">
        <w:t xml:space="preserve">Does </w:t>
      </w:r>
      <w:r w:rsidRPr="000227F6">
        <w:t>the</w:t>
      </w:r>
      <w:r w:rsidRPr="00F71D43">
        <w:t xml:space="preserve"> South Delaware Coors distributorship offer sufficient investment potential given Mr. Brownlow</w:t>
      </w:r>
      <w:r w:rsidR="007C3D26">
        <w:t>'</w:t>
      </w:r>
      <w:r w:rsidRPr="00F71D43">
        <w:t xml:space="preserve">s current business and personal </w:t>
      </w:r>
      <w:r>
        <w:t>situation?</w:t>
      </w:r>
    </w:p>
    <w:p w14:paraId="4530B5F4" w14:textId="77777777" w:rsidR="00D21FB7" w:rsidRDefault="00805A24" w:rsidP="000227F6">
      <w:pPr>
        <w:pStyle w:val="Heading1"/>
      </w:pPr>
      <w:r>
        <w:t>Recommendation</w:t>
      </w:r>
    </w:p>
    <w:p w14:paraId="68E3188B" w14:textId="49326326" w:rsidR="00110792" w:rsidRPr="00110792" w:rsidRDefault="00337970" w:rsidP="00110792">
      <w:pPr>
        <w:jc w:val="both"/>
      </w:pPr>
      <w:r w:rsidRPr="00221248">
        <w:t>In review</w:t>
      </w:r>
      <w:r>
        <w:t>ing the numbers from the Manson and Associates</w:t>
      </w:r>
      <w:r w:rsidR="00AD1C9F">
        <w:t xml:space="preserve"> (Manson)</w:t>
      </w:r>
      <w:r>
        <w:t xml:space="preserve"> research, the investment into South Delaware Coors </w:t>
      </w:r>
      <w:r w:rsidR="00845ACB" w:rsidRPr="00845ACB">
        <w:t xml:space="preserve">has a potential market for its beer products in the region, and that the company could be profitable in the short </w:t>
      </w:r>
      <w:r w:rsidR="00110792" w:rsidRPr="00845ACB">
        <w:t>term.</w:t>
      </w:r>
      <w:r w:rsidR="00110792" w:rsidRPr="00110792">
        <w:t xml:space="preserve"> My</w:t>
      </w:r>
      <w:r w:rsidR="00110792" w:rsidRPr="00110792">
        <w:t xml:space="preserve"> recommendation is based on the information calculated for estimated sales potential, market potential, and the figures seen on the break-even analysis and Pro Forma</w:t>
      </w:r>
      <w:r w:rsidR="00110792" w:rsidRPr="00110792">
        <w:rPr>
          <w:i/>
          <w:iCs/>
        </w:rPr>
        <w:t xml:space="preserve"> </w:t>
      </w:r>
      <w:r w:rsidR="00110792" w:rsidRPr="00110792">
        <w:t>Income Statement</w:t>
      </w:r>
      <w:r w:rsidR="00110792">
        <w:t>.</w:t>
      </w:r>
    </w:p>
    <w:p w14:paraId="07D9F633" w14:textId="6B31837B" w:rsidR="00337970" w:rsidRDefault="00337970" w:rsidP="00110792">
      <w:pPr>
        <w:jc w:val="both"/>
      </w:pPr>
    </w:p>
    <w:p w14:paraId="5BFE16FC" w14:textId="3028A7DF" w:rsidR="00337970" w:rsidRDefault="00331A1B" w:rsidP="00110792">
      <w:pPr>
        <w:pStyle w:val="Heading2"/>
      </w:pPr>
      <w:r>
        <w:t>Profitability Analysis</w:t>
      </w:r>
    </w:p>
    <w:p w14:paraId="3D204F81" w14:textId="1BE896AD" w:rsidR="00221248" w:rsidRDefault="00110792" w:rsidP="000227F6">
      <w:r w:rsidRPr="00110792">
        <w:t xml:space="preserve">When considering the feasibility of starting a new business, profitability is one of the most important factors to consider alongside market research and financial projections. The business owner must evaluate potential revenue and </w:t>
      </w:r>
      <w:r w:rsidRPr="00110792">
        <w:t>expenses and</w:t>
      </w:r>
      <w:r w:rsidRPr="00110792">
        <w:t xml:space="preserve"> assess the current and future market demand for the product or service they intend to offer. Pricing strategies, competition, and the availability of resources and funding are also key factors to consider in the decision-making process. A thorough evaluation of these factors can help a business owner make informed decisions about the viability of their </w:t>
      </w:r>
      <w:r w:rsidRPr="00110792">
        <w:t>venture and</w:t>
      </w:r>
      <w:r w:rsidRPr="00110792">
        <w:t xml:space="preserve"> assess the potential for long-term profitability</w:t>
      </w:r>
      <w:r>
        <w:t>.</w:t>
      </w:r>
    </w:p>
    <w:p w14:paraId="129AF2E3" w14:textId="77777777" w:rsidR="00110792" w:rsidRDefault="00110792" w:rsidP="000227F6"/>
    <w:p w14:paraId="3A37D72F" w14:textId="1AD1B212" w:rsidR="009551F3" w:rsidRDefault="009551F3" w:rsidP="009510B5">
      <w:pPr>
        <w:ind w:firstLine="720"/>
      </w:pPr>
      <w:r w:rsidRPr="00C07BD2">
        <w:rPr>
          <w:rStyle w:val="Heading3Char"/>
          <w:rFonts w:ascii="Times New Roman" w:hAnsi="Times New Roman" w:cs="Times New Roman"/>
        </w:rPr>
        <w:t>Market potential</w:t>
      </w:r>
      <w:r w:rsidRPr="00345652">
        <w:rPr>
          <w:b/>
        </w:rPr>
        <w:t>.</w:t>
      </w:r>
      <w:r w:rsidR="0030314B">
        <w:rPr>
          <w:b/>
        </w:rPr>
        <w:t xml:space="preserve">  </w:t>
      </w:r>
      <w:r w:rsidR="00DF21D6" w:rsidRPr="00DF21D6">
        <w:t xml:space="preserve">Coors market potential represents the total sales in gallons or dollars of the two county target markets. The first model considers the sales tax of his two districts in the market area. </w:t>
      </w:r>
      <w:r w:rsidR="00DF21D6">
        <w:t>The s</w:t>
      </w:r>
      <w:r w:rsidR="00DF21D6" w:rsidRPr="00DF21D6">
        <w:t>econd</w:t>
      </w:r>
      <w:r w:rsidR="00DF21D6">
        <w:t xml:space="preserve"> model</w:t>
      </w:r>
      <w:r w:rsidR="00DF21D6" w:rsidRPr="00DF21D6">
        <w:t xml:space="preserve"> examines average consumption and population projections to assess market potential.</w:t>
      </w:r>
    </w:p>
    <w:p w14:paraId="60B494EF" w14:textId="79A9139C" w:rsidR="00E12F7B" w:rsidRDefault="00A13490" w:rsidP="009510B5">
      <w:pPr>
        <w:ind w:firstLine="720"/>
        <w:jc w:val="both"/>
      </w:pPr>
      <w:r w:rsidRPr="00C07BD2">
        <w:rPr>
          <w:rStyle w:val="Heading4Char"/>
          <w:rFonts w:ascii="Times New Roman" w:hAnsi="Times New Roman" w:cs="Times New Roman"/>
        </w:rPr>
        <w:t>Beer s</w:t>
      </w:r>
      <w:r w:rsidR="00730BA8" w:rsidRPr="00C07BD2">
        <w:rPr>
          <w:rStyle w:val="Heading4Char"/>
          <w:rFonts w:ascii="Times New Roman" w:hAnsi="Times New Roman" w:cs="Times New Roman"/>
        </w:rPr>
        <w:t>ales tax model</w:t>
      </w:r>
      <w:r w:rsidR="00730BA8">
        <w:rPr>
          <w:b/>
          <w:i/>
        </w:rPr>
        <w:t>.</w:t>
      </w:r>
      <w:r w:rsidR="0029468A">
        <w:t xml:space="preserve">  </w:t>
      </w:r>
      <w:r w:rsidR="009510B5" w:rsidRPr="009510B5">
        <w:t xml:space="preserve">The beer sales tax model, as shown in Table 1, estimates the possible market size for beer sales by utilizing the sales tax paid by wholesalers in two specific counties. This model assumes a constant tax rate per gallon and equates the sales tax payments made by wholesalers to the market potential. The market potential for future years was projected by using an Excel linear trend from Sheet-3, </w:t>
      </w:r>
      <w:proofErr w:type="gramStart"/>
      <w:r w:rsidR="009510B5" w:rsidRPr="009510B5">
        <w:t>assuming that</w:t>
      </w:r>
      <w:proofErr w:type="gramEnd"/>
      <w:r w:rsidR="009510B5" w:rsidRPr="009510B5">
        <w:t xml:space="preserve"> the market would expand at a steady rate. However, this analysis has some limitations, such as the use of a linear trend to estimate future data and the assumption of a constant tax rate. Additionally, the model only </w:t>
      </w:r>
      <w:r w:rsidR="009510B5" w:rsidRPr="009510B5">
        <w:t>considers</w:t>
      </w:r>
      <w:r w:rsidR="009510B5" w:rsidRPr="009510B5">
        <w:t xml:space="preserve"> the sales tax paid by wholesalers and does not consider the sales tax paid by retailers or any other factors that may influence beer sales. Therefore, the model should be considered as a rough estimate rather than a definitive measure of market potential.</w:t>
      </w:r>
    </w:p>
    <w:p w14:paraId="03FD8988" w14:textId="4C9E7527" w:rsidR="00730BA8" w:rsidRDefault="00730BA8" w:rsidP="009510B5">
      <w:pPr>
        <w:ind w:firstLine="720"/>
      </w:pPr>
      <w:r w:rsidRPr="00C07BD2">
        <w:rPr>
          <w:rStyle w:val="Heading4Char"/>
          <w:rFonts w:ascii="Times New Roman" w:hAnsi="Times New Roman" w:cs="Times New Roman"/>
        </w:rPr>
        <w:t>Population and consumption model</w:t>
      </w:r>
      <w:r>
        <w:rPr>
          <w:b/>
          <w:i/>
        </w:rPr>
        <w:t>.</w:t>
      </w:r>
      <w:r w:rsidR="00B82D6C">
        <w:t xml:space="preserve">  </w:t>
      </w:r>
      <w:r w:rsidR="009510B5" w:rsidRPr="009510B5">
        <w:t>Manson conducted two studies, one of which included predictions for the population of the market region every other year (Study B), while the other included per-capita consumption rates for both the nation and Delaware (Study A). Using Manson's demographic predictions from Study B, along with national and Delaware consumption per capita statistics from Study A, the average consumption and potential market size in gallons for Market Area 1 were calculated. These calculations were made for the years 2001 to 2003 and are presented in Table 2, which includes estimated population, typical consumption, and resulting market potential. The projections were used to assess the feasibility of starting a new company in the market area, assuming consumption patterns would remain constant over time</w:t>
      </w:r>
      <w:r w:rsidR="009510B5">
        <w:t>.</w:t>
      </w:r>
    </w:p>
    <w:p w14:paraId="106C2790" w14:textId="506A809E" w:rsidR="00C11669" w:rsidRDefault="00C11669" w:rsidP="00C11669">
      <w:pPr>
        <w:ind w:firstLine="720"/>
      </w:pPr>
      <w:r w:rsidRPr="00FD452B">
        <w:rPr>
          <w:rStyle w:val="Heading3Char"/>
          <w:rFonts w:ascii="Times New Roman" w:hAnsi="Times New Roman" w:cs="Times New Roman"/>
        </w:rPr>
        <w:lastRenderedPageBreak/>
        <w:t>Price and contribution projections</w:t>
      </w:r>
      <w:r>
        <w:t>.</w:t>
      </w:r>
      <w:r w:rsidRPr="002A4B34">
        <w:t xml:space="preserve"> </w:t>
      </w:r>
      <w:r w:rsidRPr="000D74A1">
        <w:t xml:space="preserve">The </w:t>
      </w:r>
      <w:r w:rsidRPr="00DF21D6">
        <w:t>price projections</w:t>
      </w:r>
      <w:r>
        <w:t xml:space="preserve"> (Table </w:t>
      </w:r>
      <w:r w:rsidR="009517A5">
        <w:t>3</w:t>
      </w:r>
      <w:r>
        <w:t>)</w:t>
      </w:r>
      <w:r w:rsidR="00DF21D6" w:rsidRPr="00DF21D6">
        <w:t xml:space="preserve"> </w:t>
      </w:r>
      <w:r w:rsidR="00DF21D6" w:rsidRPr="00DF21D6">
        <w:t>are based on the weighted average price for Coors and the wholesale costs and percent cost of products sold for bottles, cans, and kegs. The suggested pricing for Coors should be determined by its perceived position in comparison to rival brands; it might either be the positive premium price (Michelob) or the negative 7-beer average price.</w:t>
      </w:r>
      <w:r w:rsidR="00DF21D6" w:rsidRPr="00DF21D6">
        <w:t xml:space="preserve"> </w:t>
      </w:r>
      <w:r w:rsidR="00DF21D6" w:rsidRPr="00DF21D6">
        <w:t>The weighted contribution per gallon of Coors, which is determined as the difference between the wholesale price and cost of goods sold, multiplied by the weight, is the basis for the contribution predictions (dollar contribution and percent margins). For both the optimistic and pessimistic scenarios, the final contribution margin is 23%.</w:t>
      </w:r>
    </w:p>
    <w:p w14:paraId="3DBFD174" w14:textId="77777777" w:rsidR="009517A5" w:rsidRDefault="009517A5" w:rsidP="00C11669">
      <w:pPr>
        <w:ind w:firstLine="720"/>
      </w:pPr>
    </w:p>
    <w:p w14:paraId="0C815709" w14:textId="6E2B87D3" w:rsidR="009517A5" w:rsidRDefault="009517A5" w:rsidP="009517A5">
      <w:pPr>
        <w:ind w:firstLine="720"/>
      </w:pPr>
      <w:r w:rsidRPr="00C07BD2">
        <w:rPr>
          <w:rStyle w:val="Heading3Char"/>
          <w:rFonts w:ascii="Times New Roman" w:hAnsi="Times New Roman" w:cs="Times New Roman"/>
        </w:rPr>
        <w:t>Sales potential</w:t>
      </w:r>
      <w:r w:rsidRPr="00345652">
        <w:rPr>
          <w:b/>
        </w:rPr>
        <w:t>.</w:t>
      </w:r>
      <w:r>
        <w:t xml:space="preserve">  </w:t>
      </w:r>
      <w:r w:rsidR="009510B5" w:rsidRPr="009510B5">
        <w:t xml:space="preserve">According to Table 4, the potential sales of beer in gallons that Coors could make in Delaware have been estimated based on several studies, including Manson Research Studies A, B, C, and E. These estimates </w:t>
      </w:r>
      <w:r w:rsidR="009510B5" w:rsidRPr="009510B5">
        <w:t>consider</w:t>
      </w:r>
      <w:r w:rsidR="009510B5" w:rsidRPr="009510B5">
        <w:t xml:space="preserve"> consumption and demographic projections presented in the table. The sales potential projections have been calculated by multiplying market potential forecasts with the market size. The dollar estimates have been categorized as optimistic and pessimistic, based on the weighted average price per gallon of $5.62 and $4.82 respectively, as stated in Table 3. The dollar sales potential depends on both gallon sales potential and the price per gallon charged. Coors can use this information to determine their pricing and marketing strategy in Delaware and gain insights into their prospective revenue and market share in the region.</w:t>
      </w:r>
    </w:p>
    <w:p w14:paraId="392C199D" w14:textId="77777777" w:rsidR="00C11669" w:rsidRDefault="00C11669" w:rsidP="00C11669">
      <w:pPr>
        <w:ind w:firstLine="720"/>
        <w:rPr>
          <w:rStyle w:val="Heading3Char"/>
          <w:rFonts w:ascii="Times New Roman" w:hAnsi="Times New Roman" w:cs="Times New Roman"/>
        </w:rPr>
      </w:pPr>
    </w:p>
    <w:p w14:paraId="1E123E0E" w14:textId="546301BE" w:rsidR="00B973A7" w:rsidRDefault="00C11669" w:rsidP="002D16AD">
      <w:pPr>
        <w:ind w:firstLine="720"/>
      </w:pPr>
      <w:r w:rsidRPr="00C07BD2">
        <w:rPr>
          <w:rStyle w:val="Heading3Char"/>
          <w:rFonts w:ascii="Times New Roman" w:hAnsi="Times New Roman" w:cs="Times New Roman"/>
        </w:rPr>
        <w:t>Variable costs</w:t>
      </w:r>
      <w:r w:rsidRPr="00345652">
        <w:rPr>
          <w:b/>
        </w:rPr>
        <w:t>.</w:t>
      </w:r>
      <w:r>
        <w:t xml:space="preserve"> </w:t>
      </w:r>
      <w:r w:rsidR="009510B5" w:rsidRPr="009510B5">
        <w:t>variable costs pertain to the expenses that wine, liquor, and beer wholesalers incur for the products they vend. These costs are calculated as a proportion of their total sales. The percentage value of variable costs can be gleaned from Study F, which presents a financial overview of 510 analogous wholesaling activities in the US. By using the percentage of variable costs extracted from Study F, the total variable costs can be computed based on the anticipated revenue estimate. Moreover, Coors must determine the price or prices per gallon that align with their intended competitive standing in the market.</w:t>
      </w:r>
    </w:p>
    <w:p w14:paraId="602F47AD" w14:textId="77777777" w:rsidR="00BD453C" w:rsidRDefault="00BD453C" w:rsidP="002D16AD">
      <w:pPr>
        <w:ind w:firstLine="720"/>
      </w:pPr>
    </w:p>
    <w:p w14:paraId="7B4B7B07" w14:textId="1C0675BE" w:rsidR="00525FD0" w:rsidRDefault="009551F3" w:rsidP="00525FD0">
      <w:pPr>
        <w:ind w:firstLine="720"/>
      </w:pPr>
      <w:r w:rsidRPr="00C07BD2">
        <w:rPr>
          <w:rStyle w:val="Heading3Char"/>
          <w:rFonts w:ascii="Times New Roman" w:hAnsi="Times New Roman" w:cs="Times New Roman"/>
        </w:rPr>
        <w:t xml:space="preserve">Fixed </w:t>
      </w:r>
      <w:r w:rsidR="009356D7" w:rsidRPr="00C07BD2">
        <w:rPr>
          <w:rStyle w:val="Heading3Char"/>
          <w:rFonts w:ascii="Times New Roman" w:hAnsi="Times New Roman" w:cs="Times New Roman"/>
        </w:rPr>
        <w:t>Costs</w:t>
      </w:r>
      <w:r w:rsidR="009356D7">
        <w:rPr>
          <w:b/>
        </w:rPr>
        <w:t>.</w:t>
      </w:r>
      <w:r w:rsidR="009356D7" w:rsidRPr="009356D7">
        <w:t xml:space="preserve"> </w:t>
      </w:r>
      <w:r w:rsidR="009510B5" w:rsidRPr="009510B5">
        <w:t>Table 5 provides an estimate of fixed costs, which is a combination of estimates from Mr. Brownlow and Study F. Mr. Brownlow's estimates include various expenses such as salaries, depreciation, utilities and phone, insurance, personal property tax, maintenance, miscellaneous adjustments, and interest. Study F adjustments are made by utilizing the Texas paid approach and data from the RMA study. The Texas paid approach involves using a survey of Texas beer wholesalers to estimate the operating expenses as a percentage of sales. The weighted average of these percentages is then applied to the estimated Coors sales in Texas to obtain the estimated operating expenses. The RMA study provides additional data to refine the estimates. Based on these methods, the estimated fixed costs in Table 5 include $160,000 for salaries, $50,000 for depreciation, $12,000 for utilities and phone, $10,000 for insurance, $10,000 for personal property tax, $5,600 for maintenance, $2,400 for miscellaneous adjustments, and $40,000 for interest. Study F adjustments are also included, totaling $256,898. These fixed costs represent expenses that remain constant and are not influenced by changes in the volume of Coors sales in Texas.</w:t>
      </w:r>
    </w:p>
    <w:p w14:paraId="52234A01" w14:textId="77777777" w:rsidR="009510B5" w:rsidRDefault="009510B5" w:rsidP="00525FD0">
      <w:pPr>
        <w:ind w:firstLine="720"/>
      </w:pPr>
    </w:p>
    <w:p w14:paraId="1FBFC412" w14:textId="77777777" w:rsidR="009510B5" w:rsidRDefault="009510B5" w:rsidP="00525FD0">
      <w:pPr>
        <w:ind w:firstLine="720"/>
      </w:pPr>
    </w:p>
    <w:p w14:paraId="271FE4A0" w14:textId="77777777" w:rsidR="009510B5" w:rsidRDefault="009510B5" w:rsidP="00525FD0">
      <w:pPr>
        <w:ind w:firstLine="720"/>
      </w:pPr>
    </w:p>
    <w:p w14:paraId="4A7CABDB" w14:textId="77777777" w:rsidR="009510B5" w:rsidRDefault="009510B5" w:rsidP="00525FD0">
      <w:pPr>
        <w:ind w:firstLine="720"/>
      </w:pPr>
    </w:p>
    <w:p w14:paraId="5DAF374B" w14:textId="77777777" w:rsidR="009510B5" w:rsidRDefault="009510B5" w:rsidP="00525FD0">
      <w:pPr>
        <w:ind w:firstLine="720"/>
      </w:pPr>
    </w:p>
    <w:p w14:paraId="22ADC007" w14:textId="77777777" w:rsidR="003D3955" w:rsidRDefault="003D3955" w:rsidP="009510B5">
      <w:pPr>
        <w:rPr>
          <w:rStyle w:val="Heading3Char"/>
          <w:rFonts w:ascii="Times New Roman" w:hAnsi="Times New Roman" w:cs="Times New Roman"/>
        </w:rPr>
      </w:pPr>
    </w:p>
    <w:p w14:paraId="40B151C0" w14:textId="38C618AF" w:rsidR="000C711C" w:rsidRDefault="009551F3" w:rsidP="009510B5">
      <w:r w:rsidRPr="00FD452B">
        <w:rPr>
          <w:rStyle w:val="Heading3Char"/>
          <w:rFonts w:ascii="Times New Roman" w:hAnsi="Times New Roman" w:cs="Times New Roman"/>
        </w:rPr>
        <w:lastRenderedPageBreak/>
        <w:t>Investment costs</w:t>
      </w:r>
      <w:r w:rsidR="00E76DA7" w:rsidRPr="00FD452B">
        <w:rPr>
          <w:rStyle w:val="Heading3Char"/>
          <w:rFonts w:ascii="Times New Roman" w:hAnsi="Times New Roman" w:cs="Times New Roman"/>
        </w:rPr>
        <w:t xml:space="preserve"> and available resources</w:t>
      </w:r>
      <w:r w:rsidRPr="00345652">
        <w:rPr>
          <w:b/>
        </w:rPr>
        <w:t>.</w:t>
      </w:r>
      <w:r w:rsidR="00EC0071">
        <w:t xml:space="preserve">  </w:t>
      </w:r>
    </w:p>
    <w:p w14:paraId="2E319C58" w14:textId="77777777" w:rsidR="003D3955" w:rsidRPr="003D3955" w:rsidRDefault="003D3955" w:rsidP="003D3955">
      <w:r w:rsidRPr="003D3955">
        <w:t>Table 6 provides an estimate of the investment costs required to start the distributorship. These costs are considered sunk costs, which means they are not part of the regular ongoing fixed and variable expenses. Larry used his estimates and data from Study F to arrive at these estimates. Based on the estimated price of $5.31 per gallon and a sales potential of 8.9%, Larry estimated the inventory cost to be $240,000. He also estimated the cost of delivery trucks at $150,000, forklift, recycling equipment, and office equipment at $20,000 each. Additionally, the warehouse cost was estimated at $320,000, and the land cost was estimated at $40,000. Larry also considered other expenses, including $119,838 for cash and equivalents and $159,784 for accounts receivable, which brought the total investment costs to $1,079,622.</w:t>
      </w:r>
    </w:p>
    <w:p w14:paraId="4047A7CC" w14:textId="77777777" w:rsidR="003D3955" w:rsidRPr="003D3955" w:rsidRDefault="003D3955" w:rsidP="003D3955">
      <w:r w:rsidRPr="003D3955">
        <w:t>It is not clear from the available information what resources are available for funding the investment. Larry should evaluate his personal savings, potential loans from financial institutions, and potential investors who may be interested in funding the startup. He may also consider government grants or small business loans that are available to new entrepreneurs. It is crucial for Larry to assess his available resources and develop a solid financial plan to ensure the success of the distributorship.</w:t>
      </w:r>
    </w:p>
    <w:p w14:paraId="3BBDA5B8" w14:textId="77777777" w:rsidR="003D3955" w:rsidRDefault="003D3955" w:rsidP="009510B5"/>
    <w:p w14:paraId="4668E707" w14:textId="37DF0253" w:rsidR="009551F3" w:rsidRPr="00345652" w:rsidRDefault="009551F3" w:rsidP="000227F6"/>
    <w:p w14:paraId="6A368D09" w14:textId="6EA73989" w:rsidR="007C3D26" w:rsidRDefault="009551F3" w:rsidP="00031A83">
      <w:pPr>
        <w:jc w:val="both"/>
      </w:pPr>
      <w:r w:rsidRPr="00345652">
        <w:rPr>
          <w:b/>
        </w:rPr>
        <w:t>Pro forma income statements.</w:t>
      </w:r>
      <w:r w:rsidR="001B322B">
        <w:t xml:space="preserve"> </w:t>
      </w:r>
    </w:p>
    <w:p w14:paraId="4D329522" w14:textId="18649E19" w:rsidR="003D3955" w:rsidRDefault="003D3955" w:rsidP="00031A83">
      <w:pPr>
        <w:jc w:val="both"/>
      </w:pPr>
      <w:r w:rsidRPr="003D3955">
        <w:t>The pro forma income statements provide revenue and expense projections for a period of three years. Table 7 displays both optimistic and pessimistic figures for the years 2001 to 2003. The optimistic projections are based on Larry's analysis of the market potential and the assumption that the distributorship will attain a significant market share. The optimistic projections also assume that the distributorship will operate efficiently and control costs effectively. In contrast, the pessimistic projections are more conservative and consider more competition and operational difficulties. The pessimistic projections also factor in potential unexpected expenses and higher costs of goods sold. Both the optimistic and pessimistic scenarios show that the distributorship is likely to generate positive net income before taxes over the three-year period, although the pessimistic scenario predicts lower net income. The pro forma income statements also indicate that the distributorship will incur substantial operating expenses, such as salaries, depreciation, utilities, insurance, taxes, maintenance, and interest.</w:t>
      </w:r>
    </w:p>
    <w:p w14:paraId="6D598A8F" w14:textId="77777777" w:rsidR="007C3D26" w:rsidRDefault="007C3D26" w:rsidP="000227F6"/>
    <w:p w14:paraId="67E1ACC7" w14:textId="2B054490" w:rsidR="008A0207" w:rsidRDefault="009551F3" w:rsidP="008A0FC6">
      <w:r w:rsidRPr="00345652">
        <w:rPr>
          <w:b/>
        </w:rPr>
        <w:t>Break-even analysis</w:t>
      </w:r>
      <w:r w:rsidR="000D2F2E">
        <w:rPr>
          <w:b/>
        </w:rPr>
        <w:t xml:space="preserve">. </w:t>
      </w:r>
    </w:p>
    <w:p w14:paraId="79981FD4" w14:textId="06FC5A49" w:rsidR="003D3955" w:rsidRDefault="003D3955" w:rsidP="008A0FC6">
      <w:r w:rsidRPr="003D3955">
        <w:t>Table 8 presents break-even estimates for the distributorship, including gallons, dollars, and market share. The estimates are based on the fixed costs for the first year, which are estimated at $290,000 in the optimistic scenario and $555,400 in the pessimistic scenario. Both scenarios assume a contribution margin of 22.9%. Using this information, the break-even point can be calculated in both dollars and gallons. In the optimistic scenario, the break-even point is $1,266,376 in sales or 252,174 gallons of beer, while in the pessimistic scenario, it is $2,425,328 in sales or 503,431 gallons of beer. The break-even market share, which is the percentage of the market that must be captured to break even, is 3.71% in the optimistic scenario and 8.83% in the pessimistic scenario. According to Study C, Coors is projected to have a market share of 8.7%, which suggests that the distributorship should be able to break even in both scenarios if it can capture a similar market share as Coors. However, the pessimistic scenario has a significantly higher break-even point, indicating that the distributorship would need to capture a larger share of the market to break even in this scenario.</w:t>
      </w:r>
    </w:p>
    <w:p w14:paraId="2B6856C4" w14:textId="77777777" w:rsidR="003D3955" w:rsidRDefault="003D3955" w:rsidP="000227F6">
      <w:pPr>
        <w:pStyle w:val="Heading2"/>
      </w:pPr>
    </w:p>
    <w:p w14:paraId="06FA7899" w14:textId="3C087474" w:rsidR="00CF2B10" w:rsidRPr="00CB6070" w:rsidRDefault="00CF2B10" w:rsidP="000227F6">
      <w:pPr>
        <w:pStyle w:val="Heading2"/>
      </w:pPr>
      <w:r w:rsidRPr="00CB6070">
        <w:lastRenderedPageBreak/>
        <w:t>Summary evaluation of studies</w:t>
      </w:r>
    </w:p>
    <w:p w14:paraId="2E56C337" w14:textId="5036F29C" w:rsidR="00C06195" w:rsidRDefault="003D3955" w:rsidP="00AC017C">
      <w:r w:rsidRPr="003D3955">
        <w:t>Table 9 summarizes the evaluation of all studies related to the beer market in the two-county market area. There are nine studies available, covering a range of aspects such as beer consumption, population estimates, market share estimates, sales projections, taxes paid, financial statements, consumer and retailer studies, and beer price surveys. These studies were conducted at a cost ranging from $200 to $6,000. The studies provide a comprehensive overview of the beer market in the two-county area, which can be used to make informed decisions regarding Coors beer marketing strategies.</w:t>
      </w:r>
    </w:p>
    <w:p w14:paraId="3142CD16" w14:textId="6B73F425" w:rsidR="003D3955" w:rsidRDefault="003D3955" w:rsidP="00AC017C">
      <w:r w:rsidRPr="007162CB">
        <w:rPr>
          <w:b/>
          <w:bCs/>
          <w:sz w:val="28"/>
          <w:szCs w:val="28"/>
        </w:rPr>
        <w:t>Marketing and advertising:</w:t>
      </w:r>
      <w:r w:rsidRPr="007162CB">
        <w:t xml:space="preserve"> </w:t>
      </w:r>
      <w:r w:rsidRPr="003D3955">
        <w:t>The analysis of the efficiency of existing and potential marketing and advertising tactics for Coors beer in the market area, encompassing the utilization of conventional media, social media, and promotional activities</w:t>
      </w:r>
      <w:r>
        <w:t>.</w:t>
      </w:r>
    </w:p>
    <w:p w14:paraId="42BC77F2" w14:textId="787C8C36" w:rsidR="003D3955" w:rsidRDefault="003D3955" w:rsidP="00AC017C">
      <w:r w:rsidRPr="00304057">
        <w:rPr>
          <w:b/>
          <w:bCs/>
          <w:sz w:val="28"/>
          <w:szCs w:val="28"/>
        </w:rPr>
        <w:t>Economic and demographic trends:</w:t>
      </w:r>
      <w:r w:rsidRPr="00304057">
        <w:t xml:space="preserve"> </w:t>
      </w:r>
      <w:r w:rsidRPr="003D3955">
        <w:t>Analyzing economic and demographic trends in the market area to assess their potential influence on the demand for Coors beer.</w:t>
      </w:r>
    </w:p>
    <w:p w14:paraId="67649F0A" w14:textId="5A6A1C3C" w:rsidR="00503D43" w:rsidRPr="003D3955" w:rsidRDefault="00B3407F" w:rsidP="000227F6">
      <w:r w:rsidRPr="00B3407F">
        <w:rPr>
          <w:b/>
          <w:sz w:val="28"/>
        </w:rPr>
        <w:t>Distribution channels</w:t>
      </w:r>
      <w:r>
        <w:rPr>
          <w:b/>
          <w:sz w:val="28"/>
        </w:rPr>
        <w:t xml:space="preserve">: </w:t>
      </w:r>
      <w:r w:rsidR="003D3955" w:rsidRPr="003D3955">
        <w:t>Analyzing the existing and potential distribution channels for Coors beer within the market area, encompassing on-premises sales operations, wholesalers, and retailers.</w:t>
      </w:r>
    </w:p>
    <w:p w14:paraId="2E756000" w14:textId="60A8FBE2" w:rsidR="00503D43" w:rsidRPr="003D3955" w:rsidRDefault="00503D43" w:rsidP="000227F6">
      <w:r w:rsidRPr="00503D43">
        <w:rPr>
          <w:b/>
          <w:sz w:val="28"/>
        </w:rPr>
        <w:t xml:space="preserve">Competitive landscape: </w:t>
      </w:r>
      <w:r w:rsidR="003D3955" w:rsidRPr="003D3955">
        <w:t>Evaluating the advantages and disadvantages of rival beer brands in the target market, along with their marketing and distribution approaches.</w:t>
      </w:r>
    </w:p>
    <w:p w14:paraId="19DF75BA" w14:textId="77777777" w:rsidR="00503D43" w:rsidRPr="003D3955" w:rsidRDefault="00503D43" w:rsidP="000227F6"/>
    <w:p w14:paraId="7EE8260E" w14:textId="5D1BE116" w:rsidR="00E320A7" w:rsidRPr="003D3955" w:rsidRDefault="00E320A7" w:rsidP="000227F6">
      <w:r w:rsidRPr="003D3955">
        <w:br w:type="page"/>
      </w:r>
    </w:p>
    <w:p w14:paraId="04054839" w14:textId="06D2335B" w:rsidR="007809F8" w:rsidRDefault="00D731DF" w:rsidP="00525BE0">
      <w:pPr>
        <w:jc w:val="center"/>
      </w:pPr>
      <w:r>
        <w:lastRenderedPageBreak/>
        <w:t xml:space="preserve">Table </w:t>
      </w:r>
      <w:r w:rsidR="00967EE2">
        <w:t>1</w:t>
      </w:r>
      <w:r w:rsidR="00525BE0">
        <w:t xml:space="preserve">. </w:t>
      </w:r>
      <w:r w:rsidR="00B73DB4">
        <w:t xml:space="preserve">Beer </w:t>
      </w:r>
      <w:r w:rsidR="007809F8">
        <w:t>Sales Tax Paid by Beer Wholesalers</w:t>
      </w:r>
      <w:r w:rsidR="001A60B6">
        <w:t xml:space="preserve"> i</w:t>
      </w:r>
      <w:r w:rsidR="007809F8">
        <w:t>n the Market Are</w:t>
      </w:r>
      <w:r w:rsidR="001E2B99">
        <w:t>a</w:t>
      </w:r>
    </w:p>
    <w:p w14:paraId="59B057B8" w14:textId="77777777" w:rsidR="007809F8" w:rsidRDefault="007809F8" w:rsidP="000227F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1092"/>
        <w:gridCol w:w="1114"/>
        <w:gridCol w:w="1801"/>
      </w:tblGrid>
      <w:tr w:rsidR="007809F8" w:rsidRPr="00D1706B" w14:paraId="3E8EB894" w14:textId="77777777" w:rsidTr="00283E04">
        <w:trPr>
          <w:jc w:val="center"/>
        </w:trPr>
        <w:tc>
          <w:tcPr>
            <w:tcW w:w="985" w:type="dxa"/>
            <w:shd w:val="clear" w:color="auto" w:fill="F2F2F2" w:themeFill="background1" w:themeFillShade="F2"/>
            <w:vAlign w:val="bottom"/>
          </w:tcPr>
          <w:p w14:paraId="5D2223B4" w14:textId="77777777" w:rsidR="007809F8" w:rsidRPr="00782ABD" w:rsidRDefault="007809F8" w:rsidP="000227F6">
            <w:pPr>
              <w:rPr>
                <w:sz w:val="20"/>
                <w:szCs w:val="20"/>
              </w:rPr>
            </w:pPr>
            <w:r w:rsidRPr="00782ABD">
              <w:rPr>
                <w:sz w:val="20"/>
                <w:szCs w:val="20"/>
              </w:rPr>
              <w:t>Year</w:t>
            </w:r>
          </w:p>
        </w:tc>
        <w:tc>
          <w:tcPr>
            <w:tcW w:w="1092" w:type="dxa"/>
            <w:tcBorders>
              <w:bottom w:val="single" w:sz="4" w:space="0" w:color="auto"/>
            </w:tcBorders>
            <w:shd w:val="clear" w:color="auto" w:fill="F2F2F2" w:themeFill="background1" w:themeFillShade="F2"/>
            <w:vAlign w:val="bottom"/>
          </w:tcPr>
          <w:p w14:paraId="01C0A5E2" w14:textId="40E9071C" w:rsidR="007809F8" w:rsidRPr="00782ABD" w:rsidRDefault="00C66A8D" w:rsidP="00782ABD">
            <w:pPr>
              <w:jc w:val="center"/>
              <w:rPr>
                <w:sz w:val="20"/>
                <w:szCs w:val="20"/>
              </w:rPr>
            </w:pPr>
            <w:r>
              <w:rPr>
                <w:sz w:val="20"/>
                <w:szCs w:val="20"/>
              </w:rPr>
              <w:t>Total</w:t>
            </w:r>
            <w:r w:rsidR="008B7715">
              <w:rPr>
                <w:sz w:val="20"/>
                <w:szCs w:val="20"/>
              </w:rPr>
              <w:t xml:space="preserve"> </w:t>
            </w:r>
            <w:r w:rsidR="007809F8" w:rsidRPr="00782ABD">
              <w:rPr>
                <w:sz w:val="20"/>
                <w:szCs w:val="20"/>
              </w:rPr>
              <w:t>Tax Paid</w:t>
            </w:r>
            <w:r w:rsidR="00FB5EA8" w:rsidRPr="00502BD4">
              <w:rPr>
                <w:vertAlign w:val="superscript"/>
              </w:rPr>
              <w:t>1</w:t>
            </w:r>
          </w:p>
        </w:tc>
        <w:tc>
          <w:tcPr>
            <w:tcW w:w="1114" w:type="dxa"/>
            <w:tcBorders>
              <w:bottom w:val="single" w:sz="4" w:space="0" w:color="auto"/>
            </w:tcBorders>
            <w:shd w:val="clear" w:color="auto" w:fill="F2F2F2" w:themeFill="background1" w:themeFillShade="F2"/>
            <w:vAlign w:val="bottom"/>
          </w:tcPr>
          <w:p w14:paraId="56A87B62" w14:textId="69C157DE" w:rsidR="007809F8" w:rsidRPr="00782ABD" w:rsidRDefault="007809F8" w:rsidP="00782ABD">
            <w:pPr>
              <w:jc w:val="center"/>
              <w:rPr>
                <w:sz w:val="20"/>
                <w:szCs w:val="20"/>
              </w:rPr>
            </w:pPr>
            <w:r w:rsidRPr="00782ABD">
              <w:rPr>
                <w:sz w:val="20"/>
                <w:szCs w:val="20"/>
              </w:rPr>
              <w:t>Tax Rate</w:t>
            </w:r>
            <w:r w:rsidR="00283E04">
              <w:rPr>
                <w:sz w:val="20"/>
                <w:szCs w:val="20"/>
              </w:rPr>
              <w:t xml:space="preserve"> Per Gallon</w:t>
            </w:r>
          </w:p>
        </w:tc>
        <w:tc>
          <w:tcPr>
            <w:tcW w:w="1801" w:type="dxa"/>
            <w:tcBorders>
              <w:bottom w:val="single" w:sz="4" w:space="0" w:color="auto"/>
            </w:tcBorders>
            <w:shd w:val="clear" w:color="auto" w:fill="DEEAF6" w:themeFill="accent1" w:themeFillTint="33"/>
          </w:tcPr>
          <w:p w14:paraId="189245DC" w14:textId="77777777" w:rsidR="007809F8" w:rsidRPr="00782ABD" w:rsidRDefault="007809F8" w:rsidP="00782ABD">
            <w:pPr>
              <w:jc w:val="center"/>
              <w:rPr>
                <w:sz w:val="20"/>
                <w:szCs w:val="20"/>
              </w:rPr>
            </w:pPr>
            <w:r w:rsidRPr="00782ABD">
              <w:rPr>
                <w:sz w:val="20"/>
                <w:szCs w:val="20"/>
              </w:rPr>
              <w:t xml:space="preserve">Market Potential </w:t>
            </w:r>
            <w:r w:rsidRPr="00283E04">
              <w:rPr>
                <w:sz w:val="20"/>
                <w:szCs w:val="20"/>
              </w:rPr>
              <w:t>(in Gallons)</w:t>
            </w:r>
          </w:p>
        </w:tc>
      </w:tr>
      <w:tr w:rsidR="007809F8" w:rsidRPr="00D1706B" w14:paraId="20D2D327" w14:textId="77777777" w:rsidTr="00283E04">
        <w:trPr>
          <w:jc w:val="center"/>
        </w:trPr>
        <w:tc>
          <w:tcPr>
            <w:tcW w:w="985" w:type="dxa"/>
            <w:shd w:val="clear" w:color="auto" w:fill="F2F2F2" w:themeFill="background1" w:themeFillShade="F2"/>
          </w:tcPr>
          <w:p w14:paraId="044BCD53" w14:textId="77777777" w:rsidR="007809F8" w:rsidRPr="00782ABD" w:rsidRDefault="007809F8" w:rsidP="000227F6">
            <w:pPr>
              <w:rPr>
                <w:sz w:val="20"/>
                <w:szCs w:val="20"/>
              </w:rPr>
            </w:pPr>
            <w:r w:rsidRPr="00782ABD">
              <w:rPr>
                <w:sz w:val="20"/>
                <w:szCs w:val="20"/>
              </w:rPr>
              <w:t>1998</w:t>
            </w:r>
          </w:p>
        </w:tc>
        <w:tc>
          <w:tcPr>
            <w:tcW w:w="1092" w:type="dxa"/>
            <w:tcBorders>
              <w:top w:val="single" w:sz="4" w:space="0" w:color="auto"/>
            </w:tcBorders>
            <w:shd w:val="clear" w:color="auto" w:fill="F2F2F2" w:themeFill="background1" w:themeFillShade="F2"/>
          </w:tcPr>
          <w:p w14:paraId="6B10AE89" w14:textId="2123757D" w:rsidR="007809F8" w:rsidRPr="00782ABD" w:rsidRDefault="001E2B99" w:rsidP="000227F6">
            <w:pPr>
              <w:rPr>
                <w:sz w:val="20"/>
                <w:szCs w:val="20"/>
              </w:rPr>
            </w:pPr>
            <w:r>
              <w:rPr>
                <w:sz w:val="20"/>
                <w:szCs w:val="20"/>
              </w:rPr>
              <w:t>$287,980</w:t>
            </w:r>
          </w:p>
        </w:tc>
        <w:tc>
          <w:tcPr>
            <w:tcW w:w="1114" w:type="dxa"/>
            <w:tcBorders>
              <w:top w:val="single" w:sz="4" w:space="0" w:color="auto"/>
            </w:tcBorders>
            <w:shd w:val="clear" w:color="auto" w:fill="F2F2F2" w:themeFill="background1" w:themeFillShade="F2"/>
          </w:tcPr>
          <w:p w14:paraId="7A049F3F" w14:textId="17871608" w:rsidR="007809F8" w:rsidRPr="00782ABD" w:rsidRDefault="001E2B99" w:rsidP="001E2B99">
            <w:pPr>
              <w:jc w:val="center"/>
              <w:rPr>
                <w:sz w:val="20"/>
                <w:szCs w:val="20"/>
              </w:rPr>
            </w:pPr>
            <w:r>
              <w:rPr>
                <w:sz w:val="20"/>
                <w:szCs w:val="20"/>
              </w:rPr>
              <w:t>$0.06</w:t>
            </w:r>
          </w:p>
        </w:tc>
        <w:tc>
          <w:tcPr>
            <w:tcW w:w="1801" w:type="dxa"/>
            <w:tcBorders>
              <w:top w:val="single" w:sz="4" w:space="0" w:color="auto"/>
            </w:tcBorders>
            <w:shd w:val="clear" w:color="auto" w:fill="DEEAF6" w:themeFill="accent1" w:themeFillTint="33"/>
          </w:tcPr>
          <w:p w14:paraId="1E5E403B" w14:textId="60B3D92D" w:rsidR="007809F8" w:rsidRPr="00782ABD" w:rsidRDefault="001E2B99" w:rsidP="000227F6">
            <w:pPr>
              <w:rPr>
                <w:sz w:val="20"/>
                <w:szCs w:val="20"/>
              </w:rPr>
            </w:pPr>
            <w:r>
              <w:rPr>
                <w:sz w:val="20"/>
                <w:szCs w:val="20"/>
              </w:rPr>
              <w:t>$4,799,667</w:t>
            </w:r>
          </w:p>
        </w:tc>
      </w:tr>
      <w:tr w:rsidR="007809F8" w:rsidRPr="00D1706B" w14:paraId="3CD3AA6C" w14:textId="77777777" w:rsidTr="00DB3FED">
        <w:trPr>
          <w:jc w:val="center"/>
        </w:trPr>
        <w:tc>
          <w:tcPr>
            <w:tcW w:w="985" w:type="dxa"/>
            <w:shd w:val="clear" w:color="auto" w:fill="F2F2F2" w:themeFill="background1" w:themeFillShade="F2"/>
          </w:tcPr>
          <w:p w14:paraId="52FB5017" w14:textId="77777777" w:rsidR="007809F8" w:rsidRPr="00782ABD" w:rsidRDefault="007809F8" w:rsidP="000227F6">
            <w:pPr>
              <w:rPr>
                <w:sz w:val="20"/>
                <w:szCs w:val="20"/>
              </w:rPr>
            </w:pPr>
            <w:r w:rsidRPr="00782ABD">
              <w:rPr>
                <w:sz w:val="20"/>
                <w:szCs w:val="20"/>
              </w:rPr>
              <w:t>1999</w:t>
            </w:r>
          </w:p>
        </w:tc>
        <w:tc>
          <w:tcPr>
            <w:tcW w:w="1092" w:type="dxa"/>
            <w:shd w:val="clear" w:color="auto" w:fill="F2F2F2" w:themeFill="background1" w:themeFillShade="F2"/>
          </w:tcPr>
          <w:p w14:paraId="0E3C62CB" w14:textId="79C590F1" w:rsidR="007809F8" w:rsidRPr="00782ABD" w:rsidRDefault="001E2B99" w:rsidP="000227F6">
            <w:pPr>
              <w:rPr>
                <w:sz w:val="20"/>
                <w:szCs w:val="20"/>
              </w:rPr>
            </w:pPr>
            <w:r>
              <w:rPr>
                <w:sz w:val="20"/>
                <w:szCs w:val="20"/>
              </w:rPr>
              <w:t>$306,000</w:t>
            </w:r>
          </w:p>
        </w:tc>
        <w:tc>
          <w:tcPr>
            <w:tcW w:w="1114" w:type="dxa"/>
            <w:shd w:val="clear" w:color="auto" w:fill="F2F2F2" w:themeFill="background1" w:themeFillShade="F2"/>
          </w:tcPr>
          <w:p w14:paraId="3DA6B075" w14:textId="0724197E" w:rsidR="007809F8" w:rsidRPr="00782ABD" w:rsidRDefault="001E2B99" w:rsidP="001E2B99">
            <w:pPr>
              <w:jc w:val="center"/>
              <w:rPr>
                <w:sz w:val="20"/>
                <w:szCs w:val="20"/>
              </w:rPr>
            </w:pPr>
            <w:r>
              <w:rPr>
                <w:sz w:val="20"/>
                <w:szCs w:val="20"/>
              </w:rPr>
              <w:t>$0.06</w:t>
            </w:r>
          </w:p>
        </w:tc>
        <w:tc>
          <w:tcPr>
            <w:tcW w:w="1801" w:type="dxa"/>
            <w:shd w:val="clear" w:color="auto" w:fill="DEEAF6" w:themeFill="accent1" w:themeFillTint="33"/>
          </w:tcPr>
          <w:p w14:paraId="3ECC4083" w14:textId="0AC94E71" w:rsidR="007809F8" w:rsidRPr="00782ABD" w:rsidRDefault="001E2B99" w:rsidP="000227F6">
            <w:pPr>
              <w:rPr>
                <w:sz w:val="20"/>
                <w:szCs w:val="20"/>
              </w:rPr>
            </w:pPr>
            <w:r>
              <w:rPr>
                <w:sz w:val="20"/>
                <w:szCs w:val="20"/>
              </w:rPr>
              <w:t>$5,100,000</w:t>
            </w:r>
          </w:p>
        </w:tc>
      </w:tr>
      <w:tr w:rsidR="0070447E" w:rsidRPr="00D1706B" w14:paraId="6A9FFD98" w14:textId="77777777" w:rsidTr="00DB3FED">
        <w:trPr>
          <w:jc w:val="center"/>
        </w:trPr>
        <w:tc>
          <w:tcPr>
            <w:tcW w:w="985" w:type="dxa"/>
            <w:shd w:val="clear" w:color="auto" w:fill="F2F2F2" w:themeFill="background1" w:themeFillShade="F2"/>
          </w:tcPr>
          <w:p w14:paraId="4B62CF3D" w14:textId="3D9A49D3" w:rsidR="0070447E" w:rsidRPr="00782ABD" w:rsidRDefault="0070447E" w:rsidP="000227F6">
            <w:pPr>
              <w:rPr>
                <w:sz w:val="20"/>
                <w:szCs w:val="20"/>
              </w:rPr>
            </w:pPr>
            <w:r w:rsidRPr="00782ABD">
              <w:rPr>
                <w:sz w:val="20"/>
                <w:szCs w:val="20"/>
              </w:rPr>
              <w:t>2000</w:t>
            </w:r>
            <w:r w:rsidR="00581A65" w:rsidRPr="00782ABD">
              <w:rPr>
                <w:sz w:val="20"/>
                <w:szCs w:val="20"/>
                <w:vertAlign w:val="superscript"/>
              </w:rPr>
              <w:t>2</w:t>
            </w:r>
          </w:p>
        </w:tc>
        <w:tc>
          <w:tcPr>
            <w:tcW w:w="1092" w:type="dxa"/>
            <w:shd w:val="clear" w:color="auto" w:fill="F2F2F2" w:themeFill="background1" w:themeFillShade="F2"/>
          </w:tcPr>
          <w:p w14:paraId="28B53BB7" w14:textId="4006B3FD" w:rsidR="0070447E" w:rsidRPr="00782ABD" w:rsidRDefault="001E2B99" w:rsidP="000227F6">
            <w:pPr>
              <w:rPr>
                <w:sz w:val="20"/>
                <w:szCs w:val="20"/>
              </w:rPr>
            </w:pPr>
            <w:r>
              <w:rPr>
                <w:sz w:val="20"/>
                <w:szCs w:val="20"/>
              </w:rPr>
              <w:t>$324,020</w:t>
            </w:r>
          </w:p>
        </w:tc>
        <w:tc>
          <w:tcPr>
            <w:tcW w:w="1114" w:type="dxa"/>
            <w:shd w:val="clear" w:color="auto" w:fill="F2F2F2" w:themeFill="background1" w:themeFillShade="F2"/>
          </w:tcPr>
          <w:p w14:paraId="4BC0AC2E" w14:textId="0EF2A130" w:rsidR="0070447E" w:rsidRPr="00782ABD" w:rsidRDefault="001E2B99" w:rsidP="001E2B99">
            <w:pPr>
              <w:jc w:val="center"/>
              <w:rPr>
                <w:sz w:val="20"/>
                <w:szCs w:val="20"/>
              </w:rPr>
            </w:pPr>
            <w:r>
              <w:rPr>
                <w:sz w:val="20"/>
                <w:szCs w:val="20"/>
              </w:rPr>
              <w:t>$0.06</w:t>
            </w:r>
          </w:p>
        </w:tc>
        <w:tc>
          <w:tcPr>
            <w:tcW w:w="1801" w:type="dxa"/>
            <w:shd w:val="clear" w:color="auto" w:fill="DEEAF6" w:themeFill="accent1" w:themeFillTint="33"/>
          </w:tcPr>
          <w:p w14:paraId="399A2C3D" w14:textId="3213DEAE" w:rsidR="0070447E" w:rsidRPr="00782ABD" w:rsidRDefault="001E2B99" w:rsidP="000227F6">
            <w:pPr>
              <w:rPr>
                <w:sz w:val="20"/>
                <w:szCs w:val="20"/>
              </w:rPr>
            </w:pPr>
            <w:r>
              <w:rPr>
                <w:sz w:val="20"/>
                <w:szCs w:val="20"/>
              </w:rPr>
              <w:t>$5,400,333</w:t>
            </w:r>
          </w:p>
        </w:tc>
      </w:tr>
      <w:tr w:rsidR="007809F8" w:rsidRPr="00D1706B" w14:paraId="4B1BEE14" w14:textId="77777777" w:rsidTr="007809F8">
        <w:trPr>
          <w:jc w:val="center"/>
        </w:trPr>
        <w:tc>
          <w:tcPr>
            <w:tcW w:w="985" w:type="dxa"/>
            <w:shd w:val="clear" w:color="auto" w:fill="DEEAF6" w:themeFill="accent1" w:themeFillTint="33"/>
          </w:tcPr>
          <w:p w14:paraId="1F3DB9FE" w14:textId="31EF1F8E" w:rsidR="007809F8" w:rsidRPr="00782ABD" w:rsidRDefault="0070447E" w:rsidP="000227F6">
            <w:pPr>
              <w:rPr>
                <w:sz w:val="20"/>
                <w:szCs w:val="20"/>
              </w:rPr>
            </w:pPr>
            <w:r w:rsidRPr="00782ABD">
              <w:rPr>
                <w:sz w:val="20"/>
                <w:szCs w:val="20"/>
              </w:rPr>
              <w:t>2001</w:t>
            </w:r>
            <w:r w:rsidR="007809F8" w:rsidRPr="00782ABD">
              <w:rPr>
                <w:sz w:val="20"/>
                <w:szCs w:val="20"/>
                <w:vertAlign w:val="superscript"/>
              </w:rPr>
              <w:t xml:space="preserve"> </w:t>
            </w:r>
          </w:p>
        </w:tc>
        <w:tc>
          <w:tcPr>
            <w:tcW w:w="1092" w:type="dxa"/>
            <w:shd w:val="clear" w:color="auto" w:fill="DEEAF6" w:themeFill="accent1" w:themeFillTint="33"/>
          </w:tcPr>
          <w:p w14:paraId="1E150710" w14:textId="0A67761A" w:rsidR="007809F8" w:rsidRPr="00782ABD" w:rsidRDefault="001E2B99" w:rsidP="000227F6">
            <w:pPr>
              <w:rPr>
                <w:sz w:val="20"/>
                <w:szCs w:val="20"/>
              </w:rPr>
            </w:pPr>
            <w:r>
              <w:rPr>
                <w:sz w:val="20"/>
                <w:szCs w:val="20"/>
              </w:rPr>
              <w:t>$342,040</w:t>
            </w:r>
          </w:p>
        </w:tc>
        <w:tc>
          <w:tcPr>
            <w:tcW w:w="1114" w:type="dxa"/>
            <w:shd w:val="clear" w:color="auto" w:fill="DEEAF6" w:themeFill="accent1" w:themeFillTint="33"/>
          </w:tcPr>
          <w:p w14:paraId="27BCB6B9" w14:textId="0D1E5A93" w:rsidR="007809F8" w:rsidRPr="00782ABD" w:rsidRDefault="001E2B99" w:rsidP="001E2B99">
            <w:pPr>
              <w:jc w:val="center"/>
              <w:rPr>
                <w:sz w:val="20"/>
                <w:szCs w:val="20"/>
              </w:rPr>
            </w:pPr>
            <w:r>
              <w:rPr>
                <w:sz w:val="20"/>
                <w:szCs w:val="20"/>
              </w:rPr>
              <w:t>$0.06</w:t>
            </w:r>
          </w:p>
        </w:tc>
        <w:tc>
          <w:tcPr>
            <w:tcW w:w="1801" w:type="dxa"/>
            <w:shd w:val="clear" w:color="auto" w:fill="DEEAF6" w:themeFill="accent1" w:themeFillTint="33"/>
          </w:tcPr>
          <w:p w14:paraId="0DBA9CBE" w14:textId="1CCC3815" w:rsidR="007809F8" w:rsidRPr="00782ABD" w:rsidRDefault="001E2B99" w:rsidP="000227F6">
            <w:pPr>
              <w:rPr>
                <w:sz w:val="20"/>
                <w:szCs w:val="20"/>
              </w:rPr>
            </w:pPr>
            <w:r>
              <w:rPr>
                <w:sz w:val="20"/>
                <w:szCs w:val="20"/>
              </w:rPr>
              <w:t>$5,700,667</w:t>
            </w:r>
          </w:p>
        </w:tc>
      </w:tr>
      <w:tr w:rsidR="007809F8" w:rsidRPr="00D1706B" w14:paraId="732CA88F" w14:textId="77777777" w:rsidTr="00283E04">
        <w:trPr>
          <w:jc w:val="center"/>
        </w:trPr>
        <w:tc>
          <w:tcPr>
            <w:tcW w:w="985" w:type="dxa"/>
            <w:shd w:val="clear" w:color="auto" w:fill="DEEAF6" w:themeFill="accent1" w:themeFillTint="33"/>
          </w:tcPr>
          <w:p w14:paraId="098952EE" w14:textId="2B493737" w:rsidR="007809F8" w:rsidRPr="00782ABD" w:rsidRDefault="0070447E" w:rsidP="000227F6">
            <w:pPr>
              <w:rPr>
                <w:sz w:val="20"/>
                <w:szCs w:val="20"/>
              </w:rPr>
            </w:pPr>
            <w:r w:rsidRPr="00782ABD">
              <w:rPr>
                <w:sz w:val="20"/>
                <w:szCs w:val="20"/>
              </w:rPr>
              <w:t>2002</w:t>
            </w:r>
            <w:r w:rsidR="007809F8" w:rsidRPr="00782ABD">
              <w:rPr>
                <w:sz w:val="20"/>
                <w:szCs w:val="20"/>
                <w:vertAlign w:val="superscript"/>
              </w:rPr>
              <w:t xml:space="preserve"> </w:t>
            </w:r>
          </w:p>
        </w:tc>
        <w:tc>
          <w:tcPr>
            <w:tcW w:w="1092" w:type="dxa"/>
            <w:shd w:val="clear" w:color="auto" w:fill="DEEAF6" w:themeFill="accent1" w:themeFillTint="33"/>
          </w:tcPr>
          <w:p w14:paraId="743F29E2" w14:textId="11357EEF" w:rsidR="007809F8" w:rsidRPr="00782ABD" w:rsidRDefault="001E2B99" w:rsidP="000227F6">
            <w:pPr>
              <w:rPr>
                <w:sz w:val="20"/>
                <w:szCs w:val="20"/>
              </w:rPr>
            </w:pPr>
            <w:r>
              <w:rPr>
                <w:sz w:val="20"/>
                <w:szCs w:val="20"/>
              </w:rPr>
              <w:t>$360,060</w:t>
            </w:r>
          </w:p>
        </w:tc>
        <w:tc>
          <w:tcPr>
            <w:tcW w:w="1114" w:type="dxa"/>
            <w:shd w:val="clear" w:color="auto" w:fill="DEEAF6" w:themeFill="accent1" w:themeFillTint="33"/>
          </w:tcPr>
          <w:p w14:paraId="3636B07F" w14:textId="60856C5A" w:rsidR="007809F8" w:rsidRPr="00782ABD" w:rsidRDefault="001E2B99" w:rsidP="001E2B99">
            <w:pPr>
              <w:jc w:val="center"/>
              <w:rPr>
                <w:sz w:val="20"/>
                <w:szCs w:val="20"/>
              </w:rPr>
            </w:pPr>
            <w:r>
              <w:rPr>
                <w:sz w:val="20"/>
                <w:szCs w:val="20"/>
              </w:rPr>
              <w:t>$0.06</w:t>
            </w:r>
          </w:p>
        </w:tc>
        <w:tc>
          <w:tcPr>
            <w:tcW w:w="1801" w:type="dxa"/>
            <w:shd w:val="clear" w:color="auto" w:fill="DEEAF6" w:themeFill="accent1" w:themeFillTint="33"/>
          </w:tcPr>
          <w:p w14:paraId="6B1DD977" w14:textId="1C6967BE" w:rsidR="007809F8" w:rsidRPr="00782ABD" w:rsidRDefault="001E2B99" w:rsidP="000227F6">
            <w:pPr>
              <w:rPr>
                <w:sz w:val="20"/>
                <w:szCs w:val="20"/>
              </w:rPr>
            </w:pPr>
            <w:r>
              <w:rPr>
                <w:sz w:val="20"/>
                <w:szCs w:val="20"/>
              </w:rPr>
              <w:t>$6,001,000</w:t>
            </w:r>
          </w:p>
        </w:tc>
      </w:tr>
      <w:tr w:rsidR="007809F8" w:rsidRPr="00D1706B" w14:paraId="4FE2B80C" w14:textId="77777777" w:rsidTr="00283E04">
        <w:trPr>
          <w:jc w:val="center"/>
        </w:trPr>
        <w:tc>
          <w:tcPr>
            <w:tcW w:w="985" w:type="dxa"/>
            <w:shd w:val="clear" w:color="auto" w:fill="DEEAF6" w:themeFill="accent1" w:themeFillTint="33"/>
          </w:tcPr>
          <w:p w14:paraId="134B5962" w14:textId="32D7F54D" w:rsidR="007809F8" w:rsidRPr="00782ABD" w:rsidRDefault="0070447E" w:rsidP="000227F6">
            <w:pPr>
              <w:rPr>
                <w:sz w:val="20"/>
                <w:szCs w:val="20"/>
              </w:rPr>
            </w:pPr>
            <w:r w:rsidRPr="00782ABD">
              <w:rPr>
                <w:sz w:val="20"/>
                <w:szCs w:val="20"/>
              </w:rPr>
              <w:t>2003</w:t>
            </w:r>
            <w:r w:rsidR="007809F8" w:rsidRPr="00782ABD">
              <w:rPr>
                <w:sz w:val="20"/>
                <w:szCs w:val="20"/>
                <w:vertAlign w:val="superscript"/>
              </w:rPr>
              <w:t xml:space="preserve"> </w:t>
            </w:r>
          </w:p>
        </w:tc>
        <w:tc>
          <w:tcPr>
            <w:tcW w:w="1092" w:type="dxa"/>
            <w:tcBorders>
              <w:bottom w:val="single" w:sz="4" w:space="0" w:color="auto"/>
            </w:tcBorders>
            <w:shd w:val="clear" w:color="auto" w:fill="DEEAF6" w:themeFill="accent1" w:themeFillTint="33"/>
          </w:tcPr>
          <w:p w14:paraId="4CB0B993" w14:textId="6F48DE0C" w:rsidR="007809F8" w:rsidRPr="00782ABD" w:rsidRDefault="001E2B99" w:rsidP="000227F6">
            <w:pPr>
              <w:rPr>
                <w:sz w:val="20"/>
                <w:szCs w:val="20"/>
              </w:rPr>
            </w:pPr>
            <w:r>
              <w:rPr>
                <w:sz w:val="20"/>
                <w:szCs w:val="20"/>
              </w:rPr>
              <w:t>$378,080</w:t>
            </w:r>
          </w:p>
        </w:tc>
        <w:tc>
          <w:tcPr>
            <w:tcW w:w="1114" w:type="dxa"/>
            <w:tcBorders>
              <w:bottom w:val="single" w:sz="4" w:space="0" w:color="auto"/>
            </w:tcBorders>
            <w:shd w:val="clear" w:color="auto" w:fill="DEEAF6" w:themeFill="accent1" w:themeFillTint="33"/>
          </w:tcPr>
          <w:p w14:paraId="32CC265A" w14:textId="799AA650" w:rsidR="007809F8" w:rsidRPr="00782ABD" w:rsidRDefault="001E2B99" w:rsidP="001E2B99">
            <w:pPr>
              <w:jc w:val="center"/>
              <w:rPr>
                <w:sz w:val="20"/>
                <w:szCs w:val="20"/>
              </w:rPr>
            </w:pPr>
            <w:r>
              <w:rPr>
                <w:sz w:val="20"/>
                <w:szCs w:val="20"/>
              </w:rPr>
              <w:t>$0.06</w:t>
            </w:r>
          </w:p>
        </w:tc>
        <w:tc>
          <w:tcPr>
            <w:tcW w:w="1801" w:type="dxa"/>
            <w:tcBorders>
              <w:bottom w:val="single" w:sz="4" w:space="0" w:color="auto"/>
            </w:tcBorders>
            <w:shd w:val="clear" w:color="auto" w:fill="DEEAF6" w:themeFill="accent1" w:themeFillTint="33"/>
          </w:tcPr>
          <w:p w14:paraId="5CE81E64" w14:textId="439F22E9" w:rsidR="007809F8" w:rsidRPr="00782ABD" w:rsidRDefault="001E2B99" w:rsidP="000227F6">
            <w:pPr>
              <w:rPr>
                <w:sz w:val="20"/>
                <w:szCs w:val="20"/>
              </w:rPr>
            </w:pPr>
            <w:r>
              <w:rPr>
                <w:sz w:val="20"/>
                <w:szCs w:val="20"/>
              </w:rPr>
              <w:t>$6,301,000</w:t>
            </w:r>
          </w:p>
        </w:tc>
      </w:tr>
    </w:tbl>
    <w:p w14:paraId="7DBA49A5" w14:textId="77777777" w:rsidR="007809F8" w:rsidRDefault="007809F8" w:rsidP="000227F6"/>
    <w:p w14:paraId="6EA84549" w14:textId="037DD9A8" w:rsidR="007809F8" w:rsidRPr="0011320F" w:rsidRDefault="007809F8" w:rsidP="0011320F">
      <w:pPr>
        <w:ind w:left="2340" w:right="2250"/>
        <w:rPr>
          <w:sz w:val="18"/>
          <w:szCs w:val="18"/>
        </w:rPr>
      </w:pPr>
      <w:r w:rsidRPr="0011320F">
        <w:rPr>
          <w:sz w:val="18"/>
          <w:szCs w:val="18"/>
          <w:vertAlign w:val="superscript"/>
        </w:rPr>
        <w:t>1</w:t>
      </w:r>
      <w:r w:rsidRPr="0011320F">
        <w:rPr>
          <w:sz w:val="18"/>
          <w:szCs w:val="18"/>
        </w:rPr>
        <w:t xml:space="preserve"> Sales tax information and the tax rate per gallon came from Manson research </w:t>
      </w:r>
      <w:r w:rsidR="00581A65">
        <w:rPr>
          <w:sz w:val="18"/>
          <w:szCs w:val="18"/>
        </w:rPr>
        <w:t>Study</w:t>
      </w:r>
      <w:r w:rsidRPr="0011320F">
        <w:rPr>
          <w:sz w:val="18"/>
          <w:szCs w:val="18"/>
        </w:rPr>
        <w:t xml:space="preserve"> </w:t>
      </w:r>
      <w:r w:rsidR="001E2B99">
        <w:rPr>
          <w:sz w:val="18"/>
          <w:szCs w:val="18"/>
        </w:rPr>
        <w:t>E</w:t>
      </w:r>
      <w:r w:rsidRPr="0011320F">
        <w:rPr>
          <w:sz w:val="18"/>
          <w:szCs w:val="18"/>
        </w:rPr>
        <w:t>.</w:t>
      </w:r>
    </w:p>
    <w:p w14:paraId="4876F595" w14:textId="275D05E4" w:rsidR="007809F8" w:rsidRPr="0011320F" w:rsidRDefault="007809F8" w:rsidP="0011320F">
      <w:pPr>
        <w:ind w:left="2340" w:right="2250"/>
        <w:rPr>
          <w:sz w:val="18"/>
          <w:szCs w:val="18"/>
        </w:rPr>
      </w:pPr>
      <w:r w:rsidRPr="0011320F">
        <w:rPr>
          <w:sz w:val="18"/>
          <w:szCs w:val="18"/>
          <w:vertAlign w:val="superscript"/>
        </w:rPr>
        <w:t>2</w:t>
      </w:r>
      <w:r w:rsidRPr="0011320F">
        <w:rPr>
          <w:sz w:val="18"/>
          <w:szCs w:val="18"/>
        </w:rPr>
        <w:t xml:space="preserve"> </w:t>
      </w:r>
      <w:r w:rsidR="003D3955" w:rsidRPr="003D3955">
        <w:rPr>
          <w:sz w:val="18"/>
          <w:szCs w:val="18"/>
        </w:rPr>
        <w:t>The estimated taxes for the years 2000-2003 are based on linear projections of the prior year's taxes, as shown in Sheet 3 of the Excel spreadsheet</w:t>
      </w:r>
      <w:r w:rsidR="003D3955">
        <w:rPr>
          <w:sz w:val="18"/>
          <w:szCs w:val="18"/>
        </w:rPr>
        <w:t>.</w:t>
      </w:r>
    </w:p>
    <w:p w14:paraId="16B83CE8" w14:textId="77777777" w:rsidR="007809F8" w:rsidRDefault="007809F8" w:rsidP="000227F6">
      <w:r>
        <w:br w:type="page"/>
      </w:r>
    </w:p>
    <w:p w14:paraId="08F5E5AF" w14:textId="3F7AF383" w:rsidR="007809F8" w:rsidRDefault="00D731DF" w:rsidP="0042232C">
      <w:pPr>
        <w:jc w:val="center"/>
      </w:pPr>
      <w:r>
        <w:lastRenderedPageBreak/>
        <w:t xml:space="preserve">Table </w:t>
      </w:r>
      <w:r w:rsidR="00967EE2">
        <w:t>2</w:t>
      </w:r>
      <w:r w:rsidR="0042232C">
        <w:t xml:space="preserve">. </w:t>
      </w:r>
      <w:r w:rsidR="007809F8">
        <w:t xml:space="preserve">Consumption and </w:t>
      </w:r>
      <w:r w:rsidR="00930F8A">
        <w:t>Estimated Population</w:t>
      </w:r>
      <w:r w:rsidR="0042232C">
        <w:t xml:space="preserve"> </w:t>
      </w:r>
      <w:r w:rsidR="001A60B6">
        <w:t>f</w:t>
      </w:r>
      <w:r w:rsidR="007809F8">
        <w:t>or Market Area</w:t>
      </w:r>
      <w:r w:rsidR="007809F8" w:rsidRPr="00502BD4">
        <w:rPr>
          <w:vertAlign w:val="superscript"/>
        </w:rPr>
        <w:t xml:space="preserve"> 1</w:t>
      </w:r>
    </w:p>
    <w:p w14:paraId="5C7931E8" w14:textId="77777777" w:rsidR="007809F8" w:rsidRDefault="007809F8" w:rsidP="000227F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
        <w:gridCol w:w="1351"/>
        <w:gridCol w:w="1631"/>
        <w:gridCol w:w="1357"/>
      </w:tblGrid>
      <w:tr w:rsidR="00D843A7" w14:paraId="7D4D7071" w14:textId="77777777" w:rsidTr="00985019">
        <w:trPr>
          <w:trHeight w:val="460"/>
          <w:jc w:val="center"/>
        </w:trPr>
        <w:tc>
          <w:tcPr>
            <w:tcW w:w="928" w:type="dxa"/>
            <w:tcBorders>
              <w:bottom w:val="single" w:sz="4" w:space="0" w:color="auto"/>
            </w:tcBorders>
            <w:shd w:val="clear" w:color="auto" w:fill="BDD6EE" w:themeFill="accent1" w:themeFillTint="66"/>
          </w:tcPr>
          <w:p w14:paraId="2FB35B1C" w14:textId="77777777" w:rsidR="00D843A7" w:rsidRPr="001A60B6" w:rsidRDefault="00D843A7" w:rsidP="006F60F5">
            <w:pPr>
              <w:jc w:val="center"/>
              <w:rPr>
                <w:sz w:val="20"/>
                <w:szCs w:val="20"/>
              </w:rPr>
            </w:pPr>
          </w:p>
        </w:tc>
        <w:tc>
          <w:tcPr>
            <w:tcW w:w="1351" w:type="dxa"/>
            <w:tcBorders>
              <w:bottom w:val="single" w:sz="4" w:space="0" w:color="auto"/>
            </w:tcBorders>
            <w:shd w:val="clear" w:color="auto" w:fill="BDD6EE" w:themeFill="accent1" w:themeFillTint="66"/>
          </w:tcPr>
          <w:p w14:paraId="46023B95" w14:textId="77777777" w:rsidR="00D843A7" w:rsidRPr="001A60B6" w:rsidRDefault="00D843A7" w:rsidP="006F60F5">
            <w:pPr>
              <w:jc w:val="center"/>
              <w:rPr>
                <w:sz w:val="20"/>
                <w:szCs w:val="20"/>
              </w:rPr>
            </w:pPr>
            <w:r w:rsidRPr="001A60B6">
              <w:rPr>
                <w:sz w:val="20"/>
                <w:szCs w:val="20"/>
              </w:rPr>
              <w:t>2-County</w:t>
            </w:r>
          </w:p>
          <w:p w14:paraId="0EBAFF97" w14:textId="0F1D5B1E" w:rsidR="00D843A7" w:rsidRPr="001A60B6" w:rsidRDefault="00D843A7" w:rsidP="006F60F5">
            <w:pPr>
              <w:jc w:val="center"/>
              <w:rPr>
                <w:sz w:val="20"/>
                <w:szCs w:val="20"/>
              </w:rPr>
            </w:pPr>
            <w:r w:rsidRPr="001A60B6">
              <w:rPr>
                <w:sz w:val="20"/>
                <w:szCs w:val="20"/>
              </w:rPr>
              <w:t>Population</w:t>
            </w:r>
            <w:r w:rsidR="00704275" w:rsidRPr="001A60B6">
              <w:rPr>
                <w:sz w:val="20"/>
                <w:szCs w:val="20"/>
                <w:vertAlign w:val="superscript"/>
              </w:rPr>
              <w:t>2</w:t>
            </w:r>
          </w:p>
        </w:tc>
        <w:tc>
          <w:tcPr>
            <w:tcW w:w="1631" w:type="dxa"/>
            <w:tcBorders>
              <w:bottom w:val="single" w:sz="4" w:space="0" w:color="auto"/>
            </w:tcBorders>
            <w:shd w:val="clear" w:color="auto" w:fill="BDD6EE" w:themeFill="accent1" w:themeFillTint="66"/>
          </w:tcPr>
          <w:p w14:paraId="7F448C1F" w14:textId="77777777" w:rsidR="00D843A7" w:rsidRPr="001A60B6" w:rsidRDefault="00D843A7" w:rsidP="006F60F5">
            <w:pPr>
              <w:jc w:val="center"/>
              <w:rPr>
                <w:sz w:val="20"/>
                <w:szCs w:val="20"/>
              </w:rPr>
            </w:pPr>
            <w:r w:rsidRPr="001A60B6">
              <w:rPr>
                <w:sz w:val="20"/>
                <w:szCs w:val="20"/>
              </w:rPr>
              <w:t>Average</w:t>
            </w:r>
          </w:p>
          <w:p w14:paraId="36EC0319" w14:textId="70514806" w:rsidR="00D843A7" w:rsidRPr="001A60B6" w:rsidRDefault="00D843A7" w:rsidP="006F60F5">
            <w:pPr>
              <w:jc w:val="center"/>
              <w:rPr>
                <w:sz w:val="20"/>
                <w:szCs w:val="20"/>
              </w:rPr>
            </w:pPr>
            <w:r w:rsidRPr="001A60B6">
              <w:rPr>
                <w:sz w:val="20"/>
                <w:szCs w:val="20"/>
              </w:rPr>
              <w:t>Consumption</w:t>
            </w:r>
            <w:r w:rsidR="00704275" w:rsidRPr="001A60B6">
              <w:rPr>
                <w:sz w:val="20"/>
                <w:szCs w:val="20"/>
                <w:vertAlign w:val="superscript"/>
              </w:rPr>
              <w:t>3</w:t>
            </w:r>
          </w:p>
        </w:tc>
        <w:tc>
          <w:tcPr>
            <w:tcW w:w="1357" w:type="dxa"/>
            <w:tcBorders>
              <w:bottom w:val="single" w:sz="4" w:space="0" w:color="auto"/>
            </w:tcBorders>
            <w:shd w:val="clear" w:color="auto" w:fill="BDD6EE" w:themeFill="accent1" w:themeFillTint="66"/>
          </w:tcPr>
          <w:p w14:paraId="18C8D797" w14:textId="77777777" w:rsidR="00D843A7" w:rsidRPr="001A60B6" w:rsidRDefault="00D843A7" w:rsidP="006F60F5">
            <w:pPr>
              <w:jc w:val="center"/>
              <w:rPr>
                <w:sz w:val="20"/>
                <w:szCs w:val="20"/>
              </w:rPr>
            </w:pPr>
            <w:r w:rsidRPr="001A60B6">
              <w:rPr>
                <w:sz w:val="20"/>
                <w:szCs w:val="20"/>
              </w:rPr>
              <w:t>Market</w:t>
            </w:r>
          </w:p>
          <w:p w14:paraId="173F9540" w14:textId="188706D2" w:rsidR="00D843A7" w:rsidRPr="001A60B6" w:rsidRDefault="00D843A7" w:rsidP="006F60F5">
            <w:pPr>
              <w:jc w:val="center"/>
              <w:rPr>
                <w:sz w:val="20"/>
                <w:szCs w:val="20"/>
              </w:rPr>
            </w:pPr>
            <w:r w:rsidRPr="001A60B6">
              <w:rPr>
                <w:sz w:val="20"/>
                <w:szCs w:val="20"/>
              </w:rPr>
              <w:t>Potential</w:t>
            </w:r>
            <w:r w:rsidRPr="001A60B6">
              <w:rPr>
                <w:sz w:val="20"/>
                <w:szCs w:val="20"/>
                <w:vertAlign w:val="superscript"/>
              </w:rPr>
              <w:t xml:space="preserve"> </w:t>
            </w:r>
          </w:p>
        </w:tc>
      </w:tr>
      <w:tr w:rsidR="007809F8" w14:paraId="4F27FD49" w14:textId="77777777" w:rsidTr="001E60C1">
        <w:trPr>
          <w:jc w:val="center"/>
        </w:trPr>
        <w:tc>
          <w:tcPr>
            <w:tcW w:w="928" w:type="dxa"/>
            <w:tcBorders>
              <w:top w:val="single" w:sz="4" w:space="0" w:color="auto"/>
            </w:tcBorders>
            <w:shd w:val="clear" w:color="auto" w:fill="F2F2F2" w:themeFill="background1" w:themeFillShade="F2"/>
          </w:tcPr>
          <w:p w14:paraId="5047CE82" w14:textId="0EAAC214" w:rsidR="007809F8" w:rsidRPr="001A60B6" w:rsidRDefault="00BF3826" w:rsidP="000227F6">
            <w:pPr>
              <w:rPr>
                <w:sz w:val="20"/>
                <w:szCs w:val="20"/>
              </w:rPr>
            </w:pPr>
            <w:r w:rsidRPr="001A60B6">
              <w:rPr>
                <w:sz w:val="20"/>
                <w:szCs w:val="20"/>
              </w:rPr>
              <w:t>2001</w:t>
            </w:r>
          </w:p>
        </w:tc>
        <w:tc>
          <w:tcPr>
            <w:tcW w:w="1351" w:type="dxa"/>
            <w:tcBorders>
              <w:top w:val="single" w:sz="4" w:space="0" w:color="auto"/>
            </w:tcBorders>
            <w:shd w:val="clear" w:color="auto" w:fill="F2F2F2" w:themeFill="background1" w:themeFillShade="F2"/>
          </w:tcPr>
          <w:p w14:paraId="6DCA3AB9" w14:textId="7BF57381" w:rsidR="007809F8" w:rsidRPr="001A60B6" w:rsidRDefault="00623287" w:rsidP="00623287">
            <w:pPr>
              <w:jc w:val="center"/>
              <w:rPr>
                <w:sz w:val="20"/>
                <w:szCs w:val="20"/>
              </w:rPr>
            </w:pPr>
            <w:r>
              <w:rPr>
                <w:sz w:val="20"/>
                <w:szCs w:val="20"/>
              </w:rPr>
              <w:t>162,250</w:t>
            </w:r>
          </w:p>
        </w:tc>
        <w:tc>
          <w:tcPr>
            <w:tcW w:w="1631" w:type="dxa"/>
            <w:tcBorders>
              <w:top w:val="single" w:sz="4" w:space="0" w:color="auto"/>
            </w:tcBorders>
            <w:shd w:val="clear" w:color="auto" w:fill="F2F2F2" w:themeFill="background1" w:themeFillShade="F2"/>
          </w:tcPr>
          <w:p w14:paraId="023BCF76" w14:textId="56D54E45" w:rsidR="007809F8" w:rsidRPr="001A60B6" w:rsidRDefault="00623287" w:rsidP="00623287">
            <w:pPr>
              <w:jc w:val="center"/>
              <w:rPr>
                <w:sz w:val="20"/>
                <w:szCs w:val="20"/>
              </w:rPr>
            </w:pPr>
            <w:r>
              <w:rPr>
                <w:sz w:val="20"/>
                <w:szCs w:val="20"/>
              </w:rPr>
              <w:t>41.9</w:t>
            </w:r>
          </w:p>
        </w:tc>
        <w:tc>
          <w:tcPr>
            <w:tcW w:w="1357" w:type="dxa"/>
            <w:tcBorders>
              <w:top w:val="single" w:sz="4" w:space="0" w:color="auto"/>
            </w:tcBorders>
            <w:shd w:val="clear" w:color="auto" w:fill="DEEAF6" w:themeFill="accent1" w:themeFillTint="33"/>
          </w:tcPr>
          <w:p w14:paraId="4B9285E8" w14:textId="55324A4F" w:rsidR="007809F8" w:rsidRPr="001A60B6" w:rsidRDefault="00623287" w:rsidP="000227F6">
            <w:pPr>
              <w:rPr>
                <w:sz w:val="20"/>
                <w:szCs w:val="20"/>
              </w:rPr>
            </w:pPr>
            <w:r>
              <w:rPr>
                <w:sz w:val="20"/>
                <w:szCs w:val="20"/>
              </w:rPr>
              <w:t>6,798,275</w:t>
            </w:r>
          </w:p>
        </w:tc>
      </w:tr>
      <w:tr w:rsidR="007809F8" w14:paraId="4562C44E" w14:textId="77777777" w:rsidTr="001E60C1">
        <w:trPr>
          <w:jc w:val="center"/>
        </w:trPr>
        <w:tc>
          <w:tcPr>
            <w:tcW w:w="928" w:type="dxa"/>
            <w:shd w:val="clear" w:color="auto" w:fill="F2F2F2" w:themeFill="background1" w:themeFillShade="F2"/>
          </w:tcPr>
          <w:p w14:paraId="4C2CA87E" w14:textId="2A00556D" w:rsidR="007809F8" w:rsidRPr="001A60B6" w:rsidRDefault="00BF3826" w:rsidP="000227F6">
            <w:pPr>
              <w:rPr>
                <w:sz w:val="20"/>
                <w:szCs w:val="20"/>
              </w:rPr>
            </w:pPr>
            <w:r w:rsidRPr="001A60B6">
              <w:rPr>
                <w:sz w:val="20"/>
                <w:szCs w:val="20"/>
              </w:rPr>
              <w:t>2002</w:t>
            </w:r>
          </w:p>
        </w:tc>
        <w:tc>
          <w:tcPr>
            <w:tcW w:w="1351" w:type="dxa"/>
            <w:shd w:val="clear" w:color="auto" w:fill="F2F2F2" w:themeFill="background1" w:themeFillShade="F2"/>
          </w:tcPr>
          <w:p w14:paraId="6848D4D8" w14:textId="4BD156A6" w:rsidR="007809F8" w:rsidRPr="001A60B6" w:rsidRDefault="00623287" w:rsidP="00623287">
            <w:pPr>
              <w:jc w:val="center"/>
              <w:rPr>
                <w:sz w:val="20"/>
                <w:szCs w:val="20"/>
              </w:rPr>
            </w:pPr>
            <w:r>
              <w:rPr>
                <w:sz w:val="20"/>
                <w:szCs w:val="20"/>
              </w:rPr>
              <w:t>164,000</w:t>
            </w:r>
          </w:p>
        </w:tc>
        <w:tc>
          <w:tcPr>
            <w:tcW w:w="1631" w:type="dxa"/>
            <w:shd w:val="clear" w:color="auto" w:fill="F2F2F2" w:themeFill="background1" w:themeFillShade="F2"/>
          </w:tcPr>
          <w:p w14:paraId="4D1A51F6" w14:textId="5A1B70D2" w:rsidR="007809F8" w:rsidRPr="001A60B6" w:rsidRDefault="00623287" w:rsidP="00623287">
            <w:pPr>
              <w:jc w:val="center"/>
              <w:rPr>
                <w:sz w:val="20"/>
                <w:szCs w:val="20"/>
              </w:rPr>
            </w:pPr>
            <w:r>
              <w:rPr>
                <w:sz w:val="20"/>
                <w:szCs w:val="20"/>
              </w:rPr>
              <w:t>46.5</w:t>
            </w:r>
          </w:p>
        </w:tc>
        <w:tc>
          <w:tcPr>
            <w:tcW w:w="1357" w:type="dxa"/>
            <w:shd w:val="clear" w:color="auto" w:fill="DEEAF6" w:themeFill="accent1" w:themeFillTint="33"/>
          </w:tcPr>
          <w:p w14:paraId="05C72F00" w14:textId="4AC83450" w:rsidR="007809F8" w:rsidRPr="001A60B6" w:rsidRDefault="00623287" w:rsidP="000227F6">
            <w:pPr>
              <w:rPr>
                <w:sz w:val="20"/>
                <w:szCs w:val="20"/>
              </w:rPr>
            </w:pPr>
            <w:r>
              <w:rPr>
                <w:sz w:val="20"/>
                <w:szCs w:val="20"/>
              </w:rPr>
              <w:t>7,626,000</w:t>
            </w:r>
          </w:p>
        </w:tc>
      </w:tr>
      <w:tr w:rsidR="007809F8" w14:paraId="50E5B7AA" w14:textId="77777777" w:rsidTr="001E60C1">
        <w:trPr>
          <w:jc w:val="center"/>
        </w:trPr>
        <w:tc>
          <w:tcPr>
            <w:tcW w:w="928" w:type="dxa"/>
            <w:tcBorders>
              <w:bottom w:val="single" w:sz="4" w:space="0" w:color="auto"/>
            </w:tcBorders>
            <w:shd w:val="clear" w:color="auto" w:fill="F2F2F2" w:themeFill="background1" w:themeFillShade="F2"/>
          </w:tcPr>
          <w:p w14:paraId="7911ABBD" w14:textId="008E5B4D" w:rsidR="007809F8" w:rsidRPr="001A60B6" w:rsidRDefault="00BF3826" w:rsidP="000227F6">
            <w:pPr>
              <w:rPr>
                <w:sz w:val="20"/>
                <w:szCs w:val="20"/>
              </w:rPr>
            </w:pPr>
            <w:r w:rsidRPr="001A60B6">
              <w:rPr>
                <w:sz w:val="20"/>
                <w:szCs w:val="20"/>
              </w:rPr>
              <w:t>2003</w:t>
            </w:r>
          </w:p>
        </w:tc>
        <w:tc>
          <w:tcPr>
            <w:tcW w:w="1351" w:type="dxa"/>
            <w:tcBorders>
              <w:bottom w:val="single" w:sz="4" w:space="0" w:color="auto"/>
            </w:tcBorders>
            <w:shd w:val="clear" w:color="auto" w:fill="F2F2F2" w:themeFill="background1" w:themeFillShade="F2"/>
          </w:tcPr>
          <w:p w14:paraId="35F675D6" w14:textId="2EA06E6D" w:rsidR="007809F8" w:rsidRPr="001A60B6" w:rsidRDefault="00623287" w:rsidP="00623287">
            <w:pPr>
              <w:jc w:val="center"/>
              <w:rPr>
                <w:sz w:val="20"/>
                <w:szCs w:val="20"/>
              </w:rPr>
            </w:pPr>
            <w:r>
              <w:rPr>
                <w:sz w:val="20"/>
                <w:szCs w:val="20"/>
              </w:rPr>
              <w:t>166,000</w:t>
            </w:r>
          </w:p>
        </w:tc>
        <w:tc>
          <w:tcPr>
            <w:tcW w:w="1631" w:type="dxa"/>
            <w:tcBorders>
              <w:bottom w:val="single" w:sz="4" w:space="0" w:color="auto"/>
            </w:tcBorders>
            <w:shd w:val="clear" w:color="auto" w:fill="F2F2F2" w:themeFill="background1" w:themeFillShade="F2"/>
          </w:tcPr>
          <w:p w14:paraId="4B13561A" w14:textId="52BBC5C9" w:rsidR="007809F8" w:rsidRPr="001A60B6" w:rsidRDefault="00623287" w:rsidP="00623287">
            <w:pPr>
              <w:jc w:val="center"/>
              <w:rPr>
                <w:sz w:val="20"/>
                <w:szCs w:val="20"/>
              </w:rPr>
            </w:pPr>
            <w:r>
              <w:rPr>
                <w:sz w:val="20"/>
                <w:szCs w:val="20"/>
              </w:rPr>
              <w:t>46.78</w:t>
            </w:r>
          </w:p>
        </w:tc>
        <w:tc>
          <w:tcPr>
            <w:tcW w:w="1357" w:type="dxa"/>
            <w:tcBorders>
              <w:bottom w:val="single" w:sz="4" w:space="0" w:color="auto"/>
            </w:tcBorders>
            <w:shd w:val="clear" w:color="auto" w:fill="DEEAF6" w:themeFill="accent1" w:themeFillTint="33"/>
          </w:tcPr>
          <w:p w14:paraId="3FDB0899" w14:textId="55679B5F" w:rsidR="007809F8" w:rsidRPr="001A60B6" w:rsidRDefault="00623287" w:rsidP="000227F6">
            <w:pPr>
              <w:rPr>
                <w:sz w:val="20"/>
                <w:szCs w:val="20"/>
              </w:rPr>
            </w:pPr>
            <w:r>
              <w:rPr>
                <w:sz w:val="20"/>
                <w:szCs w:val="20"/>
              </w:rPr>
              <w:t>7,767,819</w:t>
            </w:r>
          </w:p>
        </w:tc>
      </w:tr>
    </w:tbl>
    <w:p w14:paraId="4C8384A5" w14:textId="77777777" w:rsidR="007809F8" w:rsidRDefault="007809F8" w:rsidP="000227F6"/>
    <w:p w14:paraId="6C847F03" w14:textId="6A6F2495" w:rsidR="007809F8" w:rsidRPr="003D3955" w:rsidRDefault="007809F8" w:rsidP="003D3955">
      <w:pPr>
        <w:ind w:left="2070" w:right="1800"/>
        <w:rPr>
          <w:sz w:val="18"/>
          <w:szCs w:val="18"/>
          <w:vertAlign w:val="superscript"/>
        </w:rPr>
      </w:pPr>
      <w:r w:rsidRPr="006F60F5">
        <w:rPr>
          <w:sz w:val="18"/>
          <w:szCs w:val="18"/>
          <w:vertAlign w:val="superscript"/>
        </w:rPr>
        <w:t>1</w:t>
      </w:r>
      <w:r w:rsidRPr="006F60F5">
        <w:rPr>
          <w:sz w:val="18"/>
          <w:szCs w:val="18"/>
        </w:rPr>
        <w:t xml:space="preserve"> </w:t>
      </w:r>
      <w:r w:rsidR="003D3955" w:rsidRPr="003D3955">
        <w:rPr>
          <w:sz w:val="18"/>
          <w:szCs w:val="18"/>
        </w:rPr>
        <w:t>The data on average consumption is obtained from Manson Research Study A, while population estimates are obtained from Study B.</w:t>
      </w:r>
    </w:p>
    <w:p w14:paraId="32098476" w14:textId="0D0FC2B7" w:rsidR="007809F8" w:rsidRPr="006F60F5" w:rsidRDefault="007809F8" w:rsidP="003D3955">
      <w:pPr>
        <w:ind w:left="2070" w:right="1800"/>
        <w:rPr>
          <w:sz w:val="18"/>
          <w:szCs w:val="18"/>
        </w:rPr>
      </w:pPr>
      <w:r w:rsidRPr="006F60F5">
        <w:rPr>
          <w:sz w:val="18"/>
          <w:szCs w:val="18"/>
          <w:vertAlign w:val="superscript"/>
        </w:rPr>
        <w:t>2</w:t>
      </w:r>
      <w:r w:rsidRPr="006F60F5">
        <w:rPr>
          <w:sz w:val="18"/>
          <w:szCs w:val="18"/>
        </w:rPr>
        <w:t xml:space="preserve"> </w:t>
      </w:r>
      <w:r w:rsidR="003D3955" w:rsidRPr="003D3955">
        <w:rPr>
          <w:sz w:val="18"/>
          <w:szCs w:val="18"/>
        </w:rPr>
        <w:t>Population estimates for the years 2001 and 2003 are calculated by interpolating the data from the preceding and subsequent years, i.e., by adding and averaging the population data for 2000 and 2002, and for 2002 and 2003, respectively.</w:t>
      </w:r>
    </w:p>
    <w:p w14:paraId="66F0DBC0" w14:textId="77777777" w:rsidR="003D3955" w:rsidRPr="003D3955" w:rsidRDefault="007809F8" w:rsidP="003D3955">
      <w:pPr>
        <w:tabs>
          <w:tab w:val="num" w:pos="720"/>
        </w:tabs>
        <w:ind w:left="2070" w:right="1800"/>
        <w:rPr>
          <w:sz w:val="18"/>
          <w:szCs w:val="18"/>
        </w:rPr>
      </w:pPr>
      <w:r w:rsidRPr="006F60F5">
        <w:rPr>
          <w:sz w:val="18"/>
          <w:szCs w:val="18"/>
          <w:vertAlign w:val="superscript"/>
        </w:rPr>
        <w:t>3</w:t>
      </w:r>
      <w:r w:rsidRPr="006F60F5">
        <w:rPr>
          <w:sz w:val="18"/>
          <w:szCs w:val="18"/>
        </w:rPr>
        <w:t xml:space="preserve"> </w:t>
      </w:r>
      <w:r w:rsidR="003D3955" w:rsidRPr="003D3955">
        <w:rPr>
          <w:sz w:val="18"/>
          <w:szCs w:val="18"/>
        </w:rPr>
        <w:t>The estimated data on gallon consumption for the year 2003 is obtained by using a linear forecast based on the data from the years 1998 to 2002.</w:t>
      </w:r>
    </w:p>
    <w:p w14:paraId="322B6BC6" w14:textId="412B54C4" w:rsidR="003D3955" w:rsidRPr="003D3955" w:rsidRDefault="003D3955" w:rsidP="003D3955">
      <w:pPr>
        <w:ind w:left="2070" w:right="1800"/>
        <w:rPr>
          <w:sz w:val="18"/>
          <w:szCs w:val="18"/>
          <w:vertAlign w:val="superscript"/>
        </w:rPr>
      </w:pPr>
    </w:p>
    <w:p w14:paraId="0727C259" w14:textId="77777777" w:rsidR="003D3955" w:rsidRPr="006F60F5" w:rsidRDefault="003D3955" w:rsidP="003D3955">
      <w:pPr>
        <w:ind w:right="1800"/>
        <w:rPr>
          <w:sz w:val="18"/>
          <w:szCs w:val="18"/>
        </w:rPr>
      </w:pPr>
    </w:p>
    <w:p w14:paraId="46D25AA7" w14:textId="77777777" w:rsidR="007809F8" w:rsidRDefault="007809F8" w:rsidP="000227F6">
      <w:r>
        <w:br w:type="page"/>
      </w:r>
    </w:p>
    <w:p w14:paraId="68F4938D" w14:textId="6C40BAC6" w:rsidR="001F23CE" w:rsidRDefault="001F23CE" w:rsidP="00F62D10">
      <w:pPr>
        <w:jc w:val="center"/>
      </w:pPr>
      <w:r>
        <w:lastRenderedPageBreak/>
        <w:t>Table 3. Price and Contribution Projections</w:t>
      </w:r>
    </w:p>
    <w:p w14:paraId="09CD740C" w14:textId="77777777" w:rsidR="001F23CE" w:rsidRDefault="001F23CE" w:rsidP="001F23CE"/>
    <w:tbl>
      <w:tblPr>
        <w:tblStyle w:val="TableGrid"/>
        <w:tblW w:w="104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900"/>
        <w:gridCol w:w="1170"/>
        <w:gridCol w:w="1260"/>
        <w:gridCol w:w="1188"/>
        <w:gridCol w:w="1170"/>
        <w:gridCol w:w="1422"/>
        <w:gridCol w:w="1182"/>
        <w:gridCol w:w="6"/>
      </w:tblGrid>
      <w:tr w:rsidR="001F23CE" w14:paraId="7FBE4642" w14:textId="77777777" w:rsidTr="00AF4DA3">
        <w:trPr>
          <w:trHeight w:val="603"/>
          <w:jc w:val="center"/>
        </w:trPr>
        <w:tc>
          <w:tcPr>
            <w:tcW w:w="2160" w:type="dxa"/>
            <w:shd w:val="clear" w:color="auto" w:fill="F2F2F2" w:themeFill="background1" w:themeFillShade="F2"/>
            <w:vAlign w:val="bottom"/>
          </w:tcPr>
          <w:p w14:paraId="29E9B273" w14:textId="77777777" w:rsidR="001F23CE" w:rsidRPr="00267766" w:rsidRDefault="001F23CE" w:rsidP="00AF4DA3"/>
        </w:tc>
        <w:tc>
          <w:tcPr>
            <w:tcW w:w="900" w:type="dxa"/>
            <w:tcBorders>
              <w:right w:val="single" w:sz="4" w:space="0" w:color="auto"/>
            </w:tcBorders>
            <w:shd w:val="clear" w:color="auto" w:fill="833C0B" w:themeFill="accent2" w:themeFillShade="80"/>
            <w:vAlign w:val="bottom"/>
          </w:tcPr>
          <w:p w14:paraId="056FA133" w14:textId="77777777" w:rsidR="001F23CE" w:rsidRPr="00267766" w:rsidRDefault="001F23CE" w:rsidP="00AF4DA3"/>
        </w:tc>
        <w:tc>
          <w:tcPr>
            <w:tcW w:w="3618" w:type="dxa"/>
            <w:gridSpan w:val="3"/>
            <w:tcBorders>
              <w:left w:val="single" w:sz="4" w:space="0" w:color="auto"/>
              <w:right w:val="single" w:sz="4" w:space="0" w:color="auto"/>
            </w:tcBorders>
            <w:shd w:val="clear" w:color="auto" w:fill="1F4E79" w:themeFill="accent1" w:themeFillShade="80"/>
            <w:vAlign w:val="center"/>
          </w:tcPr>
          <w:p w14:paraId="2687D694" w14:textId="77777777" w:rsidR="001F23CE" w:rsidRPr="00D843A7" w:rsidRDefault="001F23CE" w:rsidP="00AF4DA3">
            <w:pPr>
              <w:jc w:val="center"/>
              <w:rPr>
                <w:color w:val="FFFFFF" w:themeColor="background1"/>
                <w:sz w:val="22"/>
                <w:szCs w:val="21"/>
              </w:rPr>
            </w:pPr>
            <w:r w:rsidRPr="00D843A7">
              <w:rPr>
                <w:color w:val="FFFFFF" w:themeColor="background1"/>
                <w:sz w:val="22"/>
                <w:szCs w:val="21"/>
              </w:rPr>
              <w:t>Optimistic</w:t>
            </w:r>
          </w:p>
          <w:p w14:paraId="443FB652" w14:textId="77777777" w:rsidR="001F23CE" w:rsidRPr="00D843A7" w:rsidRDefault="001F23CE" w:rsidP="00AF4DA3">
            <w:pPr>
              <w:jc w:val="center"/>
              <w:rPr>
                <w:color w:val="FFFFFF" w:themeColor="background1"/>
                <w:sz w:val="22"/>
                <w:szCs w:val="21"/>
              </w:rPr>
            </w:pPr>
            <w:r w:rsidRPr="00D843A7">
              <w:rPr>
                <w:color w:val="FFFFFF" w:themeColor="background1"/>
                <w:sz w:val="22"/>
                <w:szCs w:val="21"/>
              </w:rPr>
              <w:t>Premium (Michelob)</w:t>
            </w:r>
            <w:r w:rsidRPr="00D843A7">
              <w:rPr>
                <w:color w:val="FFFFFF" w:themeColor="background1"/>
                <w:sz w:val="22"/>
                <w:szCs w:val="21"/>
                <w:vertAlign w:val="superscript"/>
              </w:rPr>
              <w:t xml:space="preserve"> 1</w:t>
            </w:r>
          </w:p>
        </w:tc>
        <w:tc>
          <w:tcPr>
            <w:tcW w:w="3780" w:type="dxa"/>
            <w:gridSpan w:val="4"/>
            <w:tcBorders>
              <w:left w:val="single" w:sz="4" w:space="0" w:color="auto"/>
            </w:tcBorders>
            <w:shd w:val="clear" w:color="auto" w:fill="385623" w:themeFill="accent6" w:themeFillShade="80"/>
            <w:vAlign w:val="center"/>
          </w:tcPr>
          <w:p w14:paraId="5B42375D" w14:textId="77777777" w:rsidR="001F23CE" w:rsidRPr="00D843A7" w:rsidRDefault="001F23CE" w:rsidP="00AF4DA3">
            <w:pPr>
              <w:jc w:val="center"/>
              <w:rPr>
                <w:color w:val="FFFFFF" w:themeColor="background1"/>
                <w:sz w:val="22"/>
                <w:szCs w:val="21"/>
              </w:rPr>
            </w:pPr>
            <w:r w:rsidRPr="00D843A7">
              <w:rPr>
                <w:color w:val="FFFFFF" w:themeColor="background1"/>
                <w:sz w:val="22"/>
                <w:szCs w:val="21"/>
              </w:rPr>
              <w:t>Pessimistic</w:t>
            </w:r>
          </w:p>
          <w:p w14:paraId="1652C0E1" w14:textId="77777777" w:rsidR="001F23CE" w:rsidRPr="00D843A7" w:rsidRDefault="001F23CE" w:rsidP="00AF4DA3">
            <w:pPr>
              <w:jc w:val="center"/>
              <w:rPr>
                <w:color w:val="FFFFFF" w:themeColor="background1"/>
                <w:sz w:val="22"/>
                <w:szCs w:val="21"/>
              </w:rPr>
            </w:pPr>
            <w:r w:rsidRPr="00D843A7">
              <w:rPr>
                <w:color w:val="FFFFFF" w:themeColor="background1"/>
                <w:sz w:val="22"/>
                <w:szCs w:val="21"/>
              </w:rPr>
              <w:t>7-Beer Average</w:t>
            </w:r>
            <w:r w:rsidRPr="00D843A7">
              <w:rPr>
                <w:color w:val="FFFFFF" w:themeColor="background1"/>
                <w:sz w:val="22"/>
                <w:szCs w:val="21"/>
                <w:vertAlign w:val="superscript"/>
              </w:rPr>
              <w:t xml:space="preserve"> 2</w:t>
            </w:r>
          </w:p>
        </w:tc>
      </w:tr>
      <w:tr w:rsidR="001F23CE" w14:paraId="04645726" w14:textId="77777777" w:rsidTr="00AF4DA3">
        <w:trPr>
          <w:gridAfter w:val="1"/>
          <w:wAfter w:w="6" w:type="dxa"/>
          <w:trHeight w:val="540"/>
          <w:jc w:val="center"/>
        </w:trPr>
        <w:tc>
          <w:tcPr>
            <w:tcW w:w="2160" w:type="dxa"/>
            <w:shd w:val="clear" w:color="auto" w:fill="F2F2F2" w:themeFill="background1" w:themeFillShade="F2"/>
            <w:vAlign w:val="bottom"/>
          </w:tcPr>
          <w:p w14:paraId="419A5FF7" w14:textId="77777777" w:rsidR="001F23CE" w:rsidRPr="00ED3B22" w:rsidRDefault="001F23CE" w:rsidP="00AF4DA3">
            <w:pPr>
              <w:rPr>
                <w:sz w:val="20"/>
                <w:szCs w:val="20"/>
              </w:rPr>
            </w:pPr>
          </w:p>
        </w:tc>
        <w:tc>
          <w:tcPr>
            <w:tcW w:w="900" w:type="dxa"/>
            <w:tcBorders>
              <w:bottom w:val="single" w:sz="4" w:space="0" w:color="auto"/>
              <w:right w:val="single" w:sz="4" w:space="0" w:color="auto"/>
            </w:tcBorders>
            <w:shd w:val="clear" w:color="auto" w:fill="FBE4D5" w:themeFill="accent2" w:themeFillTint="33"/>
            <w:vAlign w:val="bottom"/>
          </w:tcPr>
          <w:p w14:paraId="5A6068A9" w14:textId="77777777" w:rsidR="001F23CE" w:rsidRPr="00ED3B22" w:rsidRDefault="001F23CE" w:rsidP="00AF4DA3">
            <w:pPr>
              <w:jc w:val="center"/>
              <w:rPr>
                <w:sz w:val="20"/>
                <w:szCs w:val="20"/>
              </w:rPr>
            </w:pPr>
            <w:r w:rsidRPr="00ED3B22">
              <w:rPr>
                <w:sz w:val="20"/>
                <w:szCs w:val="20"/>
              </w:rPr>
              <w:t>Weight</w:t>
            </w:r>
          </w:p>
        </w:tc>
        <w:tc>
          <w:tcPr>
            <w:tcW w:w="1170" w:type="dxa"/>
            <w:tcBorders>
              <w:left w:val="single" w:sz="4" w:space="0" w:color="auto"/>
              <w:bottom w:val="single" w:sz="4" w:space="0" w:color="auto"/>
            </w:tcBorders>
            <w:shd w:val="clear" w:color="auto" w:fill="DEEAF6" w:themeFill="accent1" w:themeFillTint="33"/>
            <w:vAlign w:val="bottom"/>
          </w:tcPr>
          <w:p w14:paraId="3F9C04BE" w14:textId="77777777" w:rsidR="001F23CE" w:rsidRPr="00ED3B22" w:rsidRDefault="001F23CE" w:rsidP="00AF4DA3">
            <w:pPr>
              <w:jc w:val="center"/>
              <w:rPr>
                <w:sz w:val="20"/>
                <w:szCs w:val="20"/>
              </w:rPr>
            </w:pPr>
            <w:r w:rsidRPr="00ED3B22">
              <w:rPr>
                <w:sz w:val="20"/>
                <w:szCs w:val="20"/>
              </w:rPr>
              <w:t>Wholesale Cost</w:t>
            </w:r>
          </w:p>
        </w:tc>
        <w:tc>
          <w:tcPr>
            <w:tcW w:w="1260" w:type="dxa"/>
            <w:tcBorders>
              <w:bottom w:val="single" w:sz="4" w:space="0" w:color="auto"/>
            </w:tcBorders>
            <w:shd w:val="clear" w:color="auto" w:fill="DEEAF6" w:themeFill="accent1" w:themeFillTint="33"/>
            <w:vAlign w:val="bottom"/>
          </w:tcPr>
          <w:p w14:paraId="5F6ED5B2" w14:textId="77777777" w:rsidR="001F23CE" w:rsidRPr="00ED3B22" w:rsidRDefault="001F23CE" w:rsidP="00AF4DA3">
            <w:pPr>
              <w:jc w:val="center"/>
              <w:rPr>
                <w:sz w:val="20"/>
                <w:szCs w:val="20"/>
              </w:rPr>
            </w:pPr>
            <w:r w:rsidRPr="00ED3B22">
              <w:rPr>
                <w:sz w:val="20"/>
                <w:szCs w:val="20"/>
              </w:rPr>
              <w:t>Percent Cost of Goods Sold</w:t>
            </w:r>
            <w:r w:rsidRPr="00ED3B22">
              <w:rPr>
                <w:sz w:val="20"/>
                <w:szCs w:val="20"/>
                <w:vertAlign w:val="superscript"/>
              </w:rPr>
              <w:t>3</w:t>
            </w:r>
          </w:p>
        </w:tc>
        <w:tc>
          <w:tcPr>
            <w:tcW w:w="1188" w:type="dxa"/>
            <w:tcBorders>
              <w:bottom w:val="single" w:sz="4" w:space="0" w:color="auto"/>
              <w:right w:val="single" w:sz="4" w:space="0" w:color="auto"/>
            </w:tcBorders>
            <w:shd w:val="clear" w:color="auto" w:fill="DEEAF6" w:themeFill="accent1" w:themeFillTint="33"/>
            <w:vAlign w:val="bottom"/>
          </w:tcPr>
          <w:p w14:paraId="3A09045A" w14:textId="77777777" w:rsidR="001F23CE" w:rsidRPr="00ED3B22" w:rsidRDefault="001F23CE" w:rsidP="00AF4DA3">
            <w:pPr>
              <w:jc w:val="center"/>
              <w:rPr>
                <w:sz w:val="20"/>
                <w:szCs w:val="20"/>
              </w:rPr>
            </w:pPr>
            <w:r w:rsidRPr="00ED3B22">
              <w:rPr>
                <w:sz w:val="20"/>
                <w:szCs w:val="20"/>
              </w:rPr>
              <w:t>Wholesale</w:t>
            </w:r>
            <w:r>
              <w:rPr>
                <w:sz w:val="20"/>
                <w:szCs w:val="20"/>
              </w:rPr>
              <w:t xml:space="preserve"> </w:t>
            </w:r>
            <w:r w:rsidRPr="00ED3B22">
              <w:rPr>
                <w:sz w:val="20"/>
                <w:szCs w:val="20"/>
              </w:rPr>
              <w:t>Price</w:t>
            </w:r>
            <w:r w:rsidRPr="00ED3B22">
              <w:rPr>
                <w:sz w:val="20"/>
                <w:szCs w:val="20"/>
                <w:vertAlign w:val="superscript"/>
              </w:rPr>
              <w:t>4</w:t>
            </w:r>
          </w:p>
          <w:p w14:paraId="06F8BFC0" w14:textId="77777777" w:rsidR="001F23CE" w:rsidRPr="00ED3B22" w:rsidRDefault="001F23CE" w:rsidP="00AF4DA3">
            <w:pPr>
              <w:jc w:val="center"/>
              <w:rPr>
                <w:sz w:val="20"/>
                <w:szCs w:val="20"/>
              </w:rPr>
            </w:pPr>
            <w:r w:rsidRPr="00ED3B22">
              <w:rPr>
                <w:sz w:val="20"/>
                <w:szCs w:val="20"/>
              </w:rPr>
              <w:t>(</w:t>
            </w:r>
            <w:proofErr w:type="gramStart"/>
            <w:r w:rsidRPr="00ED3B22">
              <w:rPr>
                <w:sz w:val="20"/>
                <w:szCs w:val="20"/>
              </w:rPr>
              <w:t>per</w:t>
            </w:r>
            <w:proofErr w:type="gramEnd"/>
            <w:r w:rsidRPr="00ED3B22">
              <w:rPr>
                <w:sz w:val="20"/>
                <w:szCs w:val="20"/>
              </w:rPr>
              <w:t xml:space="preserve"> Gallon)</w:t>
            </w:r>
          </w:p>
        </w:tc>
        <w:tc>
          <w:tcPr>
            <w:tcW w:w="1170" w:type="dxa"/>
            <w:tcBorders>
              <w:left w:val="single" w:sz="4" w:space="0" w:color="auto"/>
              <w:bottom w:val="single" w:sz="4" w:space="0" w:color="auto"/>
            </w:tcBorders>
            <w:shd w:val="clear" w:color="auto" w:fill="E2EFD9" w:themeFill="accent6" w:themeFillTint="33"/>
            <w:vAlign w:val="bottom"/>
          </w:tcPr>
          <w:p w14:paraId="0FE0CE11" w14:textId="77777777" w:rsidR="001F23CE" w:rsidRPr="00ED3B22" w:rsidRDefault="001F23CE" w:rsidP="00AF4DA3">
            <w:pPr>
              <w:jc w:val="center"/>
              <w:rPr>
                <w:sz w:val="20"/>
                <w:szCs w:val="20"/>
              </w:rPr>
            </w:pPr>
          </w:p>
          <w:p w14:paraId="3E4E272F" w14:textId="77777777" w:rsidR="001F23CE" w:rsidRPr="00ED3B22" w:rsidRDefault="001F23CE" w:rsidP="00AF4DA3">
            <w:pPr>
              <w:jc w:val="center"/>
              <w:rPr>
                <w:sz w:val="20"/>
                <w:szCs w:val="20"/>
              </w:rPr>
            </w:pPr>
            <w:r w:rsidRPr="00ED3B22">
              <w:rPr>
                <w:sz w:val="20"/>
                <w:szCs w:val="20"/>
              </w:rPr>
              <w:t>Wholesale</w:t>
            </w:r>
          </w:p>
          <w:p w14:paraId="57421B14" w14:textId="77777777" w:rsidR="001F23CE" w:rsidRPr="00ED3B22" w:rsidRDefault="001F23CE" w:rsidP="00AF4DA3">
            <w:pPr>
              <w:jc w:val="center"/>
              <w:rPr>
                <w:sz w:val="20"/>
                <w:szCs w:val="20"/>
              </w:rPr>
            </w:pPr>
            <w:r w:rsidRPr="00ED3B22">
              <w:rPr>
                <w:sz w:val="20"/>
                <w:szCs w:val="20"/>
              </w:rPr>
              <w:t>Cost</w:t>
            </w:r>
          </w:p>
        </w:tc>
        <w:tc>
          <w:tcPr>
            <w:tcW w:w="1422" w:type="dxa"/>
            <w:tcBorders>
              <w:bottom w:val="single" w:sz="4" w:space="0" w:color="auto"/>
            </w:tcBorders>
            <w:shd w:val="clear" w:color="auto" w:fill="E2EFD9" w:themeFill="accent6" w:themeFillTint="33"/>
            <w:vAlign w:val="bottom"/>
          </w:tcPr>
          <w:p w14:paraId="1E15A26A" w14:textId="77777777" w:rsidR="001F23CE" w:rsidRPr="00ED3B22" w:rsidRDefault="001F23CE" w:rsidP="00AF4DA3">
            <w:pPr>
              <w:jc w:val="center"/>
              <w:rPr>
                <w:sz w:val="20"/>
                <w:szCs w:val="20"/>
              </w:rPr>
            </w:pPr>
            <w:r w:rsidRPr="00ED3B22">
              <w:rPr>
                <w:sz w:val="20"/>
                <w:szCs w:val="20"/>
              </w:rPr>
              <w:t>Percent</w:t>
            </w:r>
          </w:p>
          <w:p w14:paraId="3F046F4F" w14:textId="77777777" w:rsidR="001F23CE" w:rsidRPr="00ED3B22" w:rsidRDefault="001F23CE" w:rsidP="00AF4DA3">
            <w:pPr>
              <w:jc w:val="center"/>
              <w:rPr>
                <w:sz w:val="20"/>
                <w:szCs w:val="20"/>
              </w:rPr>
            </w:pPr>
            <w:r w:rsidRPr="00ED3B22">
              <w:rPr>
                <w:sz w:val="20"/>
                <w:szCs w:val="20"/>
              </w:rPr>
              <w:t>Cost of</w:t>
            </w:r>
          </w:p>
          <w:p w14:paraId="282F0962" w14:textId="77777777" w:rsidR="001F23CE" w:rsidRPr="00ED3B22" w:rsidRDefault="001F23CE" w:rsidP="00AF4DA3">
            <w:pPr>
              <w:jc w:val="center"/>
              <w:rPr>
                <w:sz w:val="20"/>
                <w:szCs w:val="20"/>
              </w:rPr>
            </w:pPr>
            <w:r w:rsidRPr="00ED3B22">
              <w:rPr>
                <w:sz w:val="20"/>
                <w:szCs w:val="20"/>
              </w:rPr>
              <w:t>Goods Sold</w:t>
            </w:r>
            <w:r w:rsidRPr="00ED3B22">
              <w:rPr>
                <w:sz w:val="20"/>
                <w:szCs w:val="20"/>
                <w:vertAlign w:val="superscript"/>
              </w:rPr>
              <w:t xml:space="preserve"> 3</w:t>
            </w:r>
          </w:p>
        </w:tc>
        <w:tc>
          <w:tcPr>
            <w:tcW w:w="1182" w:type="dxa"/>
            <w:tcBorders>
              <w:bottom w:val="single" w:sz="4" w:space="0" w:color="auto"/>
            </w:tcBorders>
            <w:shd w:val="clear" w:color="auto" w:fill="E2EFD9" w:themeFill="accent6" w:themeFillTint="33"/>
            <w:vAlign w:val="bottom"/>
          </w:tcPr>
          <w:p w14:paraId="2F87CCB8" w14:textId="77777777" w:rsidR="001F23CE" w:rsidRPr="00ED3B22" w:rsidRDefault="001F23CE" w:rsidP="00AF4DA3">
            <w:pPr>
              <w:jc w:val="center"/>
              <w:rPr>
                <w:sz w:val="20"/>
                <w:szCs w:val="20"/>
              </w:rPr>
            </w:pPr>
            <w:r w:rsidRPr="00ED3B22">
              <w:rPr>
                <w:sz w:val="20"/>
                <w:szCs w:val="20"/>
              </w:rPr>
              <w:t>Wholesale</w:t>
            </w:r>
          </w:p>
          <w:p w14:paraId="07C579B3" w14:textId="77777777" w:rsidR="001F23CE" w:rsidRPr="00ED3B22" w:rsidRDefault="001F23CE" w:rsidP="00AF4DA3">
            <w:pPr>
              <w:jc w:val="center"/>
              <w:rPr>
                <w:sz w:val="20"/>
                <w:szCs w:val="20"/>
              </w:rPr>
            </w:pPr>
            <w:r w:rsidRPr="00ED3B22">
              <w:rPr>
                <w:sz w:val="20"/>
                <w:szCs w:val="20"/>
              </w:rPr>
              <w:t>Price</w:t>
            </w:r>
            <w:r w:rsidRPr="00ED3B22">
              <w:rPr>
                <w:sz w:val="20"/>
                <w:szCs w:val="20"/>
                <w:vertAlign w:val="superscript"/>
              </w:rPr>
              <w:t xml:space="preserve"> 4</w:t>
            </w:r>
          </w:p>
          <w:p w14:paraId="3DDA8D1D" w14:textId="77777777" w:rsidR="001F23CE" w:rsidRPr="00ED3B22" w:rsidRDefault="001F23CE" w:rsidP="00AF4DA3">
            <w:pPr>
              <w:jc w:val="center"/>
              <w:rPr>
                <w:sz w:val="20"/>
                <w:szCs w:val="20"/>
              </w:rPr>
            </w:pPr>
            <w:r w:rsidRPr="00ED3B22">
              <w:rPr>
                <w:sz w:val="20"/>
                <w:szCs w:val="20"/>
              </w:rPr>
              <w:t>(Gallon)</w:t>
            </w:r>
          </w:p>
        </w:tc>
      </w:tr>
      <w:tr w:rsidR="001F23CE" w14:paraId="26361A31" w14:textId="77777777" w:rsidTr="00AF4DA3">
        <w:trPr>
          <w:gridAfter w:val="1"/>
          <w:wAfter w:w="6" w:type="dxa"/>
          <w:jc w:val="center"/>
        </w:trPr>
        <w:tc>
          <w:tcPr>
            <w:tcW w:w="2160" w:type="dxa"/>
            <w:shd w:val="clear" w:color="auto" w:fill="F2F2F2" w:themeFill="background1" w:themeFillShade="F2"/>
          </w:tcPr>
          <w:p w14:paraId="186FF678" w14:textId="77777777" w:rsidR="001F23CE" w:rsidRPr="00ED3B22" w:rsidRDefault="001F23CE" w:rsidP="00AF4DA3">
            <w:pPr>
              <w:rPr>
                <w:sz w:val="20"/>
                <w:szCs w:val="20"/>
              </w:rPr>
            </w:pPr>
            <w:r w:rsidRPr="00ED3B22">
              <w:rPr>
                <w:sz w:val="20"/>
                <w:szCs w:val="20"/>
              </w:rPr>
              <w:t>Bottles &amp;Cans</w:t>
            </w:r>
          </w:p>
        </w:tc>
        <w:tc>
          <w:tcPr>
            <w:tcW w:w="900" w:type="dxa"/>
            <w:tcBorders>
              <w:top w:val="single" w:sz="4" w:space="0" w:color="auto"/>
              <w:right w:val="single" w:sz="4" w:space="0" w:color="auto"/>
            </w:tcBorders>
            <w:shd w:val="clear" w:color="auto" w:fill="FBE4D5" w:themeFill="accent2" w:themeFillTint="33"/>
          </w:tcPr>
          <w:p w14:paraId="1A4F0CC6" w14:textId="63F0DE0A" w:rsidR="001F23CE" w:rsidRPr="00ED3B22" w:rsidRDefault="00B6000E" w:rsidP="00AF4DA3">
            <w:pPr>
              <w:rPr>
                <w:sz w:val="20"/>
                <w:szCs w:val="20"/>
              </w:rPr>
            </w:pPr>
            <w:r>
              <w:rPr>
                <w:sz w:val="20"/>
                <w:szCs w:val="20"/>
              </w:rPr>
              <w:t>0.75</w:t>
            </w:r>
          </w:p>
        </w:tc>
        <w:tc>
          <w:tcPr>
            <w:tcW w:w="1170" w:type="dxa"/>
            <w:tcBorders>
              <w:top w:val="single" w:sz="4" w:space="0" w:color="auto"/>
              <w:left w:val="single" w:sz="4" w:space="0" w:color="auto"/>
            </w:tcBorders>
            <w:shd w:val="clear" w:color="auto" w:fill="DEEAF6" w:themeFill="accent1" w:themeFillTint="33"/>
          </w:tcPr>
          <w:p w14:paraId="65A9BDBA" w14:textId="2C1CEC52" w:rsidR="001F23CE" w:rsidRPr="00ED3B22" w:rsidRDefault="00B6000E" w:rsidP="00AF4DA3">
            <w:pPr>
              <w:rPr>
                <w:sz w:val="20"/>
                <w:szCs w:val="20"/>
              </w:rPr>
            </w:pPr>
            <w:r>
              <w:rPr>
                <w:sz w:val="20"/>
                <w:szCs w:val="20"/>
              </w:rPr>
              <w:t>$5.03</w:t>
            </w:r>
          </w:p>
        </w:tc>
        <w:tc>
          <w:tcPr>
            <w:tcW w:w="1260" w:type="dxa"/>
            <w:tcBorders>
              <w:top w:val="single" w:sz="4" w:space="0" w:color="auto"/>
            </w:tcBorders>
            <w:shd w:val="clear" w:color="auto" w:fill="DEEAF6" w:themeFill="accent1" w:themeFillTint="33"/>
          </w:tcPr>
          <w:p w14:paraId="3BE07272" w14:textId="179BE4AB" w:rsidR="001F23CE" w:rsidRPr="00ED3B22" w:rsidRDefault="00B6000E" w:rsidP="00AF4DA3">
            <w:pPr>
              <w:rPr>
                <w:sz w:val="20"/>
                <w:szCs w:val="20"/>
              </w:rPr>
            </w:pPr>
            <w:r>
              <w:rPr>
                <w:sz w:val="20"/>
                <w:szCs w:val="20"/>
              </w:rPr>
              <w:t>77.1%</w:t>
            </w:r>
          </w:p>
        </w:tc>
        <w:tc>
          <w:tcPr>
            <w:tcW w:w="1188" w:type="dxa"/>
            <w:tcBorders>
              <w:top w:val="single" w:sz="4" w:space="0" w:color="auto"/>
              <w:right w:val="single" w:sz="4" w:space="0" w:color="auto"/>
            </w:tcBorders>
            <w:shd w:val="clear" w:color="auto" w:fill="DEEAF6" w:themeFill="accent1" w:themeFillTint="33"/>
          </w:tcPr>
          <w:p w14:paraId="2C934C24" w14:textId="3C9B6B1A" w:rsidR="001F23CE" w:rsidRPr="00ED3B22" w:rsidRDefault="00B6000E" w:rsidP="00AF4DA3">
            <w:pPr>
              <w:rPr>
                <w:sz w:val="20"/>
                <w:szCs w:val="20"/>
              </w:rPr>
            </w:pPr>
            <w:r>
              <w:rPr>
                <w:sz w:val="20"/>
                <w:szCs w:val="20"/>
              </w:rPr>
              <w:t>$6.52</w:t>
            </w:r>
          </w:p>
        </w:tc>
        <w:tc>
          <w:tcPr>
            <w:tcW w:w="1170" w:type="dxa"/>
            <w:tcBorders>
              <w:top w:val="single" w:sz="4" w:space="0" w:color="auto"/>
              <w:left w:val="single" w:sz="4" w:space="0" w:color="auto"/>
            </w:tcBorders>
            <w:shd w:val="clear" w:color="auto" w:fill="E2EFD9" w:themeFill="accent6" w:themeFillTint="33"/>
          </w:tcPr>
          <w:p w14:paraId="29DCDAEB" w14:textId="6BCBFC5D" w:rsidR="001F23CE" w:rsidRPr="00ED3B22" w:rsidRDefault="00B6000E" w:rsidP="00AF4DA3">
            <w:pPr>
              <w:rPr>
                <w:sz w:val="20"/>
                <w:szCs w:val="20"/>
              </w:rPr>
            </w:pPr>
            <w:r>
              <w:rPr>
                <w:sz w:val="20"/>
                <w:szCs w:val="20"/>
              </w:rPr>
              <w:t>$4.31</w:t>
            </w:r>
          </w:p>
        </w:tc>
        <w:tc>
          <w:tcPr>
            <w:tcW w:w="1422" w:type="dxa"/>
            <w:tcBorders>
              <w:top w:val="single" w:sz="4" w:space="0" w:color="auto"/>
            </w:tcBorders>
            <w:shd w:val="clear" w:color="auto" w:fill="E2EFD9" w:themeFill="accent6" w:themeFillTint="33"/>
          </w:tcPr>
          <w:p w14:paraId="18C73B0C" w14:textId="4A6261E1" w:rsidR="001F23CE" w:rsidRPr="00ED3B22" w:rsidRDefault="00B6000E" w:rsidP="00AF4DA3">
            <w:pPr>
              <w:rPr>
                <w:sz w:val="20"/>
                <w:szCs w:val="20"/>
              </w:rPr>
            </w:pPr>
            <w:r>
              <w:rPr>
                <w:sz w:val="20"/>
                <w:szCs w:val="20"/>
              </w:rPr>
              <w:t>77.1%</w:t>
            </w:r>
          </w:p>
        </w:tc>
        <w:tc>
          <w:tcPr>
            <w:tcW w:w="1182" w:type="dxa"/>
            <w:tcBorders>
              <w:top w:val="single" w:sz="4" w:space="0" w:color="auto"/>
            </w:tcBorders>
            <w:shd w:val="clear" w:color="auto" w:fill="E2EFD9" w:themeFill="accent6" w:themeFillTint="33"/>
          </w:tcPr>
          <w:p w14:paraId="2E30EE63" w14:textId="7D87B3B5" w:rsidR="001F23CE" w:rsidRPr="00ED3B22" w:rsidRDefault="00B6000E" w:rsidP="00AF4DA3">
            <w:pPr>
              <w:rPr>
                <w:sz w:val="20"/>
                <w:szCs w:val="20"/>
              </w:rPr>
            </w:pPr>
            <w:r>
              <w:rPr>
                <w:sz w:val="20"/>
                <w:szCs w:val="20"/>
              </w:rPr>
              <w:t>$5.59</w:t>
            </w:r>
          </w:p>
        </w:tc>
      </w:tr>
      <w:tr w:rsidR="001F23CE" w14:paraId="1F464C93" w14:textId="77777777" w:rsidTr="00AF4DA3">
        <w:trPr>
          <w:gridAfter w:val="1"/>
          <w:wAfter w:w="6" w:type="dxa"/>
          <w:jc w:val="center"/>
        </w:trPr>
        <w:tc>
          <w:tcPr>
            <w:tcW w:w="2160" w:type="dxa"/>
            <w:shd w:val="clear" w:color="auto" w:fill="F2F2F2" w:themeFill="background1" w:themeFillShade="F2"/>
          </w:tcPr>
          <w:p w14:paraId="0497958F" w14:textId="77777777" w:rsidR="001F23CE" w:rsidRPr="00ED3B22" w:rsidRDefault="001F23CE" w:rsidP="00AF4DA3">
            <w:pPr>
              <w:rPr>
                <w:sz w:val="20"/>
                <w:szCs w:val="20"/>
              </w:rPr>
            </w:pPr>
            <w:r w:rsidRPr="00ED3B22">
              <w:rPr>
                <w:sz w:val="20"/>
                <w:szCs w:val="20"/>
              </w:rPr>
              <w:t>Kegs</w:t>
            </w:r>
            <w:r w:rsidRPr="00ED3B22">
              <w:rPr>
                <w:sz w:val="20"/>
                <w:szCs w:val="20"/>
                <w:vertAlign w:val="superscript"/>
              </w:rPr>
              <w:t xml:space="preserve"> 5</w:t>
            </w:r>
          </w:p>
        </w:tc>
        <w:tc>
          <w:tcPr>
            <w:tcW w:w="900" w:type="dxa"/>
            <w:tcBorders>
              <w:right w:val="single" w:sz="4" w:space="0" w:color="auto"/>
            </w:tcBorders>
            <w:shd w:val="clear" w:color="auto" w:fill="FBE4D5" w:themeFill="accent2" w:themeFillTint="33"/>
          </w:tcPr>
          <w:p w14:paraId="46513490" w14:textId="5140C10A" w:rsidR="001F23CE" w:rsidRPr="00ED3B22" w:rsidRDefault="00B6000E" w:rsidP="00AF4DA3">
            <w:pPr>
              <w:rPr>
                <w:sz w:val="20"/>
                <w:szCs w:val="20"/>
              </w:rPr>
            </w:pPr>
            <w:r>
              <w:rPr>
                <w:sz w:val="20"/>
                <w:szCs w:val="20"/>
              </w:rPr>
              <w:t>0.25</w:t>
            </w:r>
          </w:p>
        </w:tc>
        <w:tc>
          <w:tcPr>
            <w:tcW w:w="1170" w:type="dxa"/>
            <w:tcBorders>
              <w:left w:val="single" w:sz="4" w:space="0" w:color="auto"/>
            </w:tcBorders>
            <w:shd w:val="clear" w:color="auto" w:fill="DEEAF6" w:themeFill="accent1" w:themeFillTint="33"/>
          </w:tcPr>
          <w:p w14:paraId="345A5932" w14:textId="19DA6F36" w:rsidR="001F23CE" w:rsidRPr="00ED3B22" w:rsidRDefault="00B6000E" w:rsidP="00AF4DA3">
            <w:pPr>
              <w:rPr>
                <w:sz w:val="20"/>
                <w:szCs w:val="20"/>
              </w:rPr>
            </w:pPr>
            <w:r>
              <w:rPr>
                <w:sz w:val="20"/>
                <w:szCs w:val="20"/>
              </w:rPr>
              <w:t>$2.26</w:t>
            </w:r>
          </w:p>
        </w:tc>
        <w:tc>
          <w:tcPr>
            <w:tcW w:w="1260" w:type="dxa"/>
            <w:shd w:val="clear" w:color="auto" w:fill="DEEAF6" w:themeFill="accent1" w:themeFillTint="33"/>
          </w:tcPr>
          <w:p w14:paraId="091CA7B0" w14:textId="6367450A" w:rsidR="001F23CE" w:rsidRPr="00ED3B22" w:rsidRDefault="00B6000E" w:rsidP="00AF4DA3">
            <w:pPr>
              <w:rPr>
                <w:sz w:val="20"/>
                <w:szCs w:val="20"/>
              </w:rPr>
            </w:pPr>
            <w:r>
              <w:rPr>
                <w:sz w:val="20"/>
                <w:szCs w:val="20"/>
              </w:rPr>
              <w:t>77.1%</w:t>
            </w:r>
          </w:p>
        </w:tc>
        <w:tc>
          <w:tcPr>
            <w:tcW w:w="1188" w:type="dxa"/>
            <w:tcBorders>
              <w:right w:val="single" w:sz="4" w:space="0" w:color="auto"/>
            </w:tcBorders>
            <w:shd w:val="clear" w:color="auto" w:fill="DEEAF6" w:themeFill="accent1" w:themeFillTint="33"/>
          </w:tcPr>
          <w:p w14:paraId="2B59BA38" w14:textId="452BFFF8" w:rsidR="001F23CE" w:rsidRPr="00ED3B22" w:rsidRDefault="00B6000E" w:rsidP="00AF4DA3">
            <w:pPr>
              <w:rPr>
                <w:sz w:val="20"/>
                <w:szCs w:val="20"/>
              </w:rPr>
            </w:pPr>
            <w:r>
              <w:rPr>
                <w:sz w:val="20"/>
                <w:szCs w:val="20"/>
              </w:rPr>
              <w:t>$2.93</w:t>
            </w:r>
          </w:p>
        </w:tc>
        <w:tc>
          <w:tcPr>
            <w:tcW w:w="1170" w:type="dxa"/>
            <w:tcBorders>
              <w:left w:val="single" w:sz="4" w:space="0" w:color="auto"/>
            </w:tcBorders>
            <w:shd w:val="clear" w:color="auto" w:fill="E2EFD9" w:themeFill="accent6" w:themeFillTint="33"/>
          </w:tcPr>
          <w:p w14:paraId="2C49C16C" w14:textId="79DA6154" w:rsidR="001F23CE" w:rsidRPr="00ED3B22" w:rsidRDefault="00B6000E" w:rsidP="00AF4DA3">
            <w:pPr>
              <w:rPr>
                <w:sz w:val="20"/>
                <w:szCs w:val="20"/>
              </w:rPr>
            </w:pPr>
            <w:r>
              <w:rPr>
                <w:sz w:val="20"/>
                <w:szCs w:val="20"/>
              </w:rPr>
              <w:t>$1.94</w:t>
            </w:r>
          </w:p>
        </w:tc>
        <w:tc>
          <w:tcPr>
            <w:tcW w:w="1422" w:type="dxa"/>
            <w:shd w:val="clear" w:color="auto" w:fill="E2EFD9" w:themeFill="accent6" w:themeFillTint="33"/>
          </w:tcPr>
          <w:p w14:paraId="248E263A" w14:textId="30163D77" w:rsidR="001F23CE" w:rsidRPr="00ED3B22" w:rsidRDefault="00B6000E" w:rsidP="00AF4DA3">
            <w:pPr>
              <w:rPr>
                <w:sz w:val="20"/>
                <w:szCs w:val="20"/>
              </w:rPr>
            </w:pPr>
            <w:r>
              <w:rPr>
                <w:sz w:val="20"/>
                <w:szCs w:val="20"/>
              </w:rPr>
              <w:t>77.1%</w:t>
            </w:r>
          </w:p>
        </w:tc>
        <w:tc>
          <w:tcPr>
            <w:tcW w:w="1182" w:type="dxa"/>
            <w:shd w:val="clear" w:color="auto" w:fill="E2EFD9" w:themeFill="accent6" w:themeFillTint="33"/>
          </w:tcPr>
          <w:p w14:paraId="7C5D3850" w14:textId="5F542FDF" w:rsidR="001F23CE" w:rsidRPr="00ED3B22" w:rsidRDefault="00B6000E" w:rsidP="00AF4DA3">
            <w:pPr>
              <w:rPr>
                <w:sz w:val="20"/>
                <w:szCs w:val="20"/>
              </w:rPr>
            </w:pPr>
            <w:r>
              <w:rPr>
                <w:sz w:val="20"/>
                <w:szCs w:val="20"/>
              </w:rPr>
              <w:t>$2.51</w:t>
            </w:r>
          </w:p>
        </w:tc>
      </w:tr>
      <w:tr w:rsidR="001F23CE" w14:paraId="4FC69587" w14:textId="77777777" w:rsidTr="00AF4DA3">
        <w:trPr>
          <w:gridAfter w:val="1"/>
          <w:wAfter w:w="6" w:type="dxa"/>
          <w:jc w:val="center"/>
        </w:trPr>
        <w:tc>
          <w:tcPr>
            <w:tcW w:w="2160" w:type="dxa"/>
            <w:shd w:val="clear" w:color="auto" w:fill="F2F2F2" w:themeFill="background1" w:themeFillShade="F2"/>
          </w:tcPr>
          <w:p w14:paraId="66F47273" w14:textId="77777777" w:rsidR="001F23CE" w:rsidRPr="00ED3B22" w:rsidRDefault="001F23CE" w:rsidP="00AF4DA3">
            <w:pPr>
              <w:rPr>
                <w:sz w:val="20"/>
                <w:szCs w:val="20"/>
              </w:rPr>
            </w:pPr>
            <w:r w:rsidRPr="00ED3B22">
              <w:rPr>
                <w:sz w:val="20"/>
                <w:szCs w:val="20"/>
              </w:rPr>
              <w:t>Weighted Avg. Price</w:t>
            </w:r>
            <w:r w:rsidRPr="00ED3B22">
              <w:rPr>
                <w:sz w:val="20"/>
                <w:szCs w:val="20"/>
                <w:vertAlign w:val="superscript"/>
              </w:rPr>
              <w:t xml:space="preserve"> 6</w:t>
            </w:r>
          </w:p>
        </w:tc>
        <w:tc>
          <w:tcPr>
            <w:tcW w:w="900" w:type="dxa"/>
            <w:tcBorders>
              <w:right w:val="single" w:sz="4" w:space="0" w:color="auto"/>
            </w:tcBorders>
            <w:shd w:val="clear" w:color="auto" w:fill="FBE4D5" w:themeFill="accent2" w:themeFillTint="33"/>
          </w:tcPr>
          <w:p w14:paraId="4AD797D1" w14:textId="067161B9" w:rsidR="001F23CE" w:rsidRPr="00ED3B22" w:rsidRDefault="00B6000E" w:rsidP="00AF4DA3">
            <w:pPr>
              <w:rPr>
                <w:sz w:val="20"/>
                <w:szCs w:val="20"/>
              </w:rPr>
            </w:pPr>
            <w:r>
              <w:rPr>
                <w:sz w:val="20"/>
                <w:szCs w:val="20"/>
              </w:rPr>
              <w:t>$4.82</w:t>
            </w:r>
          </w:p>
        </w:tc>
        <w:tc>
          <w:tcPr>
            <w:tcW w:w="1170" w:type="dxa"/>
            <w:tcBorders>
              <w:left w:val="single" w:sz="4" w:space="0" w:color="auto"/>
            </w:tcBorders>
            <w:shd w:val="clear" w:color="auto" w:fill="DEEAF6" w:themeFill="accent1" w:themeFillTint="33"/>
          </w:tcPr>
          <w:p w14:paraId="4BE8184C" w14:textId="12492499" w:rsidR="001F23CE" w:rsidRPr="00ED3B22" w:rsidRDefault="00B6000E" w:rsidP="00AF4DA3">
            <w:pPr>
              <w:rPr>
                <w:sz w:val="20"/>
                <w:szCs w:val="20"/>
              </w:rPr>
            </w:pPr>
            <w:r>
              <w:rPr>
                <w:sz w:val="20"/>
                <w:szCs w:val="20"/>
              </w:rPr>
              <w:t>$4.82</w:t>
            </w:r>
          </w:p>
        </w:tc>
        <w:tc>
          <w:tcPr>
            <w:tcW w:w="1260" w:type="dxa"/>
            <w:shd w:val="clear" w:color="auto" w:fill="DEEAF6" w:themeFill="accent1" w:themeFillTint="33"/>
          </w:tcPr>
          <w:p w14:paraId="21F9009D" w14:textId="0BD07CD5" w:rsidR="001F23CE" w:rsidRPr="00ED3B22" w:rsidRDefault="00B6000E" w:rsidP="00AF4DA3">
            <w:pPr>
              <w:rPr>
                <w:sz w:val="20"/>
                <w:szCs w:val="20"/>
              </w:rPr>
            </w:pPr>
            <w:r>
              <w:rPr>
                <w:sz w:val="20"/>
                <w:szCs w:val="20"/>
              </w:rPr>
              <w:t>77.1%</w:t>
            </w:r>
          </w:p>
        </w:tc>
        <w:tc>
          <w:tcPr>
            <w:tcW w:w="1188" w:type="dxa"/>
            <w:tcBorders>
              <w:right w:val="single" w:sz="4" w:space="0" w:color="auto"/>
            </w:tcBorders>
            <w:shd w:val="clear" w:color="auto" w:fill="DEEAF6" w:themeFill="accent1" w:themeFillTint="33"/>
          </w:tcPr>
          <w:p w14:paraId="68995B2D" w14:textId="3279BDD9" w:rsidR="001F23CE" w:rsidRPr="00ED3B22" w:rsidRDefault="00B6000E" w:rsidP="00AF4DA3">
            <w:pPr>
              <w:rPr>
                <w:sz w:val="20"/>
                <w:szCs w:val="20"/>
              </w:rPr>
            </w:pPr>
            <w:r>
              <w:rPr>
                <w:sz w:val="20"/>
                <w:szCs w:val="20"/>
              </w:rPr>
              <w:t>$5.62</w:t>
            </w:r>
          </w:p>
        </w:tc>
        <w:tc>
          <w:tcPr>
            <w:tcW w:w="1170" w:type="dxa"/>
            <w:tcBorders>
              <w:left w:val="single" w:sz="4" w:space="0" w:color="auto"/>
            </w:tcBorders>
            <w:shd w:val="clear" w:color="auto" w:fill="E2EFD9" w:themeFill="accent6" w:themeFillTint="33"/>
          </w:tcPr>
          <w:p w14:paraId="5E4BCCE0" w14:textId="738D02BA" w:rsidR="001F23CE" w:rsidRPr="00ED3B22" w:rsidRDefault="00B6000E" w:rsidP="00AF4DA3">
            <w:pPr>
              <w:rPr>
                <w:sz w:val="20"/>
                <w:szCs w:val="20"/>
              </w:rPr>
            </w:pPr>
            <w:r>
              <w:rPr>
                <w:sz w:val="20"/>
                <w:szCs w:val="20"/>
              </w:rPr>
              <w:t>$3.71</w:t>
            </w:r>
          </w:p>
        </w:tc>
        <w:tc>
          <w:tcPr>
            <w:tcW w:w="1422" w:type="dxa"/>
            <w:shd w:val="clear" w:color="auto" w:fill="E2EFD9" w:themeFill="accent6" w:themeFillTint="33"/>
          </w:tcPr>
          <w:p w14:paraId="1CFF8D10" w14:textId="1E97D572" w:rsidR="001F23CE" w:rsidRPr="00ED3B22" w:rsidRDefault="00B6000E" w:rsidP="00AF4DA3">
            <w:pPr>
              <w:rPr>
                <w:sz w:val="20"/>
                <w:szCs w:val="20"/>
              </w:rPr>
            </w:pPr>
            <w:r>
              <w:rPr>
                <w:sz w:val="20"/>
                <w:szCs w:val="20"/>
              </w:rPr>
              <w:t>77.1%</w:t>
            </w:r>
          </w:p>
        </w:tc>
        <w:tc>
          <w:tcPr>
            <w:tcW w:w="1182" w:type="dxa"/>
            <w:shd w:val="clear" w:color="auto" w:fill="E2EFD9" w:themeFill="accent6" w:themeFillTint="33"/>
          </w:tcPr>
          <w:p w14:paraId="12D35091" w14:textId="32A710C4" w:rsidR="001F23CE" w:rsidRPr="00ED3B22" w:rsidRDefault="00B6000E" w:rsidP="00AF4DA3">
            <w:pPr>
              <w:rPr>
                <w:sz w:val="20"/>
                <w:szCs w:val="20"/>
              </w:rPr>
            </w:pPr>
            <w:r>
              <w:rPr>
                <w:sz w:val="20"/>
                <w:szCs w:val="20"/>
              </w:rPr>
              <w:t>$</w:t>
            </w:r>
            <w:r w:rsidR="00A16700">
              <w:rPr>
                <w:sz w:val="20"/>
                <w:szCs w:val="20"/>
              </w:rPr>
              <w:t>4.82</w:t>
            </w:r>
          </w:p>
        </w:tc>
      </w:tr>
      <w:tr w:rsidR="001F23CE" w14:paraId="68BF4A1F" w14:textId="77777777" w:rsidTr="00AF4DA3">
        <w:trPr>
          <w:gridAfter w:val="1"/>
          <w:wAfter w:w="6" w:type="dxa"/>
          <w:jc w:val="center"/>
        </w:trPr>
        <w:tc>
          <w:tcPr>
            <w:tcW w:w="2160" w:type="dxa"/>
            <w:shd w:val="clear" w:color="auto" w:fill="F2F2F2" w:themeFill="background1" w:themeFillShade="F2"/>
          </w:tcPr>
          <w:p w14:paraId="1063477E" w14:textId="77777777" w:rsidR="001F23CE" w:rsidRPr="00ED3B22" w:rsidRDefault="001F23CE" w:rsidP="00AF4DA3">
            <w:pPr>
              <w:rPr>
                <w:sz w:val="20"/>
                <w:szCs w:val="20"/>
              </w:rPr>
            </w:pPr>
            <w:r w:rsidRPr="00ED3B22">
              <w:rPr>
                <w:sz w:val="20"/>
                <w:szCs w:val="20"/>
              </w:rPr>
              <w:t>Weighted Contrib.</w:t>
            </w:r>
            <w:r w:rsidRPr="00ED3B22">
              <w:rPr>
                <w:sz w:val="20"/>
                <w:szCs w:val="20"/>
                <w:vertAlign w:val="superscript"/>
              </w:rPr>
              <w:t xml:space="preserve"> 7</w:t>
            </w:r>
          </w:p>
        </w:tc>
        <w:tc>
          <w:tcPr>
            <w:tcW w:w="900" w:type="dxa"/>
            <w:tcBorders>
              <w:right w:val="single" w:sz="4" w:space="0" w:color="auto"/>
            </w:tcBorders>
            <w:shd w:val="clear" w:color="auto" w:fill="FBE4D5" w:themeFill="accent2" w:themeFillTint="33"/>
          </w:tcPr>
          <w:p w14:paraId="4BBA7262" w14:textId="464EC0BB" w:rsidR="001F23CE" w:rsidRPr="00ED3B22" w:rsidRDefault="00B6000E" w:rsidP="00AF4DA3">
            <w:pPr>
              <w:rPr>
                <w:sz w:val="20"/>
                <w:szCs w:val="20"/>
              </w:rPr>
            </w:pPr>
            <w:r>
              <w:rPr>
                <w:sz w:val="20"/>
                <w:szCs w:val="20"/>
              </w:rPr>
              <w:t>$1.10</w:t>
            </w:r>
          </w:p>
        </w:tc>
        <w:tc>
          <w:tcPr>
            <w:tcW w:w="1170" w:type="dxa"/>
            <w:tcBorders>
              <w:left w:val="single" w:sz="4" w:space="0" w:color="auto"/>
            </w:tcBorders>
            <w:shd w:val="clear" w:color="auto" w:fill="DEEAF6" w:themeFill="accent1" w:themeFillTint="33"/>
          </w:tcPr>
          <w:p w14:paraId="4AC2E9A0" w14:textId="77777777" w:rsidR="001F23CE" w:rsidRPr="00ED3B22" w:rsidRDefault="001F23CE" w:rsidP="00AF4DA3">
            <w:pPr>
              <w:rPr>
                <w:sz w:val="20"/>
                <w:szCs w:val="20"/>
              </w:rPr>
            </w:pPr>
          </w:p>
        </w:tc>
        <w:tc>
          <w:tcPr>
            <w:tcW w:w="1260" w:type="dxa"/>
            <w:shd w:val="clear" w:color="auto" w:fill="DEEAF6" w:themeFill="accent1" w:themeFillTint="33"/>
          </w:tcPr>
          <w:p w14:paraId="328978AA" w14:textId="77777777" w:rsidR="001F23CE" w:rsidRPr="00ED3B22" w:rsidRDefault="001F23CE" w:rsidP="00AF4DA3">
            <w:pPr>
              <w:rPr>
                <w:sz w:val="20"/>
                <w:szCs w:val="20"/>
              </w:rPr>
            </w:pPr>
          </w:p>
        </w:tc>
        <w:tc>
          <w:tcPr>
            <w:tcW w:w="1188" w:type="dxa"/>
            <w:tcBorders>
              <w:right w:val="single" w:sz="4" w:space="0" w:color="auto"/>
            </w:tcBorders>
            <w:shd w:val="clear" w:color="auto" w:fill="DEEAF6" w:themeFill="accent1" w:themeFillTint="33"/>
          </w:tcPr>
          <w:p w14:paraId="5EE6EDEB" w14:textId="00D5DE35" w:rsidR="001F23CE" w:rsidRPr="00ED3B22" w:rsidRDefault="00B6000E" w:rsidP="00AF4DA3">
            <w:pPr>
              <w:rPr>
                <w:sz w:val="20"/>
                <w:szCs w:val="20"/>
              </w:rPr>
            </w:pPr>
            <w:r>
              <w:rPr>
                <w:sz w:val="20"/>
                <w:szCs w:val="20"/>
              </w:rPr>
              <w:t>$1.29</w:t>
            </w:r>
          </w:p>
        </w:tc>
        <w:tc>
          <w:tcPr>
            <w:tcW w:w="1170" w:type="dxa"/>
            <w:tcBorders>
              <w:left w:val="single" w:sz="4" w:space="0" w:color="auto"/>
            </w:tcBorders>
            <w:shd w:val="clear" w:color="auto" w:fill="E2EFD9" w:themeFill="accent6" w:themeFillTint="33"/>
          </w:tcPr>
          <w:p w14:paraId="5C423A3E" w14:textId="77777777" w:rsidR="001F23CE" w:rsidRPr="00ED3B22" w:rsidRDefault="001F23CE" w:rsidP="00AF4DA3">
            <w:pPr>
              <w:rPr>
                <w:sz w:val="20"/>
                <w:szCs w:val="20"/>
              </w:rPr>
            </w:pPr>
          </w:p>
        </w:tc>
        <w:tc>
          <w:tcPr>
            <w:tcW w:w="1422" w:type="dxa"/>
            <w:shd w:val="clear" w:color="auto" w:fill="E2EFD9" w:themeFill="accent6" w:themeFillTint="33"/>
          </w:tcPr>
          <w:p w14:paraId="73C14F9C" w14:textId="77777777" w:rsidR="001F23CE" w:rsidRPr="00ED3B22" w:rsidRDefault="001F23CE" w:rsidP="00AF4DA3">
            <w:pPr>
              <w:rPr>
                <w:sz w:val="20"/>
                <w:szCs w:val="20"/>
              </w:rPr>
            </w:pPr>
          </w:p>
        </w:tc>
        <w:tc>
          <w:tcPr>
            <w:tcW w:w="1182" w:type="dxa"/>
            <w:shd w:val="clear" w:color="auto" w:fill="E2EFD9" w:themeFill="accent6" w:themeFillTint="33"/>
          </w:tcPr>
          <w:p w14:paraId="5A1813DF" w14:textId="7E3D6748" w:rsidR="001F23CE" w:rsidRPr="00ED3B22" w:rsidRDefault="00A16700" w:rsidP="00AF4DA3">
            <w:pPr>
              <w:rPr>
                <w:sz w:val="20"/>
                <w:szCs w:val="20"/>
              </w:rPr>
            </w:pPr>
            <w:r>
              <w:rPr>
                <w:sz w:val="20"/>
                <w:szCs w:val="20"/>
              </w:rPr>
              <w:t>$1.10</w:t>
            </w:r>
          </w:p>
        </w:tc>
      </w:tr>
      <w:tr w:rsidR="001F23CE" w14:paraId="3C3CDE30" w14:textId="77777777" w:rsidTr="00AF4DA3">
        <w:trPr>
          <w:gridAfter w:val="1"/>
          <w:wAfter w:w="6" w:type="dxa"/>
          <w:trHeight w:val="333"/>
          <w:jc w:val="center"/>
        </w:trPr>
        <w:tc>
          <w:tcPr>
            <w:tcW w:w="2160" w:type="dxa"/>
            <w:shd w:val="clear" w:color="auto" w:fill="F2F2F2" w:themeFill="background1" w:themeFillShade="F2"/>
          </w:tcPr>
          <w:p w14:paraId="0D8B679F" w14:textId="77777777" w:rsidR="001F23CE" w:rsidRPr="00ED3B22" w:rsidRDefault="001F23CE" w:rsidP="00AF4DA3">
            <w:pPr>
              <w:rPr>
                <w:sz w:val="20"/>
                <w:szCs w:val="20"/>
              </w:rPr>
            </w:pPr>
            <w:r w:rsidRPr="00ED3B22">
              <w:rPr>
                <w:sz w:val="20"/>
                <w:szCs w:val="20"/>
              </w:rPr>
              <w:t>Contribution Margin</w:t>
            </w:r>
            <w:r w:rsidRPr="00ED3B22">
              <w:rPr>
                <w:sz w:val="20"/>
                <w:szCs w:val="20"/>
                <w:vertAlign w:val="superscript"/>
              </w:rPr>
              <w:t xml:space="preserve"> 8</w:t>
            </w:r>
          </w:p>
        </w:tc>
        <w:tc>
          <w:tcPr>
            <w:tcW w:w="900" w:type="dxa"/>
            <w:tcBorders>
              <w:bottom w:val="single" w:sz="4" w:space="0" w:color="auto"/>
              <w:right w:val="single" w:sz="4" w:space="0" w:color="auto"/>
            </w:tcBorders>
            <w:shd w:val="clear" w:color="auto" w:fill="FBE4D5" w:themeFill="accent2" w:themeFillTint="33"/>
          </w:tcPr>
          <w:p w14:paraId="381308DE" w14:textId="77EA5D10" w:rsidR="001F23CE" w:rsidRPr="00ED3B22" w:rsidRDefault="00B6000E" w:rsidP="00AF4DA3">
            <w:pPr>
              <w:rPr>
                <w:sz w:val="20"/>
                <w:szCs w:val="20"/>
              </w:rPr>
            </w:pPr>
            <w:r>
              <w:rPr>
                <w:sz w:val="20"/>
                <w:szCs w:val="20"/>
              </w:rPr>
              <w:t>23%</w:t>
            </w:r>
          </w:p>
        </w:tc>
        <w:tc>
          <w:tcPr>
            <w:tcW w:w="1170" w:type="dxa"/>
            <w:tcBorders>
              <w:left w:val="single" w:sz="4" w:space="0" w:color="auto"/>
              <w:bottom w:val="single" w:sz="4" w:space="0" w:color="auto"/>
            </w:tcBorders>
            <w:shd w:val="clear" w:color="auto" w:fill="DEEAF6" w:themeFill="accent1" w:themeFillTint="33"/>
          </w:tcPr>
          <w:p w14:paraId="4D47F8C6" w14:textId="77777777" w:rsidR="001F23CE" w:rsidRPr="00ED3B22" w:rsidRDefault="001F23CE" w:rsidP="00AF4DA3">
            <w:pPr>
              <w:rPr>
                <w:sz w:val="20"/>
                <w:szCs w:val="20"/>
              </w:rPr>
            </w:pPr>
          </w:p>
        </w:tc>
        <w:tc>
          <w:tcPr>
            <w:tcW w:w="1260" w:type="dxa"/>
            <w:tcBorders>
              <w:bottom w:val="single" w:sz="4" w:space="0" w:color="auto"/>
            </w:tcBorders>
            <w:shd w:val="clear" w:color="auto" w:fill="DEEAF6" w:themeFill="accent1" w:themeFillTint="33"/>
          </w:tcPr>
          <w:p w14:paraId="5D1FB2BF" w14:textId="77777777" w:rsidR="001F23CE" w:rsidRPr="00ED3B22" w:rsidRDefault="001F23CE" w:rsidP="00AF4DA3">
            <w:pPr>
              <w:rPr>
                <w:sz w:val="20"/>
                <w:szCs w:val="20"/>
              </w:rPr>
            </w:pPr>
          </w:p>
        </w:tc>
        <w:tc>
          <w:tcPr>
            <w:tcW w:w="1188" w:type="dxa"/>
            <w:tcBorders>
              <w:bottom w:val="single" w:sz="4" w:space="0" w:color="auto"/>
              <w:right w:val="single" w:sz="4" w:space="0" w:color="auto"/>
            </w:tcBorders>
            <w:shd w:val="clear" w:color="auto" w:fill="DEEAF6" w:themeFill="accent1" w:themeFillTint="33"/>
          </w:tcPr>
          <w:p w14:paraId="24193C07" w14:textId="74592987" w:rsidR="001F23CE" w:rsidRPr="00ED3B22" w:rsidRDefault="00B6000E" w:rsidP="00AF4DA3">
            <w:pPr>
              <w:rPr>
                <w:sz w:val="20"/>
                <w:szCs w:val="20"/>
              </w:rPr>
            </w:pPr>
            <w:r>
              <w:rPr>
                <w:sz w:val="20"/>
                <w:szCs w:val="20"/>
              </w:rPr>
              <w:t>22.9%</w:t>
            </w:r>
          </w:p>
        </w:tc>
        <w:tc>
          <w:tcPr>
            <w:tcW w:w="1170" w:type="dxa"/>
            <w:tcBorders>
              <w:left w:val="single" w:sz="4" w:space="0" w:color="auto"/>
              <w:bottom w:val="single" w:sz="4" w:space="0" w:color="auto"/>
            </w:tcBorders>
            <w:shd w:val="clear" w:color="auto" w:fill="E2EFD9" w:themeFill="accent6" w:themeFillTint="33"/>
          </w:tcPr>
          <w:p w14:paraId="7720AEEF" w14:textId="77777777" w:rsidR="001F23CE" w:rsidRPr="00ED3B22" w:rsidRDefault="001F23CE" w:rsidP="00AF4DA3">
            <w:pPr>
              <w:rPr>
                <w:sz w:val="20"/>
                <w:szCs w:val="20"/>
              </w:rPr>
            </w:pPr>
          </w:p>
        </w:tc>
        <w:tc>
          <w:tcPr>
            <w:tcW w:w="1422" w:type="dxa"/>
            <w:tcBorders>
              <w:bottom w:val="single" w:sz="4" w:space="0" w:color="auto"/>
            </w:tcBorders>
            <w:shd w:val="clear" w:color="auto" w:fill="E2EFD9" w:themeFill="accent6" w:themeFillTint="33"/>
          </w:tcPr>
          <w:p w14:paraId="3BE3F139" w14:textId="77777777" w:rsidR="001F23CE" w:rsidRPr="00ED3B22" w:rsidRDefault="001F23CE" w:rsidP="00AF4DA3">
            <w:pPr>
              <w:rPr>
                <w:sz w:val="20"/>
                <w:szCs w:val="20"/>
              </w:rPr>
            </w:pPr>
          </w:p>
        </w:tc>
        <w:tc>
          <w:tcPr>
            <w:tcW w:w="1182" w:type="dxa"/>
            <w:tcBorders>
              <w:bottom w:val="single" w:sz="4" w:space="0" w:color="auto"/>
            </w:tcBorders>
            <w:shd w:val="clear" w:color="auto" w:fill="E2EFD9" w:themeFill="accent6" w:themeFillTint="33"/>
          </w:tcPr>
          <w:p w14:paraId="32A9EEDA" w14:textId="3A083D6D" w:rsidR="001F23CE" w:rsidRPr="00ED3B22" w:rsidRDefault="00A16700" w:rsidP="00AF4DA3">
            <w:pPr>
              <w:rPr>
                <w:sz w:val="20"/>
                <w:szCs w:val="20"/>
              </w:rPr>
            </w:pPr>
            <w:r>
              <w:rPr>
                <w:sz w:val="20"/>
                <w:szCs w:val="20"/>
              </w:rPr>
              <w:t>22.9%</w:t>
            </w:r>
          </w:p>
        </w:tc>
      </w:tr>
    </w:tbl>
    <w:p w14:paraId="4606A556" w14:textId="0158CB19" w:rsidR="00122363" w:rsidRPr="00122363" w:rsidRDefault="00122363" w:rsidP="00122363">
      <w:pPr>
        <w:pStyle w:val="ListParagraph"/>
        <w:numPr>
          <w:ilvl w:val="0"/>
          <w:numId w:val="15"/>
        </w:numPr>
        <w:rPr>
          <w:sz w:val="18"/>
          <w:szCs w:val="18"/>
        </w:rPr>
      </w:pPr>
      <w:r w:rsidRPr="00122363">
        <w:rPr>
          <w:sz w:val="18"/>
          <w:szCs w:val="18"/>
        </w:rPr>
        <w:t>In order to compare Coors' price projection in Delaware, the premium beer Michelob is used as the optimistic price, which has a retail price of $3.91 according to Study I.</w:t>
      </w:r>
    </w:p>
    <w:p w14:paraId="0801ADC9" w14:textId="77777777" w:rsidR="00122363" w:rsidRPr="00122363" w:rsidRDefault="00122363" w:rsidP="00122363">
      <w:pPr>
        <w:numPr>
          <w:ilvl w:val="0"/>
          <w:numId w:val="15"/>
        </w:numPr>
        <w:rPr>
          <w:sz w:val="18"/>
          <w:szCs w:val="18"/>
        </w:rPr>
      </w:pPr>
      <w:r w:rsidRPr="00122363">
        <w:rPr>
          <w:sz w:val="18"/>
          <w:szCs w:val="18"/>
        </w:rPr>
        <w:t>The pessimistic price used for comparison purposes is the average price of 7 beers, which is $3.35 according to Study I.</w:t>
      </w:r>
    </w:p>
    <w:p w14:paraId="4374ADD1" w14:textId="77777777" w:rsidR="00122363" w:rsidRPr="00122363" w:rsidRDefault="00122363" w:rsidP="00122363">
      <w:pPr>
        <w:numPr>
          <w:ilvl w:val="0"/>
          <w:numId w:val="15"/>
        </w:numPr>
        <w:rPr>
          <w:sz w:val="18"/>
          <w:szCs w:val="18"/>
        </w:rPr>
      </w:pPr>
      <w:r w:rsidRPr="00122363">
        <w:rPr>
          <w:sz w:val="18"/>
          <w:szCs w:val="18"/>
        </w:rPr>
        <w:t>The cost of goods sold percentage is 77.1% as obtained from Study F.</w:t>
      </w:r>
    </w:p>
    <w:p w14:paraId="6E3D14CC" w14:textId="77777777" w:rsidR="00122363" w:rsidRPr="00122363" w:rsidRDefault="00122363" w:rsidP="00122363">
      <w:pPr>
        <w:numPr>
          <w:ilvl w:val="0"/>
          <w:numId w:val="15"/>
        </w:numPr>
        <w:rPr>
          <w:sz w:val="18"/>
          <w:szCs w:val="18"/>
        </w:rPr>
      </w:pPr>
      <w:r w:rsidRPr="00122363">
        <w:rPr>
          <w:sz w:val="18"/>
          <w:szCs w:val="18"/>
        </w:rPr>
        <w:t>The wholesale price is calculated by adjusting the retail price for a 5.8% markup, which is the average markup based on Study I.</w:t>
      </w:r>
    </w:p>
    <w:p w14:paraId="3853C933" w14:textId="77777777" w:rsidR="00122363" w:rsidRPr="00122363" w:rsidRDefault="00122363" w:rsidP="00122363">
      <w:pPr>
        <w:numPr>
          <w:ilvl w:val="0"/>
          <w:numId w:val="15"/>
        </w:numPr>
        <w:rPr>
          <w:sz w:val="18"/>
          <w:szCs w:val="18"/>
        </w:rPr>
      </w:pPr>
      <w:r w:rsidRPr="00122363">
        <w:rPr>
          <w:sz w:val="18"/>
          <w:szCs w:val="18"/>
        </w:rPr>
        <w:t>Kegs sell at a rate of three to one over sales bottles and cans, as stated in the case.</w:t>
      </w:r>
    </w:p>
    <w:p w14:paraId="015A835F" w14:textId="77777777" w:rsidR="00122363" w:rsidRPr="00122363" w:rsidRDefault="00122363" w:rsidP="00122363">
      <w:pPr>
        <w:numPr>
          <w:ilvl w:val="0"/>
          <w:numId w:val="15"/>
        </w:numPr>
        <w:rPr>
          <w:sz w:val="18"/>
          <w:szCs w:val="18"/>
        </w:rPr>
      </w:pPr>
      <w:r w:rsidRPr="00122363">
        <w:rPr>
          <w:sz w:val="18"/>
          <w:szCs w:val="18"/>
        </w:rPr>
        <w:t>The weighted average price is calculated using the supplied weights of 0.75 for bottles and cans and 0.25 for kegs.</w:t>
      </w:r>
    </w:p>
    <w:p w14:paraId="086E7ED3" w14:textId="77777777" w:rsidR="00122363" w:rsidRPr="00122363" w:rsidRDefault="00122363" w:rsidP="00122363">
      <w:pPr>
        <w:numPr>
          <w:ilvl w:val="0"/>
          <w:numId w:val="15"/>
        </w:numPr>
        <w:rPr>
          <w:sz w:val="18"/>
          <w:szCs w:val="18"/>
        </w:rPr>
      </w:pPr>
      <w:r w:rsidRPr="00122363">
        <w:rPr>
          <w:sz w:val="18"/>
          <w:szCs w:val="18"/>
        </w:rPr>
        <w:t>The weighted contribution is the price minus the cost of goods sold using a COGS ratio of 77.1%.</w:t>
      </w:r>
    </w:p>
    <w:p w14:paraId="120417AF" w14:textId="77777777" w:rsidR="00122363" w:rsidRPr="00122363" w:rsidRDefault="00122363" w:rsidP="00122363">
      <w:pPr>
        <w:numPr>
          <w:ilvl w:val="0"/>
          <w:numId w:val="15"/>
        </w:numPr>
        <w:rPr>
          <w:sz w:val="18"/>
          <w:szCs w:val="18"/>
        </w:rPr>
      </w:pPr>
      <w:r w:rsidRPr="00122363">
        <w:rPr>
          <w:sz w:val="18"/>
          <w:szCs w:val="18"/>
        </w:rPr>
        <w:t>The contribution margin is 22.9%.</w:t>
      </w:r>
    </w:p>
    <w:p w14:paraId="7086BD09" w14:textId="420D47F0" w:rsidR="001F23CE" w:rsidRPr="00ED3B22" w:rsidRDefault="001F23CE" w:rsidP="001F23CE">
      <w:pPr>
        <w:rPr>
          <w:sz w:val="18"/>
          <w:szCs w:val="18"/>
        </w:rPr>
      </w:pPr>
    </w:p>
    <w:p w14:paraId="7C0EF13C" w14:textId="77777777" w:rsidR="001F23CE" w:rsidRDefault="001F23CE" w:rsidP="001F23CE">
      <w:r>
        <w:br w:type="page"/>
      </w:r>
    </w:p>
    <w:p w14:paraId="4762CF17" w14:textId="64498B72" w:rsidR="001F23CE" w:rsidRDefault="001F23CE">
      <w:pPr>
        <w:spacing w:after="160" w:line="259" w:lineRule="auto"/>
      </w:pPr>
    </w:p>
    <w:p w14:paraId="60F719D2" w14:textId="16990C2B" w:rsidR="007809F8" w:rsidRDefault="00D731DF" w:rsidP="00A77CC0">
      <w:pPr>
        <w:jc w:val="center"/>
      </w:pPr>
      <w:r>
        <w:t xml:space="preserve">Table </w:t>
      </w:r>
      <w:r w:rsidR="001F23CE">
        <w:t>4</w:t>
      </w:r>
      <w:r w:rsidR="00D86CBE">
        <w:t xml:space="preserve">. </w:t>
      </w:r>
      <w:r w:rsidR="00F62D10">
        <w:t xml:space="preserve">Summary of </w:t>
      </w:r>
      <w:r w:rsidR="007809F8">
        <w:t>Market and Sales Potential</w:t>
      </w:r>
      <w:r w:rsidR="00D86CBE">
        <w:t xml:space="preserve"> </w:t>
      </w:r>
      <w:r w:rsidR="000B0ED7">
        <w:t>for</w:t>
      </w:r>
      <w:r w:rsidR="007809F8">
        <w:t xml:space="preserve"> Delaware</w:t>
      </w:r>
    </w:p>
    <w:p w14:paraId="02A671B2" w14:textId="77777777" w:rsidR="007809F8" w:rsidRDefault="007809F8" w:rsidP="000227F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1116"/>
        <w:gridCol w:w="1116"/>
        <w:gridCol w:w="1116"/>
        <w:gridCol w:w="1116"/>
        <w:gridCol w:w="1116"/>
        <w:gridCol w:w="1116"/>
      </w:tblGrid>
      <w:tr w:rsidR="007809F8" w:rsidRPr="0098267A" w14:paraId="1D5780CD" w14:textId="77777777" w:rsidTr="0041168E">
        <w:trPr>
          <w:jc w:val="center"/>
        </w:trPr>
        <w:tc>
          <w:tcPr>
            <w:tcW w:w="3330" w:type="dxa"/>
            <w:shd w:val="clear" w:color="auto" w:fill="F2F2F2" w:themeFill="background1" w:themeFillShade="F2"/>
          </w:tcPr>
          <w:p w14:paraId="46647C6D" w14:textId="77777777" w:rsidR="007809F8" w:rsidRPr="0098267A" w:rsidRDefault="007809F8" w:rsidP="000227F6"/>
        </w:tc>
        <w:tc>
          <w:tcPr>
            <w:tcW w:w="2931" w:type="dxa"/>
            <w:gridSpan w:val="3"/>
            <w:tcBorders>
              <w:right w:val="single" w:sz="4" w:space="0" w:color="auto"/>
            </w:tcBorders>
            <w:shd w:val="clear" w:color="auto" w:fill="1F4E79" w:themeFill="accent1" w:themeFillShade="80"/>
            <w:vAlign w:val="bottom"/>
          </w:tcPr>
          <w:p w14:paraId="1806355F" w14:textId="77777777" w:rsidR="007809F8" w:rsidRPr="00D843A7" w:rsidRDefault="007809F8" w:rsidP="00E471CE">
            <w:pPr>
              <w:jc w:val="center"/>
              <w:rPr>
                <w:color w:val="FFFFFF" w:themeColor="background1"/>
                <w:sz w:val="22"/>
                <w:szCs w:val="21"/>
              </w:rPr>
            </w:pPr>
            <w:r w:rsidRPr="00D843A7">
              <w:rPr>
                <w:color w:val="FFFFFF" w:themeColor="background1"/>
                <w:sz w:val="22"/>
                <w:szCs w:val="21"/>
              </w:rPr>
              <w:t>Sales Tax Estimate</w:t>
            </w:r>
            <w:r w:rsidRPr="00D843A7">
              <w:rPr>
                <w:color w:val="FFFFFF" w:themeColor="background1"/>
                <w:sz w:val="22"/>
                <w:szCs w:val="21"/>
                <w:vertAlign w:val="superscript"/>
              </w:rPr>
              <w:t xml:space="preserve"> 1</w:t>
            </w:r>
          </w:p>
        </w:tc>
        <w:tc>
          <w:tcPr>
            <w:tcW w:w="2919" w:type="dxa"/>
            <w:gridSpan w:val="3"/>
            <w:tcBorders>
              <w:left w:val="single" w:sz="4" w:space="0" w:color="auto"/>
            </w:tcBorders>
            <w:shd w:val="clear" w:color="auto" w:fill="1F4E79" w:themeFill="accent1" w:themeFillShade="80"/>
          </w:tcPr>
          <w:p w14:paraId="413A4AD7" w14:textId="77777777" w:rsidR="007809F8" w:rsidRPr="00D843A7" w:rsidRDefault="007809F8" w:rsidP="00E471CE">
            <w:pPr>
              <w:jc w:val="center"/>
              <w:rPr>
                <w:color w:val="FFFFFF" w:themeColor="background1"/>
                <w:sz w:val="22"/>
                <w:szCs w:val="21"/>
              </w:rPr>
            </w:pPr>
            <w:r w:rsidRPr="00D843A7">
              <w:rPr>
                <w:color w:val="FFFFFF" w:themeColor="background1"/>
                <w:sz w:val="22"/>
                <w:szCs w:val="21"/>
              </w:rPr>
              <w:t>Consumption &amp; Population</w:t>
            </w:r>
          </w:p>
          <w:p w14:paraId="7455DEF6" w14:textId="77777777" w:rsidR="007809F8" w:rsidRPr="00D843A7" w:rsidRDefault="007809F8" w:rsidP="00E471CE">
            <w:pPr>
              <w:jc w:val="center"/>
              <w:rPr>
                <w:color w:val="FFFFFF" w:themeColor="background1"/>
                <w:sz w:val="22"/>
                <w:szCs w:val="21"/>
              </w:rPr>
            </w:pPr>
            <w:r w:rsidRPr="00D843A7">
              <w:rPr>
                <w:color w:val="FFFFFF" w:themeColor="background1"/>
                <w:sz w:val="22"/>
                <w:szCs w:val="21"/>
              </w:rPr>
              <w:t>Estimate</w:t>
            </w:r>
            <w:r w:rsidRPr="00D843A7">
              <w:rPr>
                <w:color w:val="FFFFFF" w:themeColor="background1"/>
                <w:sz w:val="22"/>
                <w:szCs w:val="21"/>
                <w:vertAlign w:val="superscript"/>
              </w:rPr>
              <w:t xml:space="preserve"> 2</w:t>
            </w:r>
          </w:p>
        </w:tc>
      </w:tr>
      <w:tr w:rsidR="007809F8" w:rsidRPr="00A77CC0" w14:paraId="358BD692" w14:textId="77777777" w:rsidTr="0041168E">
        <w:trPr>
          <w:jc w:val="center"/>
        </w:trPr>
        <w:tc>
          <w:tcPr>
            <w:tcW w:w="3330" w:type="dxa"/>
            <w:shd w:val="clear" w:color="auto" w:fill="F2F2F2" w:themeFill="background1" w:themeFillShade="F2"/>
          </w:tcPr>
          <w:p w14:paraId="40F4EEA5" w14:textId="77777777" w:rsidR="007809F8" w:rsidRPr="00A77CC0" w:rsidRDefault="007809F8" w:rsidP="000227F6">
            <w:pPr>
              <w:rPr>
                <w:sz w:val="20"/>
                <w:szCs w:val="20"/>
              </w:rPr>
            </w:pPr>
          </w:p>
        </w:tc>
        <w:tc>
          <w:tcPr>
            <w:tcW w:w="990" w:type="dxa"/>
            <w:tcBorders>
              <w:bottom w:val="single" w:sz="4" w:space="0" w:color="auto"/>
            </w:tcBorders>
            <w:shd w:val="clear" w:color="auto" w:fill="DEEAF6" w:themeFill="accent1" w:themeFillTint="33"/>
          </w:tcPr>
          <w:p w14:paraId="0F74164C" w14:textId="12C6C298" w:rsidR="007809F8" w:rsidRPr="00A77CC0" w:rsidRDefault="00976BED" w:rsidP="00E471CE">
            <w:pPr>
              <w:jc w:val="center"/>
              <w:rPr>
                <w:sz w:val="20"/>
                <w:szCs w:val="20"/>
              </w:rPr>
            </w:pPr>
            <w:r w:rsidRPr="00A77CC0">
              <w:rPr>
                <w:sz w:val="20"/>
                <w:szCs w:val="20"/>
              </w:rPr>
              <w:t>2001</w:t>
            </w:r>
          </w:p>
        </w:tc>
        <w:tc>
          <w:tcPr>
            <w:tcW w:w="900" w:type="dxa"/>
            <w:tcBorders>
              <w:bottom w:val="single" w:sz="4" w:space="0" w:color="auto"/>
            </w:tcBorders>
          </w:tcPr>
          <w:p w14:paraId="738819BA" w14:textId="54D07F16" w:rsidR="007809F8" w:rsidRPr="00A77CC0" w:rsidRDefault="00976BED" w:rsidP="00E471CE">
            <w:pPr>
              <w:jc w:val="center"/>
              <w:rPr>
                <w:sz w:val="20"/>
                <w:szCs w:val="20"/>
              </w:rPr>
            </w:pPr>
            <w:r w:rsidRPr="00A77CC0">
              <w:rPr>
                <w:sz w:val="20"/>
                <w:szCs w:val="20"/>
              </w:rPr>
              <w:t>2002</w:t>
            </w:r>
          </w:p>
        </w:tc>
        <w:tc>
          <w:tcPr>
            <w:tcW w:w="1041" w:type="dxa"/>
            <w:tcBorders>
              <w:bottom w:val="single" w:sz="4" w:space="0" w:color="auto"/>
              <w:right w:val="single" w:sz="4" w:space="0" w:color="auto"/>
            </w:tcBorders>
            <w:shd w:val="clear" w:color="auto" w:fill="E2EFD9" w:themeFill="accent6" w:themeFillTint="33"/>
          </w:tcPr>
          <w:p w14:paraId="474FF6A5" w14:textId="7E97661E" w:rsidR="007809F8" w:rsidRPr="00A77CC0" w:rsidRDefault="00976BED" w:rsidP="00E471CE">
            <w:pPr>
              <w:jc w:val="center"/>
              <w:rPr>
                <w:sz w:val="20"/>
                <w:szCs w:val="20"/>
              </w:rPr>
            </w:pPr>
            <w:r w:rsidRPr="00A77CC0">
              <w:rPr>
                <w:sz w:val="20"/>
                <w:szCs w:val="20"/>
              </w:rPr>
              <w:t>2003</w:t>
            </w:r>
          </w:p>
        </w:tc>
        <w:tc>
          <w:tcPr>
            <w:tcW w:w="939" w:type="dxa"/>
            <w:tcBorders>
              <w:left w:val="single" w:sz="4" w:space="0" w:color="auto"/>
              <w:bottom w:val="single" w:sz="4" w:space="0" w:color="auto"/>
            </w:tcBorders>
            <w:shd w:val="clear" w:color="auto" w:fill="DEEAF6" w:themeFill="accent1" w:themeFillTint="33"/>
          </w:tcPr>
          <w:p w14:paraId="61B5FE5E" w14:textId="3FCAFC37" w:rsidR="007809F8" w:rsidRPr="00A77CC0" w:rsidRDefault="00976BED" w:rsidP="00E471CE">
            <w:pPr>
              <w:jc w:val="center"/>
              <w:rPr>
                <w:sz w:val="20"/>
                <w:szCs w:val="20"/>
              </w:rPr>
            </w:pPr>
            <w:r w:rsidRPr="00A77CC0">
              <w:rPr>
                <w:sz w:val="20"/>
                <w:szCs w:val="20"/>
              </w:rPr>
              <w:t>2001</w:t>
            </w:r>
          </w:p>
        </w:tc>
        <w:tc>
          <w:tcPr>
            <w:tcW w:w="990" w:type="dxa"/>
            <w:tcBorders>
              <w:bottom w:val="single" w:sz="4" w:space="0" w:color="auto"/>
            </w:tcBorders>
          </w:tcPr>
          <w:p w14:paraId="1DEC419B" w14:textId="2CFF11FE" w:rsidR="007809F8" w:rsidRPr="00A77CC0" w:rsidRDefault="00976BED" w:rsidP="00E471CE">
            <w:pPr>
              <w:jc w:val="center"/>
              <w:rPr>
                <w:sz w:val="20"/>
                <w:szCs w:val="20"/>
              </w:rPr>
            </w:pPr>
            <w:r w:rsidRPr="00A77CC0">
              <w:rPr>
                <w:sz w:val="20"/>
                <w:szCs w:val="20"/>
              </w:rPr>
              <w:t>2002</w:t>
            </w:r>
          </w:p>
        </w:tc>
        <w:tc>
          <w:tcPr>
            <w:tcW w:w="990" w:type="dxa"/>
            <w:tcBorders>
              <w:bottom w:val="single" w:sz="4" w:space="0" w:color="auto"/>
            </w:tcBorders>
            <w:shd w:val="clear" w:color="auto" w:fill="E2EFD9" w:themeFill="accent6" w:themeFillTint="33"/>
          </w:tcPr>
          <w:p w14:paraId="0B9D888A" w14:textId="6F645D91" w:rsidR="007809F8" w:rsidRPr="00A77CC0" w:rsidRDefault="00976BED" w:rsidP="00E471CE">
            <w:pPr>
              <w:jc w:val="center"/>
              <w:rPr>
                <w:sz w:val="20"/>
                <w:szCs w:val="20"/>
              </w:rPr>
            </w:pPr>
            <w:r w:rsidRPr="00A77CC0">
              <w:rPr>
                <w:sz w:val="20"/>
                <w:szCs w:val="20"/>
              </w:rPr>
              <w:t>2003</w:t>
            </w:r>
          </w:p>
        </w:tc>
      </w:tr>
      <w:tr w:rsidR="007809F8" w:rsidRPr="00A77CC0" w14:paraId="7F137A8E" w14:textId="77777777" w:rsidTr="0041168E">
        <w:trPr>
          <w:jc w:val="center"/>
        </w:trPr>
        <w:tc>
          <w:tcPr>
            <w:tcW w:w="3330" w:type="dxa"/>
            <w:shd w:val="clear" w:color="auto" w:fill="F2F2F2" w:themeFill="background1" w:themeFillShade="F2"/>
          </w:tcPr>
          <w:p w14:paraId="50B380F8" w14:textId="77777777" w:rsidR="007809F8" w:rsidRPr="00A77CC0" w:rsidRDefault="007809F8" w:rsidP="000227F6">
            <w:pPr>
              <w:rPr>
                <w:sz w:val="20"/>
                <w:szCs w:val="20"/>
              </w:rPr>
            </w:pPr>
            <w:r w:rsidRPr="00A77CC0">
              <w:rPr>
                <w:sz w:val="20"/>
                <w:szCs w:val="20"/>
              </w:rPr>
              <w:t>Market Potential (gallons)</w:t>
            </w:r>
          </w:p>
        </w:tc>
        <w:tc>
          <w:tcPr>
            <w:tcW w:w="990" w:type="dxa"/>
            <w:tcBorders>
              <w:top w:val="single" w:sz="4" w:space="0" w:color="auto"/>
            </w:tcBorders>
            <w:shd w:val="clear" w:color="auto" w:fill="DEEAF6" w:themeFill="accent1" w:themeFillTint="33"/>
          </w:tcPr>
          <w:p w14:paraId="11679372" w14:textId="2B286A7E" w:rsidR="007809F8" w:rsidRPr="00A77CC0" w:rsidRDefault="00271CB4" w:rsidP="000227F6">
            <w:pPr>
              <w:rPr>
                <w:sz w:val="20"/>
                <w:szCs w:val="20"/>
              </w:rPr>
            </w:pPr>
            <w:r>
              <w:rPr>
                <w:sz w:val="20"/>
                <w:szCs w:val="20"/>
              </w:rPr>
              <w:t>5,700,667</w:t>
            </w:r>
          </w:p>
        </w:tc>
        <w:tc>
          <w:tcPr>
            <w:tcW w:w="900" w:type="dxa"/>
            <w:tcBorders>
              <w:top w:val="single" w:sz="4" w:space="0" w:color="auto"/>
            </w:tcBorders>
          </w:tcPr>
          <w:p w14:paraId="4D903EBA" w14:textId="31E121F5" w:rsidR="007809F8" w:rsidRPr="00A77CC0" w:rsidRDefault="00271CB4" w:rsidP="000227F6">
            <w:pPr>
              <w:rPr>
                <w:sz w:val="20"/>
                <w:szCs w:val="20"/>
              </w:rPr>
            </w:pPr>
            <w:r>
              <w:rPr>
                <w:sz w:val="20"/>
                <w:szCs w:val="20"/>
              </w:rPr>
              <w:t>6,001,000</w:t>
            </w:r>
          </w:p>
        </w:tc>
        <w:tc>
          <w:tcPr>
            <w:tcW w:w="1041" w:type="dxa"/>
            <w:tcBorders>
              <w:top w:val="single" w:sz="4" w:space="0" w:color="auto"/>
              <w:right w:val="single" w:sz="4" w:space="0" w:color="auto"/>
            </w:tcBorders>
            <w:shd w:val="clear" w:color="auto" w:fill="E2EFD9" w:themeFill="accent6" w:themeFillTint="33"/>
          </w:tcPr>
          <w:p w14:paraId="31C335E5" w14:textId="4A22BE08" w:rsidR="007809F8" w:rsidRPr="00A77CC0" w:rsidRDefault="00271CB4" w:rsidP="000227F6">
            <w:pPr>
              <w:rPr>
                <w:sz w:val="20"/>
                <w:szCs w:val="20"/>
              </w:rPr>
            </w:pPr>
            <w:r>
              <w:rPr>
                <w:sz w:val="20"/>
                <w:szCs w:val="20"/>
              </w:rPr>
              <w:t>6,301,000</w:t>
            </w:r>
          </w:p>
        </w:tc>
        <w:tc>
          <w:tcPr>
            <w:tcW w:w="939" w:type="dxa"/>
            <w:tcBorders>
              <w:top w:val="single" w:sz="4" w:space="0" w:color="auto"/>
              <w:left w:val="single" w:sz="4" w:space="0" w:color="auto"/>
            </w:tcBorders>
            <w:shd w:val="clear" w:color="auto" w:fill="DEEAF6" w:themeFill="accent1" w:themeFillTint="33"/>
          </w:tcPr>
          <w:p w14:paraId="28F7613E" w14:textId="08EF2846" w:rsidR="007809F8" w:rsidRPr="00A77CC0" w:rsidRDefault="00271CB4" w:rsidP="000227F6">
            <w:pPr>
              <w:rPr>
                <w:sz w:val="20"/>
                <w:szCs w:val="20"/>
              </w:rPr>
            </w:pPr>
            <w:r>
              <w:rPr>
                <w:sz w:val="20"/>
                <w:szCs w:val="20"/>
              </w:rPr>
              <w:t>6,798,275</w:t>
            </w:r>
          </w:p>
        </w:tc>
        <w:tc>
          <w:tcPr>
            <w:tcW w:w="990" w:type="dxa"/>
            <w:tcBorders>
              <w:top w:val="single" w:sz="4" w:space="0" w:color="auto"/>
            </w:tcBorders>
          </w:tcPr>
          <w:p w14:paraId="355A5334" w14:textId="0D78B3DB" w:rsidR="007809F8" w:rsidRPr="00A77CC0" w:rsidRDefault="00271CB4" w:rsidP="000227F6">
            <w:pPr>
              <w:rPr>
                <w:sz w:val="20"/>
                <w:szCs w:val="20"/>
              </w:rPr>
            </w:pPr>
            <w:r>
              <w:rPr>
                <w:sz w:val="20"/>
                <w:szCs w:val="20"/>
              </w:rPr>
              <w:t>7,626,000</w:t>
            </w:r>
          </w:p>
        </w:tc>
        <w:tc>
          <w:tcPr>
            <w:tcW w:w="990" w:type="dxa"/>
            <w:tcBorders>
              <w:top w:val="single" w:sz="4" w:space="0" w:color="auto"/>
            </w:tcBorders>
            <w:shd w:val="clear" w:color="auto" w:fill="E2EFD9" w:themeFill="accent6" w:themeFillTint="33"/>
          </w:tcPr>
          <w:p w14:paraId="6536B6E6" w14:textId="43205326" w:rsidR="007809F8" w:rsidRPr="00A77CC0" w:rsidRDefault="00271CB4" w:rsidP="000227F6">
            <w:pPr>
              <w:rPr>
                <w:sz w:val="20"/>
                <w:szCs w:val="20"/>
              </w:rPr>
            </w:pPr>
            <w:r>
              <w:rPr>
                <w:sz w:val="20"/>
                <w:szCs w:val="20"/>
              </w:rPr>
              <w:t>7,767,819</w:t>
            </w:r>
          </w:p>
        </w:tc>
      </w:tr>
      <w:tr w:rsidR="007809F8" w:rsidRPr="00A77CC0" w14:paraId="60D0DB2D" w14:textId="77777777" w:rsidTr="0041168E">
        <w:trPr>
          <w:jc w:val="center"/>
        </w:trPr>
        <w:tc>
          <w:tcPr>
            <w:tcW w:w="3330" w:type="dxa"/>
            <w:shd w:val="clear" w:color="auto" w:fill="F2F2F2" w:themeFill="background1" w:themeFillShade="F2"/>
          </w:tcPr>
          <w:p w14:paraId="29519418" w14:textId="496D6A07" w:rsidR="007809F8" w:rsidRPr="00A77CC0" w:rsidRDefault="007809F8" w:rsidP="000227F6">
            <w:pPr>
              <w:rPr>
                <w:sz w:val="20"/>
                <w:szCs w:val="20"/>
              </w:rPr>
            </w:pPr>
            <w:r w:rsidRPr="00A77CC0">
              <w:rPr>
                <w:sz w:val="20"/>
                <w:szCs w:val="20"/>
              </w:rPr>
              <w:t xml:space="preserve">Sales </w:t>
            </w:r>
            <w:r w:rsidR="000B0ED7" w:rsidRPr="00A77CC0">
              <w:rPr>
                <w:sz w:val="20"/>
                <w:szCs w:val="20"/>
              </w:rPr>
              <w:t>Potential</w:t>
            </w:r>
            <w:r w:rsidR="000B0ED7" w:rsidRPr="00A77CC0">
              <w:rPr>
                <w:sz w:val="20"/>
                <w:szCs w:val="20"/>
                <w:vertAlign w:val="superscript"/>
              </w:rPr>
              <w:t xml:space="preserve"> (</w:t>
            </w:r>
            <w:r w:rsidR="003F51D7" w:rsidRPr="00A77CC0">
              <w:rPr>
                <w:sz w:val="20"/>
                <w:szCs w:val="20"/>
              </w:rPr>
              <w:t>gallons)</w:t>
            </w:r>
            <w:r w:rsidR="005A2484" w:rsidRPr="00A77CC0">
              <w:rPr>
                <w:sz w:val="20"/>
                <w:szCs w:val="20"/>
                <w:vertAlign w:val="superscript"/>
              </w:rPr>
              <w:t xml:space="preserve"> 3</w:t>
            </w:r>
          </w:p>
        </w:tc>
        <w:tc>
          <w:tcPr>
            <w:tcW w:w="990" w:type="dxa"/>
            <w:shd w:val="clear" w:color="auto" w:fill="DEEAF6" w:themeFill="accent1" w:themeFillTint="33"/>
          </w:tcPr>
          <w:p w14:paraId="39AB35F6" w14:textId="4C8AC8B3" w:rsidR="007809F8" w:rsidRPr="00A77CC0" w:rsidRDefault="00463F53" w:rsidP="000227F6">
            <w:pPr>
              <w:rPr>
                <w:sz w:val="20"/>
                <w:szCs w:val="20"/>
              </w:rPr>
            </w:pPr>
            <w:r>
              <w:rPr>
                <w:sz w:val="20"/>
                <w:szCs w:val="20"/>
              </w:rPr>
              <w:t>507,359</w:t>
            </w:r>
          </w:p>
        </w:tc>
        <w:tc>
          <w:tcPr>
            <w:tcW w:w="900" w:type="dxa"/>
          </w:tcPr>
          <w:p w14:paraId="7841DEA7" w14:textId="42C16CEA" w:rsidR="007809F8" w:rsidRPr="00A77CC0" w:rsidRDefault="00463F53" w:rsidP="000227F6">
            <w:pPr>
              <w:rPr>
                <w:sz w:val="20"/>
                <w:szCs w:val="20"/>
              </w:rPr>
            </w:pPr>
            <w:r>
              <w:rPr>
                <w:sz w:val="20"/>
                <w:szCs w:val="20"/>
              </w:rPr>
              <w:t>522,087</w:t>
            </w:r>
          </w:p>
        </w:tc>
        <w:tc>
          <w:tcPr>
            <w:tcW w:w="1041" w:type="dxa"/>
            <w:tcBorders>
              <w:right w:val="single" w:sz="4" w:space="0" w:color="auto"/>
            </w:tcBorders>
            <w:shd w:val="clear" w:color="auto" w:fill="E2EFD9" w:themeFill="accent6" w:themeFillTint="33"/>
          </w:tcPr>
          <w:p w14:paraId="1207A707" w14:textId="13D8DF3E" w:rsidR="007809F8" w:rsidRPr="00A77CC0" w:rsidRDefault="00463F53" w:rsidP="000227F6">
            <w:pPr>
              <w:rPr>
                <w:sz w:val="20"/>
                <w:szCs w:val="20"/>
              </w:rPr>
            </w:pPr>
            <w:r>
              <w:rPr>
                <w:sz w:val="20"/>
                <w:szCs w:val="20"/>
              </w:rPr>
              <w:t>548,216</w:t>
            </w:r>
          </w:p>
        </w:tc>
        <w:tc>
          <w:tcPr>
            <w:tcW w:w="939" w:type="dxa"/>
            <w:tcBorders>
              <w:left w:val="single" w:sz="4" w:space="0" w:color="auto"/>
            </w:tcBorders>
            <w:shd w:val="clear" w:color="auto" w:fill="DEEAF6" w:themeFill="accent1" w:themeFillTint="33"/>
          </w:tcPr>
          <w:p w14:paraId="4A9F82D8" w14:textId="13BE86F5" w:rsidR="007809F8" w:rsidRPr="00A77CC0" w:rsidRDefault="00463F53" w:rsidP="000227F6">
            <w:pPr>
              <w:rPr>
                <w:sz w:val="20"/>
                <w:szCs w:val="20"/>
              </w:rPr>
            </w:pPr>
            <w:r>
              <w:rPr>
                <w:sz w:val="20"/>
                <w:szCs w:val="20"/>
              </w:rPr>
              <w:t>605,046</w:t>
            </w:r>
          </w:p>
        </w:tc>
        <w:tc>
          <w:tcPr>
            <w:tcW w:w="990" w:type="dxa"/>
          </w:tcPr>
          <w:p w14:paraId="646B875C" w14:textId="1FA1B1C5" w:rsidR="007809F8" w:rsidRPr="00A77CC0" w:rsidRDefault="00463F53" w:rsidP="000227F6">
            <w:pPr>
              <w:rPr>
                <w:sz w:val="20"/>
                <w:szCs w:val="20"/>
              </w:rPr>
            </w:pPr>
            <w:r>
              <w:rPr>
                <w:sz w:val="20"/>
                <w:szCs w:val="20"/>
              </w:rPr>
              <w:t>663,462</w:t>
            </w:r>
          </w:p>
        </w:tc>
        <w:tc>
          <w:tcPr>
            <w:tcW w:w="990" w:type="dxa"/>
            <w:shd w:val="clear" w:color="auto" w:fill="E2EFD9" w:themeFill="accent6" w:themeFillTint="33"/>
          </w:tcPr>
          <w:p w14:paraId="0C34CE09" w14:textId="0D68D089" w:rsidR="007809F8" w:rsidRPr="00A77CC0" w:rsidRDefault="00463F53" w:rsidP="000227F6">
            <w:pPr>
              <w:rPr>
                <w:sz w:val="20"/>
                <w:szCs w:val="20"/>
              </w:rPr>
            </w:pPr>
            <w:r>
              <w:rPr>
                <w:sz w:val="20"/>
                <w:szCs w:val="20"/>
              </w:rPr>
              <w:t>675,800</w:t>
            </w:r>
          </w:p>
        </w:tc>
      </w:tr>
      <w:tr w:rsidR="007809F8" w:rsidRPr="00A77CC0" w14:paraId="736DC446" w14:textId="77777777" w:rsidTr="0041168E">
        <w:trPr>
          <w:jc w:val="center"/>
        </w:trPr>
        <w:tc>
          <w:tcPr>
            <w:tcW w:w="3330" w:type="dxa"/>
            <w:shd w:val="clear" w:color="auto" w:fill="F2F2F2" w:themeFill="background1" w:themeFillShade="F2"/>
          </w:tcPr>
          <w:p w14:paraId="4775381F" w14:textId="2AAF9CC2" w:rsidR="007809F8" w:rsidRPr="00A77CC0" w:rsidRDefault="007809F8" w:rsidP="000227F6">
            <w:pPr>
              <w:rPr>
                <w:sz w:val="20"/>
                <w:szCs w:val="20"/>
              </w:rPr>
            </w:pPr>
          </w:p>
        </w:tc>
        <w:tc>
          <w:tcPr>
            <w:tcW w:w="990" w:type="dxa"/>
            <w:shd w:val="clear" w:color="auto" w:fill="DEEAF6" w:themeFill="accent1" w:themeFillTint="33"/>
          </w:tcPr>
          <w:p w14:paraId="76F6D0E1" w14:textId="4D1DF6EC" w:rsidR="007809F8" w:rsidRPr="00A77CC0" w:rsidRDefault="007809F8" w:rsidP="000227F6">
            <w:pPr>
              <w:rPr>
                <w:sz w:val="20"/>
                <w:szCs w:val="20"/>
              </w:rPr>
            </w:pPr>
          </w:p>
        </w:tc>
        <w:tc>
          <w:tcPr>
            <w:tcW w:w="900" w:type="dxa"/>
          </w:tcPr>
          <w:p w14:paraId="75B83CD9" w14:textId="4E4F23D1" w:rsidR="007809F8" w:rsidRPr="00A77CC0" w:rsidRDefault="007809F8" w:rsidP="000227F6">
            <w:pPr>
              <w:rPr>
                <w:sz w:val="20"/>
                <w:szCs w:val="20"/>
              </w:rPr>
            </w:pPr>
          </w:p>
        </w:tc>
        <w:tc>
          <w:tcPr>
            <w:tcW w:w="1041" w:type="dxa"/>
            <w:tcBorders>
              <w:right w:val="single" w:sz="4" w:space="0" w:color="auto"/>
            </w:tcBorders>
            <w:shd w:val="clear" w:color="auto" w:fill="E2EFD9" w:themeFill="accent6" w:themeFillTint="33"/>
          </w:tcPr>
          <w:p w14:paraId="38034D70" w14:textId="46F55F20" w:rsidR="007809F8" w:rsidRPr="00A77CC0" w:rsidRDefault="007809F8" w:rsidP="000227F6">
            <w:pPr>
              <w:rPr>
                <w:sz w:val="20"/>
                <w:szCs w:val="20"/>
              </w:rPr>
            </w:pPr>
          </w:p>
        </w:tc>
        <w:tc>
          <w:tcPr>
            <w:tcW w:w="939" w:type="dxa"/>
            <w:tcBorders>
              <w:left w:val="single" w:sz="4" w:space="0" w:color="auto"/>
            </w:tcBorders>
            <w:shd w:val="clear" w:color="auto" w:fill="DEEAF6" w:themeFill="accent1" w:themeFillTint="33"/>
          </w:tcPr>
          <w:p w14:paraId="71BE9E39" w14:textId="0573CFBE" w:rsidR="007809F8" w:rsidRPr="00A77CC0" w:rsidRDefault="007809F8" w:rsidP="000227F6">
            <w:pPr>
              <w:rPr>
                <w:sz w:val="20"/>
                <w:szCs w:val="20"/>
              </w:rPr>
            </w:pPr>
          </w:p>
        </w:tc>
        <w:tc>
          <w:tcPr>
            <w:tcW w:w="990" w:type="dxa"/>
          </w:tcPr>
          <w:p w14:paraId="38C8D70F" w14:textId="3100C434" w:rsidR="007809F8" w:rsidRPr="00A77CC0" w:rsidRDefault="007809F8" w:rsidP="000227F6">
            <w:pPr>
              <w:rPr>
                <w:sz w:val="20"/>
                <w:szCs w:val="20"/>
              </w:rPr>
            </w:pPr>
          </w:p>
        </w:tc>
        <w:tc>
          <w:tcPr>
            <w:tcW w:w="990" w:type="dxa"/>
            <w:shd w:val="clear" w:color="auto" w:fill="E2EFD9" w:themeFill="accent6" w:themeFillTint="33"/>
          </w:tcPr>
          <w:p w14:paraId="0BEF3916" w14:textId="6D5D57DE" w:rsidR="007809F8" w:rsidRPr="00A77CC0" w:rsidRDefault="007809F8" w:rsidP="000227F6">
            <w:pPr>
              <w:rPr>
                <w:sz w:val="20"/>
                <w:szCs w:val="20"/>
              </w:rPr>
            </w:pPr>
          </w:p>
        </w:tc>
      </w:tr>
      <w:tr w:rsidR="007809F8" w:rsidRPr="00A77CC0" w14:paraId="48397F52" w14:textId="77777777" w:rsidTr="0041168E">
        <w:trPr>
          <w:jc w:val="center"/>
        </w:trPr>
        <w:tc>
          <w:tcPr>
            <w:tcW w:w="3330" w:type="dxa"/>
            <w:shd w:val="clear" w:color="auto" w:fill="F2F2F2" w:themeFill="background1" w:themeFillShade="F2"/>
          </w:tcPr>
          <w:p w14:paraId="550FB5FA" w14:textId="5307C346" w:rsidR="007809F8" w:rsidRPr="00A77CC0" w:rsidRDefault="000B7AC4" w:rsidP="000227F6">
            <w:pPr>
              <w:rPr>
                <w:sz w:val="20"/>
                <w:szCs w:val="20"/>
              </w:rPr>
            </w:pPr>
            <w:r>
              <w:rPr>
                <w:sz w:val="20"/>
                <w:szCs w:val="20"/>
              </w:rPr>
              <w:t>Dollar</w:t>
            </w:r>
            <w:r w:rsidR="00427541">
              <w:rPr>
                <w:sz w:val="20"/>
                <w:szCs w:val="20"/>
              </w:rPr>
              <w:t xml:space="preserve"> </w:t>
            </w:r>
            <w:r w:rsidR="005504C1">
              <w:rPr>
                <w:sz w:val="20"/>
                <w:szCs w:val="20"/>
              </w:rPr>
              <w:t xml:space="preserve">Sales Potential </w:t>
            </w:r>
            <w:r w:rsidR="00024C47">
              <w:rPr>
                <w:sz w:val="20"/>
                <w:szCs w:val="20"/>
              </w:rPr>
              <w:t xml:space="preserve">Price </w:t>
            </w:r>
            <w:r w:rsidR="0041168E">
              <w:rPr>
                <w:sz w:val="20"/>
                <w:szCs w:val="20"/>
              </w:rPr>
              <w:t>[$</w:t>
            </w:r>
            <w:r w:rsidR="00463F53">
              <w:rPr>
                <w:sz w:val="20"/>
                <w:szCs w:val="20"/>
              </w:rPr>
              <w:t>5.62</w:t>
            </w:r>
            <w:r w:rsidR="0041168E">
              <w:rPr>
                <w:sz w:val="20"/>
                <w:szCs w:val="20"/>
              </w:rPr>
              <w:t>]</w:t>
            </w:r>
            <w:r w:rsidR="00106706" w:rsidRPr="00A77CC0">
              <w:rPr>
                <w:sz w:val="20"/>
                <w:szCs w:val="20"/>
                <w:vertAlign w:val="superscript"/>
              </w:rPr>
              <w:t xml:space="preserve"> 4</w:t>
            </w:r>
          </w:p>
        </w:tc>
        <w:tc>
          <w:tcPr>
            <w:tcW w:w="990" w:type="dxa"/>
            <w:shd w:val="clear" w:color="auto" w:fill="DEEAF6" w:themeFill="accent1" w:themeFillTint="33"/>
          </w:tcPr>
          <w:p w14:paraId="56C51E19" w14:textId="4CA0CEE0" w:rsidR="007809F8" w:rsidRPr="00A77CC0" w:rsidRDefault="00463F53" w:rsidP="000227F6">
            <w:pPr>
              <w:rPr>
                <w:sz w:val="20"/>
                <w:szCs w:val="20"/>
              </w:rPr>
            </w:pPr>
            <w:r>
              <w:rPr>
                <w:sz w:val="20"/>
                <w:szCs w:val="20"/>
              </w:rPr>
              <w:t>$2,852,696</w:t>
            </w:r>
          </w:p>
        </w:tc>
        <w:tc>
          <w:tcPr>
            <w:tcW w:w="900" w:type="dxa"/>
          </w:tcPr>
          <w:p w14:paraId="63207C99" w14:textId="24B7FEB3" w:rsidR="007809F8" w:rsidRPr="00A77CC0" w:rsidRDefault="00463F53" w:rsidP="000227F6">
            <w:pPr>
              <w:rPr>
                <w:sz w:val="20"/>
                <w:szCs w:val="20"/>
              </w:rPr>
            </w:pPr>
            <w:r>
              <w:rPr>
                <w:sz w:val="20"/>
                <w:szCs w:val="20"/>
              </w:rPr>
              <w:t>$2,935,504</w:t>
            </w:r>
          </w:p>
        </w:tc>
        <w:tc>
          <w:tcPr>
            <w:tcW w:w="1041" w:type="dxa"/>
            <w:tcBorders>
              <w:right w:val="single" w:sz="4" w:space="0" w:color="auto"/>
            </w:tcBorders>
            <w:shd w:val="clear" w:color="auto" w:fill="E2EFD9" w:themeFill="accent6" w:themeFillTint="33"/>
          </w:tcPr>
          <w:p w14:paraId="7058D96A" w14:textId="1DF04921" w:rsidR="007809F8" w:rsidRPr="00A77CC0" w:rsidRDefault="00463F53" w:rsidP="000227F6">
            <w:pPr>
              <w:rPr>
                <w:sz w:val="20"/>
                <w:szCs w:val="20"/>
              </w:rPr>
            </w:pPr>
            <w:r>
              <w:rPr>
                <w:sz w:val="20"/>
                <w:szCs w:val="20"/>
              </w:rPr>
              <w:t>$3,082,418</w:t>
            </w:r>
          </w:p>
        </w:tc>
        <w:tc>
          <w:tcPr>
            <w:tcW w:w="939" w:type="dxa"/>
            <w:tcBorders>
              <w:left w:val="single" w:sz="4" w:space="0" w:color="auto"/>
            </w:tcBorders>
            <w:shd w:val="clear" w:color="auto" w:fill="DEEAF6" w:themeFill="accent1" w:themeFillTint="33"/>
          </w:tcPr>
          <w:p w14:paraId="1B999D90" w14:textId="201613F1" w:rsidR="007809F8" w:rsidRPr="00A77CC0" w:rsidRDefault="00463F53" w:rsidP="000227F6">
            <w:pPr>
              <w:rPr>
                <w:sz w:val="20"/>
                <w:szCs w:val="20"/>
              </w:rPr>
            </w:pPr>
            <w:r>
              <w:rPr>
                <w:sz w:val="20"/>
                <w:szCs w:val="20"/>
              </w:rPr>
              <w:t>$3,401,955</w:t>
            </w:r>
          </w:p>
        </w:tc>
        <w:tc>
          <w:tcPr>
            <w:tcW w:w="990" w:type="dxa"/>
          </w:tcPr>
          <w:p w14:paraId="6F3E6012" w14:textId="05844CBF" w:rsidR="007809F8" w:rsidRPr="00A77CC0" w:rsidRDefault="00463F53" w:rsidP="000227F6">
            <w:pPr>
              <w:rPr>
                <w:sz w:val="20"/>
                <w:szCs w:val="20"/>
              </w:rPr>
            </w:pPr>
            <w:r>
              <w:rPr>
                <w:sz w:val="20"/>
                <w:szCs w:val="20"/>
              </w:rPr>
              <w:t>$3,370,404</w:t>
            </w:r>
          </w:p>
        </w:tc>
        <w:tc>
          <w:tcPr>
            <w:tcW w:w="990" w:type="dxa"/>
            <w:shd w:val="clear" w:color="auto" w:fill="E2EFD9" w:themeFill="accent6" w:themeFillTint="33"/>
          </w:tcPr>
          <w:p w14:paraId="46F88CAC" w14:textId="0FBCFF3B" w:rsidR="007809F8" w:rsidRPr="00A77CC0" w:rsidRDefault="00463F53" w:rsidP="000227F6">
            <w:pPr>
              <w:rPr>
                <w:sz w:val="20"/>
                <w:szCs w:val="20"/>
              </w:rPr>
            </w:pPr>
            <w:r>
              <w:rPr>
                <w:sz w:val="20"/>
                <w:szCs w:val="20"/>
              </w:rPr>
              <w:t>$3,799,777</w:t>
            </w:r>
          </w:p>
        </w:tc>
      </w:tr>
      <w:tr w:rsidR="007809F8" w:rsidRPr="00A77CC0" w14:paraId="6F76E489" w14:textId="77777777" w:rsidTr="0041168E">
        <w:trPr>
          <w:jc w:val="center"/>
        </w:trPr>
        <w:tc>
          <w:tcPr>
            <w:tcW w:w="3330" w:type="dxa"/>
            <w:shd w:val="clear" w:color="auto" w:fill="F2F2F2" w:themeFill="background1" w:themeFillShade="F2"/>
          </w:tcPr>
          <w:p w14:paraId="60D648A6" w14:textId="5F61E247" w:rsidR="007809F8" w:rsidRPr="00A77CC0" w:rsidRDefault="007809F8" w:rsidP="000227F6">
            <w:pPr>
              <w:rPr>
                <w:sz w:val="20"/>
                <w:szCs w:val="20"/>
              </w:rPr>
            </w:pPr>
            <w:r w:rsidRPr="00A77CC0">
              <w:rPr>
                <w:sz w:val="20"/>
                <w:szCs w:val="20"/>
              </w:rPr>
              <w:t>Dollar</w:t>
            </w:r>
            <w:r w:rsidR="00427541">
              <w:rPr>
                <w:sz w:val="20"/>
                <w:szCs w:val="20"/>
              </w:rPr>
              <w:t xml:space="preserve"> Sales Potential</w:t>
            </w:r>
            <w:r w:rsidRPr="00A77CC0">
              <w:rPr>
                <w:sz w:val="20"/>
                <w:szCs w:val="20"/>
              </w:rPr>
              <w:t xml:space="preserve"> </w:t>
            </w:r>
            <w:r w:rsidR="00024C47">
              <w:rPr>
                <w:sz w:val="20"/>
                <w:szCs w:val="20"/>
              </w:rPr>
              <w:t xml:space="preserve">Price </w:t>
            </w:r>
            <w:r w:rsidR="007E6771">
              <w:rPr>
                <w:sz w:val="20"/>
                <w:szCs w:val="20"/>
              </w:rPr>
              <w:t>[$</w:t>
            </w:r>
            <w:r w:rsidR="00463F53">
              <w:rPr>
                <w:sz w:val="20"/>
                <w:szCs w:val="20"/>
              </w:rPr>
              <w:t>4.82]</w:t>
            </w:r>
            <w:r w:rsidR="00106706" w:rsidRPr="00A77CC0">
              <w:rPr>
                <w:sz w:val="20"/>
                <w:szCs w:val="20"/>
                <w:vertAlign w:val="superscript"/>
              </w:rPr>
              <w:t xml:space="preserve"> 5</w:t>
            </w:r>
          </w:p>
        </w:tc>
        <w:tc>
          <w:tcPr>
            <w:tcW w:w="990" w:type="dxa"/>
            <w:shd w:val="clear" w:color="auto" w:fill="DEEAF6" w:themeFill="accent1" w:themeFillTint="33"/>
          </w:tcPr>
          <w:p w14:paraId="17ADFCAC" w14:textId="117C59C9" w:rsidR="007809F8" w:rsidRPr="00A77CC0" w:rsidRDefault="00463F53" w:rsidP="000227F6">
            <w:pPr>
              <w:rPr>
                <w:sz w:val="20"/>
                <w:szCs w:val="20"/>
              </w:rPr>
            </w:pPr>
            <w:r>
              <w:rPr>
                <w:sz w:val="20"/>
                <w:szCs w:val="20"/>
              </w:rPr>
              <w:t>$2,444,250</w:t>
            </w:r>
          </w:p>
        </w:tc>
        <w:tc>
          <w:tcPr>
            <w:tcW w:w="900" w:type="dxa"/>
          </w:tcPr>
          <w:p w14:paraId="08C30956" w14:textId="3A5F7345" w:rsidR="007809F8" w:rsidRPr="00A77CC0" w:rsidRDefault="00463F53" w:rsidP="000227F6">
            <w:pPr>
              <w:rPr>
                <w:sz w:val="20"/>
                <w:szCs w:val="20"/>
              </w:rPr>
            </w:pPr>
            <w:r>
              <w:rPr>
                <w:sz w:val="20"/>
                <w:szCs w:val="20"/>
              </w:rPr>
              <w:t>$2,515,202</w:t>
            </w:r>
          </w:p>
        </w:tc>
        <w:tc>
          <w:tcPr>
            <w:tcW w:w="1041" w:type="dxa"/>
            <w:tcBorders>
              <w:right w:val="single" w:sz="4" w:space="0" w:color="auto"/>
            </w:tcBorders>
            <w:shd w:val="clear" w:color="auto" w:fill="E2EFD9" w:themeFill="accent6" w:themeFillTint="33"/>
          </w:tcPr>
          <w:p w14:paraId="3D49DA38" w14:textId="4B3E06A1" w:rsidR="007809F8" w:rsidRPr="00A77CC0" w:rsidRDefault="00463F53" w:rsidP="000227F6">
            <w:pPr>
              <w:rPr>
                <w:sz w:val="20"/>
                <w:szCs w:val="20"/>
              </w:rPr>
            </w:pPr>
            <w:r>
              <w:rPr>
                <w:sz w:val="20"/>
                <w:szCs w:val="20"/>
              </w:rPr>
              <w:t>$2,641,081</w:t>
            </w:r>
          </w:p>
        </w:tc>
        <w:tc>
          <w:tcPr>
            <w:tcW w:w="939" w:type="dxa"/>
            <w:tcBorders>
              <w:left w:val="single" w:sz="4" w:space="0" w:color="auto"/>
            </w:tcBorders>
            <w:shd w:val="clear" w:color="auto" w:fill="DEEAF6" w:themeFill="accent1" w:themeFillTint="33"/>
          </w:tcPr>
          <w:p w14:paraId="5545761A" w14:textId="32014217" w:rsidR="007809F8" w:rsidRPr="00A77CC0" w:rsidRDefault="00463F53" w:rsidP="000227F6">
            <w:pPr>
              <w:rPr>
                <w:sz w:val="20"/>
                <w:szCs w:val="20"/>
              </w:rPr>
            </w:pPr>
            <w:r>
              <w:rPr>
                <w:sz w:val="20"/>
                <w:szCs w:val="20"/>
              </w:rPr>
              <w:t>$2,914,867</w:t>
            </w:r>
          </w:p>
        </w:tc>
        <w:tc>
          <w:tcPr>
            <w:tcW w:w="990" w:type="dxa"/>
          </w:tcPr>
          <w:p w14:paraId="64D0A287" w14:textId="3288D0BE" w:rsidR="007809F8" w:rsidRPr="00A77CC0" w:rsidRDefault="00463F53" w:rsidP="000227F6">
            <w:pPr>
              <w:rPr>
                <w:sz w:val="20"/>
                <w:szCs w:val="20"/>
              </w:rPr>
            </w:pPr>
            <w:r>
              <w:rPr>
                <w:sz w:val="20"/>
                <w:szCs w:val="20"/>
              </w:rPr>
              <w:t>$3,195,289</w:t>
            </w:r>
          </w:p>
        </w:tc>
        <w:tc>
          <w:tcPr>
            <w:tcW w:w="990" w:type="dxa"/>
            <w:shd w:val="clear" w:color="auto" w:fill="E2EFD9" w:themeFill="accent6" w:themeFillTint="33"/>
          </w:tcPr>
          <w:p w14:paraId="32F80224" w14:textId="5A25F9B2" w:rsidR="007809F8" w:rsidRPr="00A77CC0" w:rsidRDefault="00463F53" w:rsidP="000227F6">
            <w:pPr>
              <w:rPr>
                <w:sz w:val="20"/>
                <w:szCs w:val="20"/>
              </w:rPr>
            </w:pPr>
            <w:r>
              <w:rPr>
                <w:sz w:val="20"/>
                <w:szCs w:val="20"/>
              </w:rPr>
              <w:t>$3,255,730</w:t>
            </w:r>
          </w:p>
        </w:tc>
      </w:tr>
    </w:tbl>
    <w:p w14:paraId="5387FA46" w14:textId="77777777" w:rsidR="007809F8" w:rsidRPr="0098267A" w:rsidRDefault="007809F8" w:rsidP="000227F6"/>
    <w:p w14:paraId="229938C8" w14:textId="281D7A5E" w:rsidR="007809F8" w:rsidRPr="0042232C" w:rsidRDefault="007809F8" w:rsidP="000227F6">
      <w:pPr>
        <w:rPr>
          <w:sz w:val="18"/>
          <w:szCs w:val="18"/>
        </w:rPr>
      </w:pPr>
      <w:r w:rsidRPr="0042232C">
        <w:rPr>
          <w:sz w:val="18"/>
          <w:szCs w:val="18"/>
          <w:vertAlign w:val="superscript"/>
        </w:rPr>
        <w:t xml:space="preserve">1 </w:t>
      </w:r>
      <w:r w:rsidRPr="0042232C">
        <w:rPr>
          <w:sz w:val="18"/>
          <w:szCs w:val="18"/>
        </w:rPr>
        <w:t xml:space="preserve">The sales tax estimate </w:t>
      </w:r>
      <w:proofErr w:type="gramStart"/>
      <w:r w:rsidR="00030850">
        <w:rPr>
          <w:sz w:val="18"/>
          <w:szCs w:val="18"/>
        </w:rPr>
        <w:t>are</w:t>
      </w:r>
      <w:proofErr w:type="gramEnd"/>
      <w:r w:rsidR="00030850">
        <w:rPr>
          <w:sz w:val="18"/>
          <w:szCs w:val="18"/>
        </w:rPr>
        <w:t xml:space="preserve"> taken from</w:t>
      </w:r>
      <w:r w:rsidRPr="0042232C">
        <w:rPr>
          <w:sz w:val="18"/>
          <w:szCs w:val="18"/>
        </w:rPr>
        <w:t xml:space="preserve"> </w:t>
      </w:r>
      <w:proofErr w:type="spellStart"/>
      <w:r w:rsidR="00463F53">
        <w:rPr>
          <w:sz w:val="18"/>
          <w:szCs w:val="18"/>
        </w:rPr>
        <w:t>manson</w:t>
      </w:r>
      <w:proofErr w:type="spellEnd"/>
      <w:r w:rsidR="00463F53">
        <w:rPr>
          <w:sz w:val="18"/>
          <w:szCs w:val="18"/>
        </w:rPr>
        <w:t xml:space="preserve"> research Study E, as shown as table I</w:t>
      </w:r>
    </w:p>
    <w:p w14:paraId="6B2412F7" w14:textId="61CA9F41" w:rsidR="007809F8" w:rsidRPr="0042232C" w:rsidRDefault="007809F8" w:rsidP="000227F6">
      <w:pPr>
        <w:rPr>
          <w:sz w:val="18"/>
          <w:szCs w:val="18"/>
        </w:rPr>
      </w:pPr>
      <w:r w:rsidRPr="0042232C">
        <w:rPr>
          <w:sz w:val="18"/>
          <w:szCs w:val="18"/>
          <w:vertAlign w:val="superscript"/>
        </w:rPr>
        <w:t xml:space="preserve">2 </w:t>
      </w:r>
      <w:r w:rsidRPr="0042232C">
        <w:rPr>
          <w:sz w:val="18"/>
          <w:szCs w:val="18"/>
        </w:rPr>
        <w:t>The consumption and population estimates are</w:t>
      </w:r>
      <w:r w:rsidR="00463F53">
        <w:rPr>
          <w:sz w:val="18"/>
          <w:szCs w:val="18"/>
        </w:rPr>
        <w:t xml:space="preserve"> taken from the Table II.</w:t>
      </w:r>
    </w:p>
    <w:p w14:paraId="61F8846A" w14:textId="3DE3FB62" w:rsidR="007809F8" w:rsidRPr="0042232C" w:rsidRDefault="007809F8" w:rsidP="000227F6">
      <w:pPr>
        <w:rPr>
          <w:sz w:val="18"/>
          <w:szCs w:val="18"/>
        </w:rPr>
      </w:pPr>
      <w:r w:rsidRPr="0042232C">
        <w:rPr>
          <w:sz w:val="18"/>
          <w:szCs w:val="18"/>
          <w:vertAlign w:val="superscript"/>
        </w:rPr>
        <w:t xml:space="preserve">3 </w:t>
      </w:r>
      <w:r w:rsidRPr="0042232C">
        <w:rPr>
          <w:sz w:val="18"/>
          <w:szCs w:val="18"/>
        </w:rPr>
        <w:t xml:space="preserve">The sales potential </w:t>
      </w:r>
      <w:r w:rsidR="00E87100">
        <w:rPr>
          <w:sz w:val="18"/>
          <w:szCs w:val="18"/>
        </w:rPr>
        <w:t>estimates are obtaine</w:t>
      </w:r>
      <w:r w:rsidR="00463F53">
        <w:rPr>
          <w:sz w:val="18"/>
          <w:szCs w:val="18"/>
        </w:rPr>
        <w:t xml:space="preserve">d </w:t>
      </w:r>
      <w:r w:rsidR="00731CD1">
        <w:rPr>
          <w:sz w:val="18"/>
          <w:szCs w:val="18"/>
        </w:rPr>
        <w:t xml:space="preserve">from </w:t>
      </w:r>
      <w:proofErr w:type="spellStart"/>
      <w:r w:rsidR="00731CD1">
        <w:rPr>
          <w:sz w:val="18"/>
          <w:szCs w:val="18"/>
        </w:rPr>
        <w:t>manson</w:t>
      </w:r>
      <w:proofErr w:type="spellEnd"/>
      <w:r w:rsidR="00731CD1">
        <w:rPr>
          <w:sz w:val="18"/>
          <w:szCs w:val="18"/>
        </w:rPr>
        <w:t xml:space="preserve"> research study A &amp; B &amp; C &amp; E. We took the market projections and multiplied them by market </w:t>
      </w:r>
      <w:proofErr w:type="gramStart"/>
      <w:r w:rsidR="00731CD1">
        <w:rPr>
          <w:sz w:val="18"/>
          <w:szCs w:val="18"/>
        </w:rPr>
        <w:t>size</w:t>
      </w:r>
      <w:proofErr w:type="gramEnd"/>
    </w:p>
    <w:p w14:paraId="15FCCBEC" w14:textId="4FB87D9E" w:rsidR="007809F8" w:rsidRPr="0042232C" w:rsidRDefault="007809F8" w:rsidP="000227F6">
      <w:pPr>
        <w:rPr>
          <w:sz w:val="18"/>
          <w:szCs w:val="18"/>
          <w:vertAlign w:val="superscript"/>
        </w:rPr>
      </w:pPr>
      <w:r w:rsidRPr="0042232C">
        <w:rPr>
          <w:sz w:val="18"/>
          <w:szCs w:val="18"/>
          <w:vertAlign w:val="superscript"/>
        </w:rPr>
        <w:t xml:space="preserve">4 </w:t>
      </w:r>
      <w:r w:rsidRPr="0042232C">
        <w:rPr>
          <w:sz w:val="18"/>
          <w:szCs w:val="18"/>
        </w:rPr>
        <w:t xml:space="preserve">The optimistic dollar estimate is </w:t>
      </w:r>
      <w:r w:rsidR="005504C1">
        <w:rPr>
          <w:sz w:val="18"/>
          <w:szCs w:val="18"/>
        </w:rPr>
        <w:t xml:space="preserve">based </w:t>
      </w:r>
      <w:r w:rsidRPr="0042232C">
        <w:rPr>
          <w:sz w:val="18"/>
          <w:szCs w:val="18"/>
        </w:rPr>
        <w:t xml:space="preserve">the weighted average price </w:t>
      </w:r>
      <w:r w:rsidR="00731CD1">
        <w:rPr>
          <w:sz w:val="18"/>
          <w:szCs w:val="18"/>
        </w:rPr>
        <w:t>of $5.62</w:t>
      </w:r>
      <w:r w:rsidR="00975630">
        <w:rPr>
          <w:sz w:val="18"/>
          <w:szCs w:val="18"/>
        </w:rPr>
        <w:t xml:space="preserve">, </w:t>
      </w:r>
      <w:r w:rsidR="00731CD1">
        <w:rPr>
          <w:sz w:val="18"/>
          <w:szCs w:val="18"/>
        </w:rPr>
        <w:t>explained in Table 3.</w:t>
      </w:r>
    </w:p>
    <w:p w14:paraId="1E27E86A" w14:textId="4B6E4563" w:rsidR="007809F8" w:rsidRPr="0042232C" w:rsidRDefault="007809F8" w:rsidP="000227F6">
      <w:pPr>
        <w:rPr>
          <w:sz w:val="18"/>
          <w:szCs w:val="18"/>
        </w:rPr>
      </w:pPr>
      <w:r w:rsidRPr="0042232C">
        <w:rPr>
          <w:sz w:val="18"/>
          <w:szCs w:val="18"/>
          <w:vertAlign w:val="superscript"/>
        </w:rPr>
        <w:t xml:space="preserve">5 </w:t>
      </w:r>
      <w:r w:rsidRPr="0042232C">
        <w:rPr>
          <w:sz w:val="18"/>
          <w:szCs w:val="18"/>
        </w:rPr>
        <w:t xml:space="preserve">The pessimistic dollar estimate is </w:t>
      </w:r>
      <w:r w:rsidR="005504C1">
        <w:rPr>
          <w:sz w:val="18"/>
          <w:szCs w:val="18"/>
        </w:rPr>
        <w:t xml:space="preserve">based on </w:t>
      </w:r>
      <w:r w:rsidRPr="0042232C">
        <w:rPr>
          <w:sz w:val="18"/>
          <w:szCs w:val="18"/>
        </w:rPr>
        <w:t xml:space="preserve">the weighted average price of </w:t>
      </w:r>
      <w:r w:rsidR="00731CD1">
        <w:rPr>
          <w:sz w:val="18"/>
          <w:szCs w:val="18"/>
        </w:rPr>
        <w:t>$4.82</w:t>
      </w:r>
      <w:r w:rsidR="00975630">
        <w:rPr>
          <w:sz w:val="18"/>
          <w:szCs w:val="18"/>
        </w:rPr>
        <w:t xml:space="preserve">, </w:t>
      </w:r>
      <w:r w:rsidR="00731CD1">
        <w:rPr>
          <w:sz w:val="18"/>
          <w:szCs w:val="18"/>
        </w:rPr>
        <w:t xml:space="preserve">explained in Table 3. </w:t>
      </w:r>
    </w:p>
    <w:p w14:paraId="7B3366B4" w14:textId="37F5841B" w:rsidR="00106706" w:rsidRPr="0042232C" w:rsidRDefault="00106706" w:rsidP="000227F6">
      <w:pPr>
        <w:rPr>
          <w:sz w:val="18"/>
          <w:szCs w:val="18"/>
        </w:rPr>
      </w:pPr>
    </w:p>
    <w:p w14:paraId="60D9DBD2" w14:textId="7B9574E6" w:rsidR="00106706" w:rsidRPr="0042232C" w:rsidRDefault="00106706" w:rsidP="000227F6">
      <w:pPr>
        <w:rPr>
          <w:sz w:val="18"/>
          <w:szCs w:val="18"/>
        </w:rPr>
      </w:pPr>
      <w:r w:rsidRPr="0042232C">
        <w:rPr>
          <w:sz w:val="18"/>
          <w:szCs w:val="18"/>
        </w:rPr>
        <w:t>.</w:t>
      </w:r>
    </w:p>
    <w:p w14:paraId="7C0BEF83" w14:textId="77777777" w:rsidR="007809F8" w:rsidRDefault="007809F8" w:rsidP="000227F6">
      <w:r>
        <w:br w:type="page"/>
      </w:r>
    </w:p>
    <w:p w14:paraId="1BA6C0BD" w14:textId="135FCBBF" w:rsidR="0041255B" w:rsidRPr="008D0F79" w:rsidRDefault="0041255B" w:rsidP="0041255B">
      <w:pPr>
        <w:jc w:val="center"/>
      </w:pPr>
      <w:r>
        <w:lastRenderedPageBreak/>
        <w:t>Table 5. Estimated Fixed</w:t>
      </w:r>
      <w:r w:rsidRPr="008D0F79">
        <w:t xml:space="preserve"> Costs</w:t>
      </w:r>
    </w:p>
    <w:p w14:paraId="673CE587" w14:textId="77777777" w:rsidR="0041255B" w:rsidRDefault="0041255B" w:rsidP="0041255B"/>
    <w:tbl>
      <w:tblPr>
        <w:tblStyle w:val="GridTable5Dark-Accent1"/>
        <w:tblW w:w="0" w:type="auto"/>
        <w:jc w:val="center"/>
        <w:tblLook w:val="04A0" w:firstRow="1" w:lastRow="0" w:firstColumn="1" w:lastColumn="0" w:noHBand="0" w:noVBand="1"/>
      </w:tblPr>
      <w:tblGrid>
        <w:gridCol w:w="2790"/>
        <w:gridCol w:w="1350"/>
      </w:tblGrid>
      <w:tr w:rsidR="0041255B" w14:paraId="2DE8B73F" w14:textId="77777777" w:rsidTr="000E22FE">
        <w:trPr>
          <w:cnfStyle w:val="100000000000" w:firstRow="1" w:lastRow="0" w:firstColumn="0" w:lastColumn="0" w:oddVBand="0" w:evenVBand="0" w:oddHBand="0" w:evenHBand="0" w:firstRowFirstColumn="0" w:firstRowLastColumn="0" w:lastRowFirstColumn="0" w:lastRowLastColumn="0"/>
          <w:trHeight w:val="710"/>
          <w:jc w:val="center"/>
        </w:trPr>
        <w:tc>
          <w:tcPr>
            <w:cnfStyle w:val="001000000000" w:firstRow="0" w:lastRow="0" w:firstColumn="1" w:lastColumn="0" w:oddVBand="0" w:evenVBand="0" w:oddHBand="0" w:evenHBand="0" w:firstRowFirstColumn="0" w:firstRowLastColumn="0" w:lastRowFirstColumn="0" w:lastRowLastColumn="0"/>
            <w:tcW w:w="2790" w:type="dxa"/>
            <w:tcBorders>
              <w:bottom w:val="single" w:sz="4" w:space="0" w:color="auto"/>
            </w:tcBorders>
            <w:shd w:val="clear" w:color="auto" w:fill="BDD6EE" w:themeFill="accent1" w:themeFillTint="66"/>
            <w:vAlign w:val="center"/>
          </w:tcPr>
          <w:p w14:paraId="263E6833" w14:textId="77777777" w:rsidR="0041255B" w:rsidRPr="004A56CE" w:rsidRDefault="0041255B" w:rsidP="000E22FE">
            <w:pPr>
              <w:jc w:val="center"/>
              <w:rPr>
                <w:color w:val="000000" w:themeColor="text1"/>
                <w:sz w:val="20"/>
                <w:szCs w:val="20"/>
              </w:rPr>
            </w:pPr>
            <w:r w:rsidRPr="004A56CE">
              <w:rPr>
                <w:color w:val="000000" w:themeColor="text1"/>
                <w:sz w:val="20"/>
                <w:szCs w:val="20"/>
              </w:rPr>
              <w:t>Cost Item</w:t>
            </w:r>
          </w:p>
        </w:tc>
        <w:tc>
          <w:tcPr>
            <w:tcW w:w="1350" w:type="dxa"/>
            <w:tcBorders>
              <w:bottom w:val="single" w:sz="4" w:space="0" w:color="auto"/>
            </w:tcBorders>
            <w:shd w:val="clear" w:color="auto" w:fill="BDD6EE" w:themeFill="accent1" w:themeFillTint="66"/>
            <w:vAlign w:val="center"/>
          </w:tcPr>
          <w:p w14:paraId="4330458B" w14:textId="77777777" w:rsidR="0041255B" w:rsidRPr="00BC497F" w:rsidRDefault="0041255B" w:rsidP="000E22FE">
            <w:pPr>
              <w:jc w:val="center"/>
              <w:cnfStyle w:val="100000000000" w:firstRow="1" w:lastRow="0" w:firstColumn="0" w:lastColumn="0" w:oddVBand="0" w:evenVBand="0" w:oddHBand="0" w:evenHBand="0" w:firstRowFirstColumn="0" w:firstRowLastColumn="0" w:lastRowFirstColumn="0" w:lastRowLastColumn="0"/>
              <w:rPr>
                <w:sz w:val="20"/>
                <w:szCs w:val="20"/>
              </w:rPr>
            </w:pPr>
            <w:r w:rsidRPr="00BC497F">
              <w:rPr>
                <w:color w:val="000000" w:themeColor="text1"/>
                <w:sz w:val="20"/>
                <w:szCs w:val="20"/>
              </w:rPr>
              <w:t>Dollar Estimate</w:t>
            </w:r>
          </w:p>
        </w:tc>
      </w:tr>
      <w:tr w:rsidR="0041255B" w14:paraId="68E45261" w14:textId="77777777" w:rsidTr="000E22F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tcPr>
          <w:p w14:paraId="53CAA5E1" w14:textId="77777777" w:rsidR="0041255B" w:rsidRPr="00D903A4" w:rsidRDefault="0041255B" w:rsidP="000E22FE">
            <w:pPr>
              <w:rPr>
                <w:color w:val="000000" w:themeColor="text1"/>
                <w:sz w:val="20"/>
                <w:szCs w:val="20"/>
                <w:u w:val="single"/>
              </w:rPr>
            </w:pPr>
            <w:r w:rsidRPr="00D903A4">
              <w:rPr>
                <w:color w:val="000000" w:themeColor="text1"/>
                <w:sz w:val="20"/>
                <w:szCs w:val="20"/>
                <w:u w:val="single"/>
              </w:rPr>
              <w:t>Brownlow Estimates</w:t>
            </w:r>
            <w:r w:rsidRPr="004D7E4E">
              <w:rPr>
                <w:color w:val="000000" w:themeColor="text1"/>
                <w:sz w:val="20"/>
                <w:szCs w:val="20"/>
                <w:u w:val="single"/>
                <w:vertAlign w:val="superscript"/>
              </w:rPr>
              <w:t>1</w:t>
            </w:r>
          </w:p>
        </w:tc>
        <w:tc>
          <w:tcPr>
            <w:tcW w:w="1350" w:type="dxa"/>
            <w:tcBorders>
              <w:top w:val="single" w:sz="4" w:space="0" w:color="auto"/>
            </w:tcBorders>
            <w:shd w:val="clear" w:color="auto" w:fill="auto"/>
          </w:tcPr>
          <w:p w14:paraId="204A9935" w14:textId="77777777" w:rsidR="0041255B" w:rsidRDefault="0041255B" w:rsidP="000E22FE">
            <w:pPr>
              <w:jc w:val="righ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41255B" w14:paraId="45F086F6" w14:textId="77777777" w:rsidTr="000E22FE">
        <w:trPr>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1A39420F" w14:textId="08952856" w:rsidR="0041255B" w:rsidRPr="002439CE" w:rsidRDefault="003C4522" w:rsidP="000E22FE">
            <w:pPr>
              <w:rPr>
                <w:b w:val="0"/>
                <w:bCs w:val="0"/>
                <w:color w:val="000000" w:themeColor="text1"/>
                <w:sz w:val="20"/>
                <w:szCs w:val="20"/>
              </w:rPr>
            </w:pPr>
            <w:r>
              <w:rPr>
                <w:b w:val="0"/>
                <w:bCs w:val="0"/>
                <w:color w:val="000000" w:themeColor="text1"/>
                <w:sz w:val="20"/>
                <w:szCs w:val="20"/>
              </w:rPr>
              <w:t>Salaries</w:t>
            </w:r>
          </w:p>
        </w:tc>
        <w:tc>
          <w:tcPr>
            <w:tcW w:w="1350" w:type="dxa"/>
            <w:shd w:val="clear" w:color="auto" w:fill="auto"/>
          </w:tcPr>
          <w:p w14:paraId="21A805BA" w14:textId="2B165C6D" w:rsidR="0041255B" w:rsidRPr="00567C5C" w:rsidRDefault="00520EB4" w:rsidP="000E22FE">
            <w:pPr>
              <w:jc w:val="righ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$160,000</w:t>
            </w:r>
          </w:p>
        </w:tc>
      </w:tr>
      <w:tr w:rsidR="0041255B" w14:paraId="08D68E54" w14:textId="77777777" w:rsidTr="000E22F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377675C4" w14:textId="74B6688A" w:rsidR="0041255B" w:rsidRPr="00567C5C" w:rsidRDefault="003C4522" w:rsidP="000E22FE">
            <w:pPr>
              <w:rPr>
                <w:b w:val="0"/>
                <w:bCs w:val="0"/>
                <w:color w:val="000000" w:themeColor="text1"/>
                <w:sz w:val="20"/>
                <w:szCs w:val="20"/>
              </w:rPr>
            </w:pPr>
            <w:r>
              <w:rPr>
                <w:b w:val="0"/>
                <w:bCs w:val="0"/>
                <w:color w:val="000000" w:themeColor="text1"/>
                <w:sz w:val="20"/>
                <w:szCs w:val="20"/>
              </w:rPr>
              <w:t>Depreciation</w:t>
            </w:r>
          </w:p>
        </w:tc>
        <w:tc>
          <w:tcPr>
            <w:tcW w:w="1350" w:type="dxa"/>
            <w:shd w:val="clear" w:color="auto" w:fill="auto"/>
          </w:tcPr>
          <w:p w14:paraId="5690B758" w14:textId="4C0BB260" w:rsidR="0041255B" w:rsidRPr="00567C5C" w:rsidRDefault="00520EB4" w:rsidP="000E22FE">
            <w:pPr>
              <w:jc w:val="righ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$50,000</w:t>
            </w:r>
          </w:p>
        </w:tc>
      </w:tr>
      <w:tr w:rsidR="0041255B" w14:paraId="67985564" w14:textId="77777777" w:rsidTr="000E22FE">
        <w:trPr>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2A1EDA73" w14:textId="0F61289B" w:rsidR="0041255B" w:rsidRPr="00567C5C" w:rsidRDefault="003C4522" w:rsidP="000E22FE">
            <w:pPr>
              <w:rPr>
                <w:b w:val="0"/>
                <w:bCs w:val="0"/>
                <w:color w:val="000000" w:themeColor="text1"/>
                <w:sz w:val="20"/>
                <w:szCs w:val="20"/>
              </w:rPr>
            </w:pPr>
            <w:r>
              <w:rPr>
                <w:b w:val="0"/>
                <w:bCs w:val="0"/>
                <w:color w:val="000000" w:themeColor="text1"/>
                <w:sz w:val="20"/>
                <w:szCs w:val="20"/>
              </w:rPr>
              <w:t>Utilities and Phone</w:t>
            </w:r>
          </w:p>
        </w:tc>
        <w:tc>
          <w:tcPr>
            <w:tcW w:w="1350" w:type="dxa"/>
            <w:shd w:val="clear" w:color="auto" w:fill="auto"/>
          </w:tcPr>
          <w:p w14:paraId="7CAF2E83" w14:textId="2B87DC3B" w:rsidR="0041255B" w:rsidRPr="00567C5C" w:rsidRDefault="00520EB4" w:rsidP="000E22FE">
            <w:pPr>
              <w:jc w:val="righ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$12,000</w:t>
            </w:r>
          </w:p>
        </w:tc>
      </w:tr>
      <w:tr w:rsidR="0041255B" w14:paraId="45CAEDF8" w14:textId="77777777" w:rsidTr="000E22F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5A10DCA1" w14:textId="0AA5117E" w:rsidR="0041255B" w:rsidRPr="00567C5C" w:rsidRDefault="003C4522" w:rsidP="000E22FE">
            <w:pPr>
              <w:rPr>
                <w:b w:val="0"/>
                <w:bCs w:val="0"/>
                <w:color w:val="000000" w:themeColor="text1"/>
                <w:sz w:val="20"/>
                <w:szCs w:val="20"/>
              </w:rPr>
            </w:pPr>
            <w:r>
              <w:rPr>
                <w:b w:val="0"/>
                <w:bCs w:val="0"/>
                <w:color w:val="000000" w:themeColor="text1"/>
                <w:sz w:val="20"/>
                <w:szCs w:val="20"/>
              </w:rPr>
              <w:t>Insurance</w:t>
            </w:r>
          </w:p>
        </w:tc>
        <w:tc>
          <w:tcPr>
            <w:tcW w:w="1350" w:type="dxa"/>
            <w:shd w:val="clear" w:color="auto" w:fill="auto"/>
          </w:tcPr>
          <w:p w14:paraId="53ECFDA1" w14:textId="7DB55E66" w:rsidR="0041255B" w:rsidRPr="00567C5C" w:rsidRDefault="00520EB4" w:rsidP="000E22FE">
            <w:pPr>
              <w:jc w:val="righ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$10,000</w:t>
            </w:r>
          </w:p>
        </w:tc>
      </w:tr>
      <w:tr w:rsidR="0041255B" w14:paraId="574DC908" w14:textId="77777777" w:rsidTr="000E22FE">
        <w:trPr>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15180CD3" w14:textId="1E5379E4" w:rsidR="0041255B" w:rsidRPr="00567C5C" w:rsidRDefault="003C4522" w:rsidP="000E22FE">
            <w:pPr>
              <w:rPr>
                <w:b w:val="0"/>
                <w:bCs w:val="0"/>
                <w:color w:val="000000" w:themeColor="text1"/>
                <w:sz w:val="20"/>
                <w:szCs w:val="20"/>
              </w:rPr>
            </w:pPr>
            <w:r>
              <w:rPr>
                <w:b w:val="0"/>
                <w:bCs w:val="0"/>
                <w:color w:val="000000" w:themeColor="text1"/>
                <w:sz w:val="20"/>
                <w:szCs w:val="20"/>
              </w:rPr>
              <w:t>Personal Property Tax</w:t>
            </w:r>
          </w:p>
        </w:tc>
        <w:tc>
          <w:tcPr>
            <w:tcW w:w="1350" w:type="dxa"/>
            <w:shd w:val="clear" w:color="auto" w:fill="auto"/>
          </w:tcPr>
          <w:p w14:paraId="56B0CA4D" w14:textId="3DE53BFB" w:rsidR="0041255B" w:rsidRPr="00567C5C" w:rsidRDefault="00520EB4" w:rsidP="000E22FE">
            <w:pPr>
              <w:jc w:val="righ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$10,000</w:t>
            </w:r>
          </w:p>
        </w:tc>
      </w:tr>
      <w:tr w:rsidR="0041255B" w14:paraId="257E1162" w14:textId="77777777" w:rsidTr="000E22F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5E2628AC" w14:textId="38A382EE" w:rsidR="0041255B" w:rsidRPr="00567C5C" w:rsidRDefault="003C4522" w:rsidP="000E22FE">
            <w:pPr>
              <w:rPr>
                <w:b w:val="0"/>
                <w:bCs w:val="0"/>
                <w:color w:val="000000" w:themeColor="text1"/>
                <w:sz w:val="20"/>
                <w:szCs w:val="20"/>
              </w:rPr>
            </w:pPr>
            <w:r>
              <w:rPr>
                <w:b w:val="0"/>
                <w:bCs w:val="0"/>
                <w:color w:val="000000" w:themeColor="text1"/>
                <w:sz w:val="20"/>
                <w:szCs w:val="20"/>
              </w:rPr>
              <w:t>Maintenance</w:t>
            </w:r>
          </w:p>
        </w:tc>
        <w:tc>
          <w:tcPr>
            <w:tcW w:w="1350" w:type="dxa"/>
            <w:tcBorders>
              <w:bottom w:val="single" w:sz="4" w:space="0" w:color="FFFFFF" w:themeColor="background1"/>
            </w:tcBorders>
            <w:shd w:val="clear" w:color="auto" w:fill="auto"/>
          </w:tcPr>
          <w:p w14:paraId="78F3367B" w14:textId="222C33D5" w:rsidR="0041255B" w:rsidRPr="00567C5C" w:rsidRDefault="00520EB4" w:rsidP="000E22FE">
            <w:pPr>
              <w:jc w:val="righ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$5,600</w:t>
            </w:r>
          </w:p>
        </w:tc>
      </w:tr>
      <w:tr w:rsidR="0041255B" w14:paraId="02F70A3F" w14:textId="77777777" w:rsidTr="005A78BB">
        <w:trPr>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3B7D5290" w14:textId="06789C9B" w:rsidR="0041255B" w:rsidRDefault="003C4522" w:rsidP="000E22FE">
            <w:pPr>
              <w:rPr>
                <w:color w:val="000000" w:themeColor="text1"/>
                <w:sz w:val="20"/>
                <w:szCs w:val="20"/>
              </w:rPr>
            </w:pPr>
            <w:r>
              <w:rPr>
                <w:b w:val="0"/>
                <w:bCs w:val="0"/>
                <w:color w:val="000000" w:themeColor="text1"/>
                <w:sz w:val="20"/>
                <w:szCs w:val="20"/>
              </w:rPr>
              <w:t>Miscellaneous</w:t>
            </w:r>
          </w:p>
          <w:p w14:paraId="5C1C91EA" w14:textId="77777777" w:rsidR="005A78BB" w:rsidRDefault="005A78BB" w:rsidP="000E22FE">
            <w:pPr>
              <w:rPr>
                <w:color w:val="000000" w:themeColor="text1"/>
                <w:sz w:val="20"/>
                <w:szCs w:val="20"/>
              </w:rPr>
            </w:pPr>
          </w:p>
          <w:p w14:paraId="653DD318" w14:textId="778E2149" w:rsidR="00D35BFF" w:rsidRDefault="00D35BFF" w:rsidP="000E22FE">
            <w:pPr>
              <w:rPr>
                <w:b w:val="0"/>
                <w:bCs w:val="0"/>
                <w:color w:val="000000" w:themeColor="text1"/>
                <w:sz w:val="20"/>
                <w:szCs w:val="20"/>
                <w:u w:val="single"/>
              </w:rPr>
            </w:pPr>
            <w:r w:rsidRPr="005A78BB">
              <w:rPr>
                <w:color w:val="000000" w:themeColor="text1"/>
                <w:sz w:val="20"/>
                <w:szCs w:val="20"/>
                <w:u w:val="single"/>
              </w:rPr>
              <w:t>Adjustments</w:t>
            </w:r>
            <w:r w:rsidR="00CC0636" w:rsidRPr="00CC0636">
              <w:rPr>
                <w:color w:val="000000" w:themeColor="text1"/>
                <w:sz w:val="20"/>
                <w:szCs w:val="20"/>
                <w:u w:val="single"/>
                <w:vertAlign w:val="superscript"/>
              </w:rPr>
              <w:t>2</w:t>
            </w:r>
          </w:p>
          <w:p w14:paraId="706DAA73" w14:textId="0BE58D4C" w:rsidR="005A78BB" w:rsidRPr="005A78BB" w:rsidRDefault="005A78BB" w:rsidP="004B44FA">
            <w:pPr>
              <w:rPr>
                <w:color w:val="000000" w:themeColor="text1"/>
                <w:sz w:val="20"/>
                <w:szCs w:val="20"/>
                <w:u w:val="single"/>
              </w:rPr>
            </w:pPr>
          </w:p>
        </w:tc>
        <w:tc>
          <w:tcPr>
            <w:tcW w:w="1350" w:type="dxa"/>
            <w:shd w:val="clear" w:color="auto" w:fill="auto"/>
          </w:tcPr>
          <w:p w14:paraId="3A30F36A" w14:textId="71353449" w:rsidR="0041255B" w:rsidRPr="00567C5C" w:rsidRDefault="00520EB4" w:rsidP="000E22FE">
            <w:pPr>
              <w:jc w:val="righ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$2,400</w:t>
            </w:r>
          </w:p>
        </w:tc>
      </w:tr>
      <w:tr w:rsidR="005A78BB" w14:paraId="25135E33" w14:textId="77777777" w:rsidTr="004B44F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07CFE4F9" w14:textId="06324411" w:rsidR="005A78BB" w:rsidRDefault="004B44FA" w:rsidP="00FC326A">
            <w:pPr>
              <w:rPr>
                <w:b w:val="0"/>
                <w:bCs w:val="0"/>
                <w:color w:val="000000" w:themeColor="text1"/>
                <w:sz w:val="20"/>
                <w:szCs w:val="20"/>
              </w:rPr>
            </w:pPr>
            <w:r w:rsidRPr="005A78BB">
              <w:rPr>
                <w:b w:val="0"/>
                <w:bCs w:val="0"/>
                <w:color w:val="000000" w:themeColor="text1"/>
                <w:sz w:val="20"/>
                <w:szCs w:val="20"/>
              </w:rPr>
              <w:t>Interest</w:t>
            </w:r>
          </w:p>
        </w:tc>
        <w:tc>
          <w:tcPr>
            <w:tcW w:w="1350" w:type="dxa"/>
            <w:shd w:val="clear" w:color="auto" w:fill="auto"/>
          </w:tcPr>
          <w:p w14:paraId="4D8FEA11" w14:textId="0B00A06E" w:rsidR="005A78BB" w:rsidRPr="00567C5C" w:rsidRDefault="00520EB4" w:rsidP="000E22FE">
            <w:pPr>
              <w:jc w:val="righ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$40,000</w:t>
            </w:r>
          </w:p>
        </w:tc>
      </w:tr>
      <w:tr w:rsidR="004B44FA" w14:paraId="40A12BAE" w14:textId="77777777" w:rsidTr="000C5AC6">
        <w:trPr>
          <w:trHeight w:val="288"/>
          <w:jc w:val="center"/>
        </w:trPr>
        <w:tc>
          <w:tcPr>
            <w:cnfStyle w:val="001000000000" w:firstRow="0" w:lastRow="0" w:firstColumn="1" w:lastColumn="0" w:oddVBand="0" w:evenVBand="0" w:oddHBand="0" w:evenHBand="0" w:firstRowFirstColumn="0" w:firstRowLastColumn="0" w:lastRowFirstColumn="0" w:lastRowLastColumn="0"/>
            <w:tcW w:w="2790" w:type="dxa"/>
            <w:tcBorders>
              <w:bottom w:val="single" w:sz="4" w:space="0" w:color="FFFFFF" w:themeColor="background1"/>
            </w:tcBorders>
            <w:shd w:val="clear" w:color="auto" w:fill="auto"/>
          </w:tcPr>
          <w:p w14:paraId="1C17862E" w14:textId="006A4513" w:rsidR="004B44FA" w:rsidRDefault="004B44FA" w:rsidP="000E22FE">
            <w:pPr>
              <w:rPr>
                <w:b w:val="0"/>
                <w:bCs w:val="0"/>
                <w:color w:val="000000" w:themeColor="text1"/>
                <w:sz w:val="20"/>
                <w:szCs w:val="20"/>
              </w:rPr>
            </w:pPr>
            <w:r w:rsidRPr="005A78BB">
              <w:rPr>
                <w:b w:val="0"/>
                <w:bCs w:val="0"/>
                <w:color w:val="000000" w:themeColor="text1"/>
                <w:sz w:val="20"/>
                <w:szCs w:val="20"/>
              </w:rPr>
              <w:t xml:space="preserve">Study F </w:t>
            </w:r>
            <w:r>
              <w:rPr>
                <w:b w:val="0"/>
                <w:bCs w:val="0"/>
                <w:color w:val="000000" w:themeColor="text1"/>
                <w:sz w:val="20"/>
                <w:szCs w:val="20"/>
              </w:rPr>
              <w:t>Adjustments</w:t>
            </w:r>
          </w:p>
        </w:tc>
        <w:tc>
          <w:tcPr>
            <w:tcW w:w="1350" w:type="dxa"/>
            <w:tcBorders>
              <w:bottom w:val="single" w:sz="4" w:space="0" w:color="FFFFFF" w:themeColor="background1"/>
            </w:tcBorders>
            <w:shd w:val="clear" w:color="auto" w:fill="auto"/>
          </w:tcPr>
          <w:p w14:paraId="4D834955" w14:textId="413D82D2" w:rsidR="004B44FA" w:rsidRPr="00567C5C" w:rsidRDefault="00520EB4" w:rsidP="000E22FE">
            <w:pPr>
              <w:jc w:val="righ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$256,898</w:t>
            </w:r>
          </w:p>
        </w:tc>
      </w:tr>
      <w:tr w:rsidR="000C5AC6" w14:paraId="6F3C5603" w14:textId="77777777" w:rsidTr="000C5AC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90" w:type="dxa"/>
            <w:tcBorders>
              <w:bottom w:val="single" w:sz="4" w:space="0" w:color="auto"/>
            </w:tcBorders>
            <w:shd w:val="clear" w:color="auto" w:fill="auto"/>
          </w:tcPr>
          <w:p w14:paraId="7F404442" w14:textId="77777777" w:rsidR="000C5AC6" w:rsidRPr="005A78BB" w:rsidRDefault="000C5AC6" w:rsidP="000E22FE">
            <w:pPr>
              <w:rPr>
                <w:b w:val="0"/>
                <w:bCs w:val="0"/>
                <w:color w:val="000000" w:themeColor="text1"/>
                <w:sz w:val="20"/>
                <w:szCs w:val="20"/>
              </w:rPr>
            </w:pPr>
          </w:p>
        </w:tc>
        <w:tc>
          <w:tcPr>
            <w:tcW w:w="1350" w:type="dxa"/>
            <w:tcBorders>
              <w:bottom w:val="single" w:sz="4" w:space="0" w:color="auto"/>
            </w:tcBorders>
            <w:shd w:val="clear" w:color="auto" w:fill="auto"/>
          </w:tcPr>
          <w:p w14:paraId="5F8793C2" w14:textId="77777777" w:rsidR="000C5AC6" w:rsidRPr="00567C5C" w:rsidRDefault="000C5AC6" w:rsidP="000E22FE">
            <w:pPr>
              <w:jc w:val="righ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bl>
    <w:p w14:paraId="3FEF325C" w14:textId="77777777" w:rsidR="00122363" w:rsidRDefault="003A53C0" w:rsidP="00122363">
      <w:pPr>
        <w:rPr>
          <w:sz w:val="20"/>
          <w:szCs w:val="20"/>
        </w:rPr>
      </w:pPr>
      <w:r w:rsidRPr="003A53C0">
        <w:rPr>
          <w:sz w:val="20"/>
          <w:szCs w:val="20"/>
          <w:vertAlign w:val="superscript"/>
        </w:rPr>
        <w:t>1</w:t>
      </w:r>
      <w:r w:rsidR="00520EB4">
        <w:rPr>
          <w:sz w:val="20"/>
          <w:szCs w:val="20"/>
        </w:rPr>
        <w:t xml:space="preserve"> </w:t>
      </w:r>
      <w:r w:rsidR="00122363" w:rsidRPr="00122363">
        <w:rPr>
          <w:sz w:val="20"/>
          <w:szCs w:val="20"/>
        </w:rPr>
        <w:t xml:space="preserve">The Brownlow Estimate values used in the analysis are provided in the case </w:t>
      </w:r>
      <w:proofErr w:type="gramStart"/>
      <w:r w:rsidR="00122363" w:rsidRPr="00122363">
        <w:rPr>
          <w:sz w:val="20"/>
          <w:szCs w:val="20"/>
        </w:rPr>
        <w:t>s</w:t>
      </w:r>
      <w:r w:rsidR="00122363">
        <w:rPr>
          <w:sz w:val="20"/>
          <w:szCs w:val="20"/>
        </w:rPr>
        <w:t>tudy</w:t>
      </w:r>
      <w:proofErr w:type="gramEnd"/>
    </w:p>
    <w:p w14:paraId="7D2C5742" w14:textId="14C7D342" w:rsidR="00122363" w:rsidRPr="00122363" w:rsidRDefault="00122363" w:rsidP="00122363">
      <w:pPr>
        <w:rPr>
          <w:sz w:val="20"/>
          <w:szCs w:val="20"/>
        </w:rPr>
      </w:pPr>
      <w:r>
        <w:rPr>
          <w:sz w:val="20"/>
          <w:szCs w:val="20"/>
          <w:vertAlign w:val="superscript"/>
        </w:rPr>
        <w:t xml:space="preserve"> </w:t>
      </w:r>
      <w:r w:rsidR="00CC0636">
        <w:rPr>
          <w:sz w:val="20"/>
          <w:szCs w:val="20"/>
          <w:vertAlign w:val="superscript"/>
        </w:rPr>
        <w:t>2</w:t>
      </w:r>
      <w:r w:rsidR="00520EB4">
        <w:rPr>
          <w:sz w:val="20"/>
          <w:szCs w:val="20"/>
        </w:rPr>
        <w:t xml:space="preserve"> </w:t>
      </w:r>
      <w:r w:rsidRPr="00122363">
        <w:rPr>
          <w:sz w:val="20"/>
          <w:szCs w:val="20"/>
        </w:rPr>
        <w:t xml:space="preserve">To adjust Study F's data, the </w:t>
      </w:r>
      <w:r w:rsidR="00EA65D8" w:rsidRPr="00122363">
        <w:rPr>
          <w:sz w:val="20"/>
          <w:szCs w:val="20"/>
        </w:rPr>
        <w:t>T</w:t>
      </w:r>
      <w:r w:rsidR="00EA65D8">
        <w:rPr>
          <w:sz w:val="20"/>
          <w:szCs w:val="20"/>
        </w:rPr>
        <w:t>a</w:t>
      </w:r>
      <w:r w:rsidR="00EA65D8" w:rsidRPr="00122363">
        <w:rPr>
          <w:sz w:val="20"/>
          <w:szCs w:val="20"/>
        </w:rPr>
        <w:t>xes</w:t>
      </w:r>
      <w:r w:rsidRPr="00122363">
        <w:rPr>
          <w:sz w:val="20"/>
          <w:szCs w:val="20"/>
        </w:rPr>
        <w:t xml:space="preserve"> paid approach and information from the RMA</w:t>
      </w:r>
      <w:r>
        <w:rPr>
          <w:sz w:val="20"/>
          <w:szCs w:val="20"/>
        </w:rPr>
        <w:t xml:space="preserve"> </w:t>
      </w:r>
      <w:r w:rsidRPr="00122363">
        <w:rPr>
          <w:sz w:val="20"/>
          <w:szCs w:val="20"/>
        </w:rPr>
        <w:t xml:space="preserve">study are used. This involves </w:t>
      </w:r>
      <w:r>
        <w:rPr>
          <w:sz w:val="20"/>
          <w:szCs w:val="20"/>
        </w:rPr>
        <w:t xml:space="preserve">   </w:t>
      </w:r>
      <w:r w:rsidRPr="00122363">
        <w:rPr>
          <w:sz w:val="20"/>
          <w:szCs w:val="20"/>
        </w:rPr>
        <w:t>determining a weighted wholesale price of $5.31 per gallon (see Table 3) and assuming a sales potential of 8.9% based on Study C's results.</w:t>
      </w:r>
    </w:p>
    <w:p w14:paraId="026A9FDD" w14:textId="291C83FA" w:rsidR="00130235" w:rsidRDefault="00130235" w:rsidP="00122363">
      <w:pPr>
        <w:ind w:left="2790"/>
      </w:pPr>
    </w:p>
    <w:p w14:paraId="0314AF5E" w14:textId="77777777" w:rsidR="00130235" w:rsidRDefault="00130235">
      <w:pPr>
        <w:spacing w:after="160" w:line="259" w:lineRule="auto"/>
      </w:pPr>
    </w:p>
    <w:p w14:paraId="2E6B6035" w14:textId="77777777" w:rsidR="00130235" w:rsidRDefault="00130235">
      <w:pPr>
        <w:spacing w:after="160" w:line="259" w:lineRule="auto"/>
      </w:pPr>
    </w:p>
    <w:p w14:paraId="5D7625D7" w14:textId="77777777" w:rsidR="00130235" w:rsidRDefault="00130235">
      <w:pPr>
        <w:spacing w:after="160" w:line="259" w:lineRule="auto"/>
      </w:pPr>
    </w:p>
    <w:p w14:paraId="4F879462" w14:textId="68569A9B" w:rsidR="00130235" w:rsidRDefault="00130235">
      <w:pPr>
        <w:spacing w:after="160" w:line="259" w:lineRule="auto"/>
      </w:pPr>
      <w:r>
        <w:br w:type="page"/>
      </w:r>
    </w:p>
    <w:p w14:paraId="1DA9DB91" w14:textId="2349567C" w:rsidR="007809F8" w:rsidRPr="008D0F79" w:rsidRDefault="00D731DF" w:rsidP="00A77CC0">
      <w:pPr>
        <w:jc w:val="center"/>
      </w:pPr>
      <w:r>
        <w:lastRenderedPageBreak/>
        <w:t xml:space="preserve">Table </w:t>
      </w:r>
      <w:r w:rsidR="00130235">
        <w:t>6</w:t>
      </w:r>
      <w:r w:rsidR="00A77CC0">
        <w:t xml:space="preserve">. </w:t>
      </w:r>
      <w:r w:rsidR="007809F8" w:rsidRPr="008D0F79">
        <w:t>Initial Investment Costs</w:t>
      </w:r>
    </w:p>
    <w:p w14:paraId="18591834" w14:textId="77777777" w:rsidR="007809F8" w:rsidRDefault="007809F8" w:rsidP="000227F6"/>
    <w:tbl>
      <w:tblPr>
        <w:tblStyle w:val="GridTable5Dark-Accent1"/>
        <w:tblW w:w="0" w:type="auto"/>
        <w:jc w:val="center"/>
        <w:tblLook w:val="04A0" w:firstRow="1" w:lastRow="0" w:firstColumn="1" w:lastColumn="0" w:noHBand="0" w:noVBand="1"/>
      </w:tblPr>
      <w:tblGrid>
        <w:gridCol w:w="2790"/>
        <w:gridCol w:w="1350"/>
      </w:tblGrid>
      <w:tr w:rsidR="0092115D" w14:paraId="515D4F56" w14:textId="77777777" w:rsidTr="00BC497F">
        <w:trPr>
          <w:cnfStyle w:val="100000000000" w:firstRow="1" w:lastRow="0" w:firstColumn="0" w:lastColumn="0" w:oddVBand="0" w:evenVBand="0" w:oddHBand="0" w:evenHBand="0" w:firstRowFirstColumn="0" w:firstRowLastColumn="0" w:lastRowFirstColumn="0" w:lastRowLastColumn="0"/>
          <w:trHeight w:val="710"/>
          <w:jc w:val="center"/>
        </w:trPr>
        <w:tc>
          <w:tcPr>
            <w:cnfStyle w:val="001000000000" w:firstRow="0" w:lastRow="0" w:firstColumn="1" w:lastColumn="0" w:oddVBand="0" w:evenVBand="0" w:oddHBand="0" w:evenHBand="0" w:firstRowFirstColumn="0" w:firstRowLastColumn="0" w:lastRowFirstColumn="0" w:lastRowLastColumn="0"/>
            <w:tcW w:w="2790" w:type="dxa"/>
            <w:tcBorders>
              <w:bottom w:val="single" w:sz="4" w:space="0" w:color="auto"/>
            </w:tcBorders>
            <w:shd w:val="clear" w:color="auto" w:fill="BDD6EE" w:themeFill="accent1" w:themeFillTint="66"/>
            <w:vAlign w:val="center"/>
          </w:tcPr>
          <w:p w14:paraId="2D024428" w14:textId="71BB2B91" w:rsidR="0092115D" w:rsidRPr="004A56CE" w:rsidRDefault="004A56CE" w:rsidP="00BC497F">
            <w:pPr>
              <w:jc w:val="center"/>
              <w:rPr>
                <w:color w:val="000000" w:themeColor="text1"/>
                <w:sz w:val="20"/>
                <w:szCs w:val="20"/>
              </w:rPr>
            </w:pPr>
            <w:r w:rsidRPr="004A56CE">
              <w:rPr>
                <w:color w:val="000000" w:themeColor="text1"/>
                <w:sz w:val="20"/>
                <w:szCs w:val="20"/>
              </w:rPr>
              <w:t>Cost Item</w:t>
            </w:r>
          </w:p>
        </w:tc>
        <w:tc>
          <w:tcPr>
            <w:tcW w:w="1350" w:type="dxa"/>
            <w:tcBorders>
              <w:bottom w:val="single" w:sz="4" w:space="0" w:color="auto"/>
            </w:tcBorders>
            <w:shd w:val="clear" w:color="auto" w:fill="BDD6EE" w:themeFill="accent1" w:themeFillTint="66"/>
            <w:vAlign w:val="center"/>
          </w:tcPr>
          <w:p w14:paraId="080560C0" w14:textId="71C6C687" w:rsidR="0092115D" w:rsidRPr="00BC497F" w:rsidRDefault="00BC497F" w:rsidP="00BC497F">
            <w:pPr>
              <w:jc w:val="center"/>
              <w:cnfStyle w:val="100000000000" w:firstRow="1" w:lastRow="0" w:firstColumn="0" w:lastColumn="0" w:oddVBand="0" w:evenVBand="0" w:oddHBand="0" w:evenHBand="0" w:firstRowFirstColumn="0" w:firstRowLastColumn="0" w:lastRowFirstColumn="0" w:lastRowLastColumn="0"/>
              <w:rPr>
                <w:sz w:val="20"/>
                <w:szCs w:val="20"/>
              </w:rPr>
            </w:pPr>
            <w:r w:rsidRPr="00BC497F">
              <w:rPr>
                <w:color w:val="000000" w:themeColor="text1"/>
                <w:sz w:val="20"/>
                <w:szCs w:val="20"/>
              </w:rPr>
              <w:t>Dollar Estimate</w:t>
            </w:r>
          </w:p>
        </w:tc>
      </w:tr>
      <w:tr w:rsidR="00E1096A" w14:paraId="2DE01F99" w14:textId="77777777" w:rsidTr="004A56C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tcPr>
          <w:p w14:paraId="7C4D0F76" w14:textId="3B5B9D52" w:rsidR="00E1096A" w:rsidRPr="00D903A4" w:rsidRDefault="00E1096A" w:rsidP="000227F6">
            <w:pPr>
              <w:rPr>
                <w:color w:val="000000" w:themeColor="text1"/>
                <w:sz w:val="20"/>
                <w:szCs w:val="20"/>
                <w:u w:val="single"/>
              </w:rPr>
            </w:pPr>
            <w:r w:rsidRPr="00D903A4">
              <w:rPr>
                <w:color w:val="000000" w:themeColor="text1"/>
                <w:sz w:val="20"/>
                <w:szCs w:val="20"/>
                <w:u w:val="single"/>
              </w:rPr>
              <w:t>Brown</w:t>
            </w:r>
            <w:r w:rsidR="00D903A4" w:rsidRPr="00D903A4">
              <w:rPr>
                <w:color w:val="000000" w:themeColor="text1"/>
                <w:sz w:val="20"/>
                <w:szCs w:val="20"/>
                <w:u w:val="single"/>
              </w:rPr>
              <w:t>low Estimates</w:t>
            </w:r>
            <w:r w:rsidR="004D7E4E" w:rsidRPr="004D7E4E">
              <w:rPr>
                <w:color w:val="000000" w:themeColor="text1"/>
                <w:sz w:val="20"/>
                <w:szCs w:val="20"/>
                <w:u w:val="single"/>
                <w:vertAlign w:val="superscript"/>
              </w:rPr>
              <w:t>1</w:t>
            </w:r>
          </w:p>
        </w:tc>
        <w:tc>
          <w:tcPr>
            <w:tcW w:w="1350" w:type="dxa"/>
            <w:tcBorders>
              <w:top w:val="single" w:sz="4" w:space="0" w:color="auto"/>
            </w:tcBorders>
            <w:shd w:val="clear" w:color="auto" w:fill="auto"/>
          </w:tcPr>
          <w:p w14:paraId="33570ED0" w14:textId="77777777" w:rsidR="00E1096A" w:rsidRDefault="00E1096A" w:rsidP="003701B7">
            <w:pPr>
              <w:jc w:val="righ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6D74C0" w14:paraId="2562CD20" w14:textId="77777777" w:rsidTr="00DA7A07">
        <w:trPr>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28F73531" w14:textId="754B4264" w:rsidR="006D74C0" w:rsidRPr="002439CE" w:rsidRDefault="006D74C0" w:rsidP="000227F6">
            <w:pPr>
              <w:rPr>
                <w:b w:val="0"/>
                <w:bCs w:val="0"/>
                <w:color w:val="000000" w:themeColor="text1"/>
                <w:sz w:val="20"/>
                <w:szCs w:val="20"/>
              </w:rPr>
            </w:pPr>
            <w:r w:rsidRPr="002439CE">
              <w:rPr>
                <w:b w:val="0"/>
                <w:bCs w:val="0"/>
                <w:color w:val="000000" w:themeColor="text1"/>
                <w:sz w:val="20"/>
                <w:szCs w:val="20"/>
              </w:rPr>
              <w:t>Inventory</w:t>
            </w:r>
          </w:p>
        </w:tc>
        <w:tc>
          <w:tcPr>
            <w:tcW w:w="1350" w:type="dxa"/>
            <w:shd w:val="clear" w:color="auto" w:fill="auto"/>
          </w:tcPr>
          <w:p w14:paraId="2EC06155" w14:textId="1DFCA89B" w:rsidR="003A4647" w:rsidRPr="00567C5C" w:rsidRDefault="003A4647" w:rsidP="003A4647">
            <w:pPr>
              <w:jc w:val="righ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$240,000</w:t>
            </w:r>
          </w:p>
        </w:tc>
      </w:tr>
      <w:tr w:rsidR="007809F8" w14:paraId="0355E73F" w14:textId="77777777" w:rsidTr="00DA7A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080C3B51" w14:textId="742BC92E" w:rsidR="007809F8" w:rsidRPr="00567C5C" w:rsidRDefault="007809F8" w:rsidP="000227F6">
            <w:pPr>
              <w:rPr>
                <w:b w:val="0"/>
                <w:bCs w:val="0"/>
                <w:color w:val="000000" w:themeColor="text1"/>
                <w:sz w:val="20"/>
                <w:szCs w:val="20"/>
              </w:rPr>
            </w:pPr>
            <w:r w:rsidRPr="00567C5C">
              <w:rPr>
                <w:b w:val="0"/>
                <w:bCs w:val="0"/>
                <w:color w:val="000000" w:themeColor="text1"/>
                <w:sz w:val="20"/>
                <w:szCs w:val="20"/>
              </w:rPr>
              <w:t>Delivery Trucks</w:t>
            </w:r>
          </w:p>
        </w:tc>
        <w:tc>
          <w:tcPr>
            <w:tcW w:w="1350" w:type="dxa"/>
            <w:shd w:val="clear" w:color="auto" w:fill="auto"/>
          </w:tcPr>
          <w:p w14:paraId="584C5496" w14:textId="01ECD5C0" w:rsidR="007809F8" w:rsidRPr="00567C5C" w:rsidRDefault="003A4647" w:rsidP="003701B7">
            <w:pPr>
              <w:jc w:val="righ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$150,000</w:t>
            </w:r>
          </w:p>
        </w:tc>
      </w:tr>
      <w:tr w:rsidR="007809F8" w14:paraId="523E359C" w14:textId="77777777" w:rsidTr="00DA7A07">
        <w:trPr>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11950CD1" w14:textId="77777777" w:rsidR="007809F8" w:rsidRPr="00567C5C" w:rsidRDefault="007809F8" w:rsidP="000227F6">
            <w:pPr>
              <w:rPr>
                <w:b w:val="0"/>
                <w:bCs w:val="0"/>
                <w:color w:val="000000" w:themeColor="text1"/>
                <w:sz w:val="20"/>
                <w:szCs w:val="20"/>
              </w:rPr>
            </w:pPr>
            <w:r w:rsidRPr="00567C5C">
              <w:rPr>
                <w:b w:val="0"/>
                <w:bCs w:val="0"/>
                <w:color w:val="000000" w:themeColor="text1"/>
                <w:sz w:val="20"/>
                <w:szCs w:val="20"/>
              </w:rPr>
              <w:t>Forklift</w:t>
            </w:r>
          </w:p>
        </w:tc>
        <w:tc>
          <w:tcPr>
            <w:tcW w:w="1350" w:type="dxa"/>
            <w:shd w:val="clear" w:color="auto" w:fill="auto"/>
          </w:tcPr>
          <w:p w14:paraId="1E1978DB" w14:textId="65611A74" w:rsidR="007809F8" w:rsidRPr="00567C5C" w:rsidRDefault="003A4647" w:rsidP="003701B7">
            <w:pPr>
              <w:jc w:val="righ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$20,000</w:t>
            </w:r>
          </w:p>
        </w:tc>
      </w:tr>
      <w:tr w:rsidR="007809F8" w14:paraId="0C449749" w14:textId="77777777" w:rsidTr="00DA7A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379B8986" w14:textId="77777777" w:rsidR="007809F8" w:rsidRPr="00567C5C" w:rsidRDefault="007809F8" w:rsidP="000227F6">
            <w:pPr>
              <w:rPr>
                <w:b w:val="0"/>
                <w:bCs w:val="0"/>
                <w:color w:val="000000" w:themeColor="text1"/>
                <w:sz w:val="20"/>
                <w:szCs w:val="20"/>
              </w:rPr>
            </w:pPr>
            <w:r w:rsidRPr="00567C5C">
              <w:rPr>
                <w:b w:val="0"/>
                <w:bCs w:val="0"/>
                <w:color w:val="000000" w:themeColor="text1"/>
                <w:sz w:val="20"/>
                <w:szCs w:val="20"/>
              </w:rPr>
              <w:t>Recycling Equipment</w:t>
            </w:r>
          </w:p>
        </w:tc>
        <w:tc>
          <w:tcPr>
            <w:tcW w:w="1350" w:type="dxa"/>
            <w:shd w:val="clear" w:color="auto" w:fill="auto"/>
          </w:tcPr>
          <w:p w14:paraId="64F7AA13" w14:textId="415982D5" w:rsidR="007809F8" w:rsidRPr="00567C5C" w:rsidRDefault="003A4647" w:rsidP="003701B7">
            <w:pPr>
              <w:jc w:val="righ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$20,000</w:t>
            </w:r>
          </w:p>
        </w:tc>
      </w:tr>
      <w:tr w:rsidR="007809F8" w14:paraId="1FBE60CA" w14:textId="77777777" w:rsidTr="00DA7A07">
        <w:trPr>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3E6C9314" w14:textId="77777777" w:rsidR="007809F8" w:rsidRPr="00567C5C" w:rsidRDefault="007809F8" w:rsidP="000227F6">
            <w:pPr>
              <w:rPr>
                <w:b w:val="0"/>
                <w:bCs w:val="0"/>
                <w:color w:val="000000" w:themeColor="text1"/>
                <w:sz w:val="20"/>
                <w:szCs w:val="20"/>
              </w:rPr>
            </w:pPr>
            <w:r w:rsidRPr="00567C5C">
              <w:rPr>
                <w:b w:val="0"/>
                <w:bCs w:val="0"/>
                <w:color w:val="000000" w:themeColor="text1"/>
                <w:sz w:val="20"/>
                <w:szCs w:val="20"/>
              </w:rPr>
              <w:t>Office Equipment</w:t>
            </w:r>
          </w:p>
        </w:tc>
        <w:tc>
          <w:tcPr>
            <w:tcW w:w="1350" w:type="dxa"/>
            <w:shd w:val="clear" w:color="auto" w:fill="auto"/>
          </w:tcPr>
          <w:p w14:paraId="66532BA6" w14:textId="5DF0BBE5" w:rsidR="007809F8" w:rsidRPr="00567C5C" w:rsidRDefault="003A4647" w:rsidP="003701B7">
            <w:pPr>
              <w:jc w:val="righ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$10,000</w:t>
            </w:r>
          </w:p>
        </w:tc>
      </w:tr>
      <w:tr w:rsidR="007809F8" w14:paraId="3070D602" w14:textId="77777777" w:rsidTr="00DA7A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6593E4EC" w14:textId="77777777" w:rsidR="007809F8" w:rsidRPr="00567C5C" w:rsidRDefault="007809F8" w:rsidP="000227F6">
            <w:pPr>
              <w:rPr>
                <w:b w:val="0"/>
                <w:bCs w:val="0"/>
                <w:color w:val="000000" w:themeColor="text1"/>
                <w:sz w:val="20"/>
                <w:szCs w:val="20"/>
              </w:rPr>
            </w:pPr>
            <w:r w:rsidRPr="00567C5C">
              <w:rPr>
                <w:b w:val="0"/>
                <w:bCs w:val="0"/>
                <w:color w:val="000000" w:themeColor="text1"/>
                <w:sz w:val="20"/>
                <w:szCs w:val="20"/>
              </w:rPr>
              <w:t>Warehouse</w:t>
            </w:r>
          </w:p>
        </w:tc>
        <w:tc>
          <w:tcPr>
            <w:tcW w:w="1350" w:type="dxa"/>
            <w:tcBorders>
              <w:bottom w:val="single" w:sz="4" w:space="0" w:color="FFFFFF" w:themeColor="background1"/>
            </w:tcBorders>
            <w:shd w:val="clear" w:color="auto" w:fill="auto"/>
          </w:tcPr>
          <w:p w14:paraId="75C20CC5" w14:textId="54BFA870" w:rsidR="007809F8" w:rsidRPr="00567C5C" w:rsidRDefault="003A4647" w:rsidP="003701B7">
            <w:pPr>
              <w:jc w:val="righ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$320,000</w:t>
            </w:r>
          </w:p>
        </w:tc>
      </w:tr>
      <w:tr w:rsidR="007809F8" w14:paraId="20E2308C" w14:textId="77777777" w:rsidTr="00DA7A07">
        <w:trPr>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73CEC8B0" w14:textId="77777777" w:rsidR="007809F8" w:rsidRPr="00567C5C" w:rsidRDefault="007809F8" w:rsidP="000227F6">
            <w:pPr>
              <w:rPr>
                <w:b w:val="0"/>
                <w:bCs w:val="0"/>
                <w:color w:val="000000" w:themeColor="text1"/>
                <w:sz w:val="20"/>
                <w:szCs w:val="20"/>
              </w:rPr>
            </w:pPr>
            <w:r w:rsidRPr="00567C5C">
              <w:rPr>
                <w:b w:val="0"/>
                <w:bCs w:val="0"/>
                <w:color w:val="000000" w:themeColor="text1"/>
                <w:sz w:val="20"/>
                <w:szCs w:val="20"/>
              </w:rPr>
              <w:t>Land</w:t>
            </w:r>
          </w:p>
        </w:tc>
        <w:tc>
          <w:tcPr>
            <w:tcW w:w="1350" w:type="dxa"/>
            <w:tcBorders>
              <w:bottom w:val="single" w:sz="4" w:space="0" w:color="auto"/>
            </w:tcBorders>
            <w:shd w:val="clear" w:color="auto" w:fill="auto"/>
          </w:tcPr>
          <w:p w14:paraId="5EF61075" w14:textId="2033E68A" w:rsidR="007809F8" w:rsidRPr="00567C5C" w:rsidRDefault="003A4647" w:rsidP="003701B7">
            <w:pPr>
              <w:jc w:val="righ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$40,000</w:t>
            </w:r>
          </w:p>
        </w:tc>
      </w:tr>
      <w:tr w:rsidR="007809F8" w14:paraId="014D7275" w14:textId="77777777" w:rsidTr="00DA7A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07500BD1" w14:textId="1FB1E1D3" w:rsidR="00130B19" w:rsidRDefault="00830147" w:rsidP="00830147">
            <w:pPr>
              <w:jc w:val="right"/>
              <w:rPr>
                <w:color w:val="000000" w:themeColor="text1"/>
                <w:sz w:val="20"/>
                <w:szCs w:val="20"/>
              </w:rPr>
            </w:pPr>
            <w:r>
              <w:rPr>
                <w:b w:val="0"/>
                <w:bCs w:val="0"/>
                <w:color w:val="000000" w:themeColor="text1"/>
                <w:sz w:val="20"/>
                <w:szCs w:val="20"/>
              </w:rPr>
              <w:t>Brownlow</w:t>
            </w:r>
            <w:r w:rsidR="00130B19">
              <w:rPr>
                <w:b w:val="0"/>
                <w:bCs w:val="0"/>
                <w:color w:val="000000" w:themeColor="text1"/>
                <w:sz w:val="20"/>
                <w:szCs w:val="20"/>
              </w:rPr>
              <w:t xml:space="preserve">’s </w:t>
            </w:r>
            <w:r w:rsidR="00567C5C">
              <w:rPr>
                <w:b w:val="0"/>
                <w:bCs w:val="0"/>
                <w:color w:val="000000" w:themeColor="text1"/>
                <w:sz w:val="20"/>
                <w:szCs w:val="20"/>
              </w:rPr>
              <w:t>Total</w:t>
            </w:r>
            <w:r w:rsidR="007809F8" w:rsidRPr="00567C5C">
              <w:rPr>
                <w:b w:val="0"/>
                <w:bCs w:val="0"/>
                <w:color w:val="000000" w:themeColor="text1"/>
                <w:sz w:val="20"/>
                <w:szCs w:val="20"/>
              </w:rPr>
              <w:t xml:space="preserve"> </w:t>
            </w:r>
          </w:p>
          <w:p w14:paraId="206D2EBF" w14:textId="12129D85" w:rsidR="007809F8" w:rsidRPr="00130B19" w:rsidRDefault="00D903A4" w:rsidP="00130B19">
            <w:pPr>
              <w:jc w:val="right"/>
              <w:rPr>
                <w:color w:val="000000" w:themeColor="text1"/>
                <w:sz w:val="20"/>
                <w:szCs w:val="20"/>
              </w:rPr>
            </w:pPr>
            <w:r>
              <w:rPr>
                <w:b w:val="0"/>
                <w:bCs w:val="0"/>
                <w:color w:val="000000" w:themeColor="text1"/>
                <w:sz w:val="20"/>
                <w:szCs w:val="20"/>
              </w:rPr>
              <w:t xml:space="preserve">Estimated </w:t>
            </w:r>
            <w:r w:rsidR="00130B19">
              <w:rPr>
                <w:color w:val="000000" w:themeColor="text1"/>
                <w:sz w:val="20"/>
                <w:szCs w:val="20"/>
              </w:rPr>
              <w:t>E</w:t>
            </w:r>
            <w:r w:rsidR="007809F8" w:rsidRPr="00567C5C">
              <w:rPr>
                <w:b w:val="0"/>
                <w:bCs w:val="0"/>
                <w:color w:val="000000" w:themeColor="text1"/>
                <w:sz w:val="20"/>
                <w:szCs w:val="20"/>
              </w:rPr>
              <w:t>xpenses</w:t>
            </w:r>
          </w:p>
        </w:tc>
        <w:tc>
          <w:tcPr>
            <w:tcW w:w="1350" w:type="dxa"/>
            <w:tcBorders>
              <w:top w:val="single" w:sz="4" w:space="0" w:color="auto"/>
            </w:tcBorders>
            <w:shd w:val="clear" w:color="auto" w:fill="auto"/>
          </w:tcPr>
          <w:p w14:paraId="18680B66" w14:textId="4F487BCC" w:rsidR="00830147" w:rsidRDefault="003A4647" w:rsidP="003701B7">
            <w:pPr>
              <w:jc w:val="righ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$800,000</w:t>
            </w:r>
          </w:p>
          <w:p w14:paraId="17A71E98" w14:textId="6B64D97C" w:rsidR="007809F8" w:rsidRPr="00567C5C" w:rsidRDefault="007809F8" w:rsidP="003701B7">
            <w:pPr>
              <w:jc w:val="righ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1A7773" w14:paraId="5ED856ED" w14:textId="77777777" w:rsidTr="00DA7A07">
        <w:trPr>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669F2552" w14:textId="77777777" w:rsidR="001A7773" w:rsidRDefault="001A7773" w:rsidP="000227F6">
            <w:pPr>
              <w:rPr>
                <w:color w:val="000000" w:themeColor="text1"/>
                <w:sz w:val="20"/>
                <w:szCs w:val="20"/>
              </w:rPr>
            </w:pPr>
          </w:p>
        </w:tc>
        <w:tc>
          <w:tcPr>
            <w:tcW w:w="1350" w:type="dxa"/>
            <w:shd w:val="clear" w:color="auto" w:fill="auto"/>
          </w:tcPr>
          <w:p w14:paraId="0267B005" w14:textId="77777777" w:rsidR="001A7773" w:rsidRPr="00567C5C" w:rsidRDefault="001A7773" w:rsidP="003701B7">
            <w:pPr>
              <w:jc w:val="righ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1A7773" w14:paraId="2A942686" w14:textId="77777777" w:rsidTr="00DA7A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7ECB25D0" w14:textId="6F31AE3C" w:rsidR="001A7773" w:rsidRPr="00BA037F" w:rsidRDefault="001A7773" w:rsidP="000227F6">
            <w:pPr>
              <w:rPr>
                <w:color w:val="000000" w:themeColor="text1"/>
                <w:sz w:val="20"/>
                <w:szCs w:val="20"/>
                <w:u w:val="single"/>
                <w:vertAlign w:val="superscript"/>
              </w:rPr>
            </w:pPr>
            <w:r w:rsidRPr="001A7773">
              <w:rPr>
                <w:color w:val="000000" w:themeColor="text1"/>
                <w:sz w:val="20"/>
                <w:szCs w:val="20"/>
                <w:u w:val="single"/>
              </w:rPr>
              <w:t>Overlooked Expenses</w:t>
            </w:r>
            <w:r w:rsidR="00BA037F">
              <w:rPr>
                <w:color w:val="000000" w:themeColor="text1"/>
                <w:sz w:val="20"/>
                <w:szCs w:val="20"/>
                <w:u w:val="single"/>
                <w:vertAlign w:val="superscript"/>
              </w:rPr>
              <w:t>2</w:t>
            </w:r>
          </w:p>
        </w:tc>
        <w:tc>
          <w:tcPr>
            <w:tcW w:w="1350" w:type="dxa"/>
            <w:shd w:val="clear" w:color="auto" w:fill="auto"/>
          </w:tcPr>
          <w:p w14:paraId="52769738" w14:textId="77777777" w:rsidR="001A7773" w:rsidRPr="00567C5C" w:rsidRDefault="001A7773" w:rsidP="003701B7">
            <w:pPr>
              <w:jc w:val="righ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7809F8" w14:paraId="68977AA2" w14:textId="77777777" w:rsidTr="00DA7A07">
        <w:trPr>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132C9FB0" w14:textId="7BDD4E26" w:rsidR="007809F8" w:rsidRPr="00567C5C" w:rsidRDefault="003A4647" w:rsidP="000227F6">
            <w:pPr>
              <w:rPr>
                <w:b w:val="0"/>
                <w:bCs w:val="0"/>
                <w:color w:val="000000" w:themeColor="text1"/>
                <w:sz w:val="20"/>
                <w:szCs w:val="20"/>
              </w:rPr>
            </w:pPr>
            <w:r>
              <w:rPr>
                <w:b w:val="0"/>
                <w:bCs w:val="0"/>
                <w:color w:val="000000" w:themeColor="text1"/>
                <w:sz w:val="20"/>
                <w:szCs w:val="20"/>
              </w:rPr>
              <w:t>Cash &amp; Equivalents</w:t>
            </w:r>
          </w:p>
        </w:tc>
        <w:tc>
          <w:tcPr>
            <w:tcW w:w="1350" w:type="dxa"/>
            <w:shd w:val="clear" w:color="auto" w:fill="auto"/>
          </w:tcPr>
          <w:p w14:paraId="31F6EAB9" w14:textId="6ED62FED" w:rsidR="007809F8" w:rsidRPr="00567C5C" w:rsidRDefault="003A4647" w:rsidP="003701B7">
            <w:pPr>
              <w:jc w:val="righ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$119,838</w:t>
            </w:r>
          </w:p>
        </w:tc>
      </w:tr>
      <w:tr w:rsidR="007809F8" w14:paraId="6BE2A56C" w14:textId="77777777" w:rsidTr="00DA7A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16487C9F" w14:textId="7321C76C" w:rsidR="007809F8" w:rsidRPr="00567C5C" w:rsidRDefault="003A4647" w:rsidP="000227F6">
            <w:pPr>
              <w:rPr>
                <w:b w:val="0"/>
                <w:bCs w:val="0"/>
                <w:color w:val="000000" w:themeColor="text1"/>
                <w:sz w:val="20"/>
                <w:szCs w:val="20"/>
              </w:rPr>
            </w:pPr>
            <w:r>
              <w:rPr>
                <w:b w:val="0"/>
                <w:bCs w:val="0"/>
                <w:color w:val="000000" w:themeColor="text1"/>
                <w:sz w:val="20"/>
                <w:szCs w:val="20"/>
              </w:rPr>
              <w:t xml:space="preserve">Accounts </w:t>
            </w:r>
            <w:proofErr w:type="spellStart"/>
            <w:r>
              <w:rPr>
                <w:b w:val="0"/>
                <w:bCs w:val="0"/>
                <w:color w:val="000000" w:themeColor="text1"/>
                <w:sz w:val="20"/>
                <w:szCs w:val="20"/>
              </w:rPr>
              <w:t>Recievebles</w:t>
            </w:r>
            <w:proofErr w:type="spellEnd"/>
          </w:p>
        </w:tc>
        <w:tc>
          <w:tcPr>
            <w:tcW w:w="1350" w:type="dxa"/>
            <w:shd w:val="clear" w:color="auto" w:fill="auto"/>
          </w:tcPr>
          <w:p w14:paraId="75E1A0CC" w14:textId="58A40B8F" w:rsidR="007809F8" w:rsidRPr="00567C5C" w:rsidRDefault="003A4647" w:rsidP="003701B7">
            <w:pPr>
              <w:jc w:val="righ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$159,784</w:t>
            </w:r>
          </w:p>
        </w:tc>
      </w:tr>
      <w:tr w:rsidR="007809F8" w14:paraId="7BDC9E1F" w14:textId="77777777" w:rsidTr="00DA7A07">
        <w:trPr>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70F10F0D" w14:textId="7B647FE7" w:rsidR="007809F8" w:rsidRPr="00567C5C" w:rsidRDefault="007809F8" w:rsidP="000227F6">
            <w:pPr>
              <w:rPr>
                <w:b w:val="0"/>
                <w:bCs w:val="0"/>
                <w:color w:val="000000" w:themeColor="text1"/>
                <w:sz w:val="20"/>
                <w:szCs w:val="20"/>
              </w:rPr>
            </w:pPr>
          </w:p>
        </w:tc>
        <w:tc>
          <w:tcPr>
            <w:tcW w:w="1350" w:type="dxa"/>
            <w:tcBorders>
              <w:bottom w:val="single" w:sz="4" w:space="0" w:color="FFFFFF" w:themeColor="background1"/>
            </w:tcBorders>
            <w:shd w:val="clear" w:color="auto" w:fill="auto"/>
          </w:tcPr>
          <w:p w14:paraId="6ADB5870" w14:textId="5886EA24" w:rsidR="007809F8" w:rsidRPr="00567C5C" w:rsidRDefault="007809F8" w:rsidP="003701B7">
            <w:pPr>
              <w:jc w:val="righ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r w:rsidR="007809F8" w14:paraId="58130BBB" w14:textId="77777777" w:rsidTr="00DA7A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59AAF895" w14:textId="7A33AC70" w:rsidR="007809F8" w:rsidRPr="008B4791" w:rsidRDefault="007809F8" w:rsidP="000227F6">
            <w:pPr>
              <w:rPr>
                <w:b w:val="0"/>
                <w:bCs w:val="0"/>
                <w:color w:val="000000" w:themeColor="text1"/>
                <w:sz w:val="20"/>
                <w:szCs w:val="20"/>
                <w:vertAlign w:val="superscript"/>
              </w:rPr>
            </w:pPr>
          </w:p>
        </w:tc>
        <w:tc>
          <w:tcPr>
            <w:tcW w:w="1350" w:type="dxa"/>
            <w:tcBorders>
              <w:bottom w:val="single" w:sz="4" w:space="0" w:color="auto"/>
            </w:tcBorders>
            <w:shd w:val="clear" w:color="auto" w:fill="auto"/>
          </w:tcPr>
          <w:p w14:paraId="0F0F4692" w14:textId="4AD14B55" w:rsidR="007809F8" w:rsidRPr="00567C5C" w:rsidRDefault="007809F8" w:rsidP="003701B7">
            <w:pPr>
              <w:jc w:val="righ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7809F8" w14:paraId="40F9F11E" w14:textId="77777777" w:rsidTr="00DA7A07">
        <w:trPr>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6DB5E3B7" w14:textId="1146910B" w:rsidR="007809F8" w:rsidRPr="00567C5C" w:rsidRDefault="00422938" w:rsidP="00422938">
            <w:pPr>
              <w:jc w:val="right"/>
              <w:rPr>
                <w:b w:val="0"/>
                <w:bCs w:val="0"/>
                <w:color w:val="000000" w:themeColor="text1"/>
                <w:sz w:val="20"/>
                <w:szCs w:val="20"/>
              </w:rPr>
            </w:pPr>
            <w:r>
              <w:rPr>
                <w:b w:val="0"/>
                <w:bCs w:val="0"/>
                <w:color w:val="000000" w:themeColor="text1"/>
                <w:sz w:val="20"/>
                <w:szCs w:val="20"/>
              </w:rPr>
              <w:t>Total</w:t>
            </w:r>
          </w:p>
        </w:tc>
        <w:tc>
          <w:tcPr>
            <w:tcW w:w="1350" w:type="dxa"/>
            <w:tcBorders>
              <w:top w:val="single" w:sz="4" w:space="0" w:color="auto"/>
              <w:bottom w:val="single" w:sz="4" w:space="0" w:color="auto"/>
            </w:tcBorders>
            <w:shd w:val="clear" w:color="auto" w:fill="auto"/>
          </w:tcPr>
          <w:p w14:paraId="75EDDB10" w14:textId="1221B61C" w:rsidR="007809F8" w:rsidRPr="00567C5C" w:rsidRDefault="003A4647" w:rsidP="003701B7">
            <w:pPr>
              <w:jc w:val="righ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$279,622</w:t>
            </w:r>
          </w:p>
        </w:tc>
      </w:tr>
      <w:tr w:rsidR="007809F8" w14:paraId="478C4406" w14:textId="77777777" w:rsidTr="00DA7A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tcPr>
          <w:p w14:paraId="4FA3F2ED" w14:textId="1D717861" w:rsidR="007809F8" w:rsidRPr="00567C5C" w:rsidRDefault="0079054F" w:rsidP="00A41399">
            <w:pPr>
              <w:jc w:val="right"/>
              <w:rPr>
                <w:b w:val="0"/>
                <w:bCs w:val="0"/>
                <w:color w:val="000000" w:themeColor="text1"/>
                <w:sz w:val="20"/>
                <w:szCs w:val="20"/>
              </w:rPr>
            </w:pPr>
            <w:r>
              <w:rPr>
                <w:b w:val="0"/>
                <w:bCs w:val="0"/>
                <w:color w:val="000000" w:themeColor="text1"/>
                <w:sz w:val="20"/>
                <w:szCs w:val="20"/>
              </w:rPr>
              <w:t>Ove</w:t>
            </w:r>
            <w:r w:rsidR="00A41399">
              <w:rPr>
                <w:b w:val="0"/>
                <w:bCs w:val="0"/>
                <w:color w:val="000000" w:themeColor="text1"/>
                <w:sz w:val="20"/>
                <w:szCs w:val="20"/>
              </w:rPr>
              <w:t>r</w:t>
            </w:r>
            <w:r>
              <w:rPr>
                <w:b w:val="0"/>
                <w:bCs w:val="0"/>
                <w:color w:val="000000" w:themeColor="text1"/>
                <w:sz w:val="20"/>
                <w:szCs w:val="20"/>
              </w:rPr>
              <w:t>all</w:t>
            </w:r>
            <w:r w:rsidR="003701B7">
              <w:rPr>
                <w:b w:val="0"/>
                <w:bCs w:val="0"/>
                <w:color w:val="000000" w:themeColor="text1"/>
                <w:sz w:val="20"/>
                <w:szCs w:val="20"/>
              </w:rPr>
              <w:t xml:space="preserve"> </w:t>
            </w:r>
            <w:r w:rsidR="007809F8" w:rsidRPr="00567C5C">
              <w:rPr>
                <w:b w:val="0"/>
                <w:bCs w:val="0"/>
                <w:color w:val="000000" w:themeColor="text1"/>
                <w:sz w:val="20"/>
                <w:szCs w:val="20"/>
              </w:rPr>
              <w:t>Total Expenses</w:t>
            </w:r>
          </w:p>
        </w:tc>
        <w:tc>
          <w:tcPr>
            <w:tcW w:w="1350" w:type="dxa"/>
            <w:tcBorders>
              <w:top w:val="single" w:sz="4" w:space="0" w:color="auto"/>
              <w:bottom w:val="single" w:sz="4" w:space="0" w:color="auto"/>
            </w:tcBorders>
            <w:shd w:val="clear" w:color="auto" w:fill="auto"/>
          </w:tcPr>
          <w:p w14:paraId="5FAB3E92" w14:textId="5EBA8F1B" w:rsidR="007809F8" w:rsidRPr="00567C5C" w:rsidRDefault="003A4647" w:rsidP="003701B7">
            <w:pPr>
              <w:jc w:val="righ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$1,079,622</w:t>
            </w:r>
          </w:p>
        </w:tc>
      </w:tr>
      <w:tr w:rsidR="00DA7A07" w14:paraId="63CD6DEA" w14:textId="77777777" w:rsidTr="00DA7A07">
        <w:trPr>
          <w:trHeight w:val="288"/>
          <w:jc w:val="center"/>
        </w:trPr>
        <w:tc>
          <w:tcPr>
            <w:cnfStyle w:val="001000000000" w:firstRow="0" w:lastRow="0" w:firstColumn="1" w:lastColumn="0" w:oddVBand="0" w:evenVBand="0" w:oddHBand="0" w:evenHBand="0" w:firstRowFirstColumn="0" w:firstRowLastColumn="0" w:lastRowFirstColumn="0" w:lastRowLastColumn="0"/>
            <w:tcW w:w="2790" w:type="dxa"/>
            <w:tcBorders>
              <w:bottom w:val="single" w:sz="4" w:space="0" w:color="auto"/>
            </w:tcBorders>
            <w:shd w:val="clear" w:color="auto" w:fill="auto"/>
          </w:tcPr>
          <w:p w14:paraId="2A0B7A02" w14:textId="77777777" w:rsidR="00DA7A07" w:rsidRDefault="00DA7A07" w:rsidP="000227F6">
            <w:pPr>
              <w:rPr>
                <w:b w:val="0"/>
                <w:bCs w:val="0"/>
                <w:color w:val="000000" w:themeColor="text1"/>
                <w:sz w:val="20"/>
                <w:szCs w:val="20"/>
              </w:rPr>
            </w:pPr>
          </w:p>
        </w:tc>
        <w:tc>
          <w:tcPr>
            <w:tcW w:w="1350" w:type="dxa"/>
            <w:tcBorders>
              <w:top w:val="single" w:sz="4" w:space="0" w:color="auto"/>
              <w:bottom w:val="single" w:sz="4" w:space="0" w:color="auto"/>
            </w:tcBorders>
            <w:shd w:val="clear" w:color="auto" w:fill="auto"/>
          </w:tcPr>
          <w:p w14:paraId="15547306" w14:textId="77777777" w:rsidR="00DA7A07" w:rsidRPr="00567C5C" w:rsidRDefault="00DA7A07" w:rsidP="003701B7">
            <w:pPr>
              <w:jc w:val="righ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p>
        </w:tc>
      </w:tr>
    </w:tbl>
    <w:p w14:paraId="7345F9F0" w14:textId="77777777" w:rsidR="007809F8" w:rsidRDefault="007809F8" w:rsidP="000227F6"/>
    <w:p w14:paraId="5E927096" w14:textId="552EF4FB" w:rsidR="007809F8" w:rsidRPr="00CC62CB" w:rsidRDefault="007809F8" w:rsidP="00CC62CB">
      <w:pPr>
        <w:ind w:left="2790"/>
        <w:rPr>
          <w:sz w:val="18"/>
          <w:szCs w:val="18"/>
        </w:rPr>
      </w:pPr>
      <w:r w:rsidRPr="00CC62CB">
        <w:rPr>
          <w:sz w:val="18"/>
          <w:szCs w:val="18"/>
          <w:vertAlign w:val="superscript"/>
        </w:rPr>
        <w:t>1</w:t>
      </w:r>
      <w:r w:rsidRPr="00CC62CB">
        <w:rPr>
          <w:sz w:val="18"/>
          <w:szCs w:val="18"/>
        </w:rPr>
        <w:t xml:space="preserve"> These items are </w:t>
      </w:r>
      <w:r w:rsidR="003A4647">
        <w:rPr>
          <w:sz w:val="18"/>
          <w:szCs w:val="18"/>
        </w:rPr>
        <w:t>taken from the case study</w:t>
      </w:r>
      <w:r w:rsidR="00E40166">
        <w:rPr>
          <w:sz w:val="18"/>
          <w:szCs w:val="18"/>
        </w:rPr>
        <w:t>.</w:t>
      </w:r>
    </w:p>
    <w:p w14:paraId="22D78524" w14:textId="64C6DCE0" w:rsidR="007809F8" w:rsidRDefault="007809F8" w:rsidP="008A532E">
      <w:pPr>
        <w:ind w:left="2790"/>
      </w:pPr>
      <w:r w:rsidRPr="00CC62CB">
        <w:rPr>
          <w:sz w:val="18"/>
          <w:szCs w:val="18"/>
          <w:vertAlign w:val="superscript"/>
        </w:rPr>
        <w:t>2</w:t>
      </w:r>
      <w:r w:rsidRPr="00CC62CB">
        <w:rPr>
          <w:sz w:val="18"/>
          <w:szCs w:val="18"/>
        </w:rPr>
        <w:t xml:space="preserve"> The additional expense numbers come </w:t>
      </w:r>
      <w:r w:rsidR="007E7637" w:rsidRPr="00CC62CB">
        <w:rPr>
          <w:sz w:val="18"/>
          <w:szCs w:val="18"/>
        </w:rPr>
        <w:t>from</w:t>
      </w:r>
      <w:r w:rsidR="003C1E8A">
        <w:rPr>
          <w:sz w:val="18"/>
          <w:szCs w:val="18"/>
        </w:rPr>
        <w:t xml:space="preserve"> Study </w:t>
      </w:r>
      <w:r w:rsidR="00E40166">
        <w:rPr>
          <w:sz w:val="18"/>
          <w:szCs w:val="18"/>
        </w:rPr>
        <w:t>F</w:t>
      </w:r>
      <w:r w:rsidR="009335D3">
        <w:rPr>
          <w:sz w:val="18"/>
          <w:szCs w:val="18"/>
        </w:rPr>
        <w:t xml:space="preserve"> – </w:t>
      </w:r>
      <w:r w:rsidR="008A532E" w:rsidRPr="008A532E">
        <w:rPr>
          <w:sz w:val="18"/>
          <w:szCs w:val="18"/>
        </w:rPr>
        <w:t>After analyzing the contribution ratios of additional assets, RMA determined that Brownlow's estimates explain 74.1% of the expenses</w:t>
      </w:r>
      <w:r w:rsidR="008A532E">
        <w:rPr>
          <w:sz w:val="18"/>
          <w:szCs w:val="18"/>
        </w:rPr>
        <w:t>.</w:t>
      </w:r>
      <w:r>
        <w:br w:type="page"/>
      </w:r>
    </w:p>
    <w:p w14:paraId="68FDCEAD" w14:textId="3F76CC22" w:rsidR="00A81DAC" w:rsidRDefault="00A81DAC" w:rsidP="00FE0581">
      <w:pPr>
        <w:jc w:val="center"/>
      </w:pPr>
      <w:r>
        <w:lastRenderedPageBreak/>
        <w:t xml:space="preserve">Table </w:t>
      </w:r>
      <w:r w:rsidR="00130235">
        <w:t>7</w:t>
      </w:r>
      <w:r w:rsidR="00FE0581">
        <w:t xml:space="preserve">. </w:t>
      </w:r>
      <w:r w:rsidRPr="00784A84">
        <w:t>South Delaware Coors</w:t>
      </w:r>
      <w:r w:rsidR="00FE0581">
        <w:t xml:space="preserve"> </w:t>
      </w:r>
      <w:r w:rsidRPr="00784A84">
        <w:t>Pro Forma Income Statement</w:t>
      </w:r>
    </w:p>
    <w:p w14:paraId="6BEEB08A" w14:textId="77777777" w:rsidR="00A81DAC" w:rsidRPr="00784A84" w:rsidRDefault="00A81DAC" w:rsidP="00FE0581">
      <w:pPr>
        <w:jc w:val="center"/>
      </w:pPr>
      <w:r>
        <w:t>For Years 2001 - 2003</w:t>
      </w:r>
    </w:p>
    <w:p w14:paraId="3EF79B57" w14:textId="77777777" w:rsidR="00A81DAC" w:rsidRDefault="00A81DAC" w:rsidP="000227F6"/>
    <w:tbl>
      <w:tblPr>
        <w:tblStyle w:val="TableGrid"/>
        <w:tblW w:w="9608" w:type="dxa"/>
        <w:tblInd w:w="-33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8"/>
        <w:gridCol w:w="1260"/>
        <w:gridCol w:w="990"/>
        <w:gridCol w:w="270"/>
        <w:gridCol w:w="1350"/>
        <w:gridCol w:w="1080"/>
        <w:gridCol w:w="180"/>
        <w:gridCol w:w="1260"/>
        <w:gridCol w:w="1170"/>
      </w:tblGrid>
      <w:tr w:rsidR="00A81DAC" w:rsidRPr="002D0D47" w14:paraId="2BFB15BC" w14:textId="77777777" w:rsidTr="00293B82">
        <w:tc>
          <w:tcPr>
            <w:tcW w:w="2048" w:type="dxa"/>
            <w:tcBorders>
              <w:top w:val="nil"/>
              <w:left w:val="nil"/>
              <w:bottom w:val="nil"/>
              <w:right w:val="single" w:sz="4" w:space="0" w:color="auto"/>
            </w:tcBorders>
            <w:vAlign w:val="center"/>
          </w:tcPr>
          <w:p w14:paraId="3C0F202A" w14:textId="77777777" w:rsidR="00A81DAC" w:rsidRPr="002D0D47" w:rsidRDefault="00A81DAC" w:rsidP="000227F6"/>
        </w:tc>
        <w:tc>
          <w:tcPr>
            <w:tcW w:w="2250" w:type="dxa"/>
            <w:gridSpan w:val="2"/>
            <w:tcBorders>
              <w:top w:val="single" w:sz="4" w:space="0" w:color="auto"/>
              <w:left w:val="single" w:sz="4" w:space="0" w:color="auto"/>
              <w:bottom w:val="single" w:sz="4" w:space="0" w:color="auto"/>
              <w:right w:val="single" w:sz="4" w:space="0" w:color="auto"/>
            </w:tcBorders>
            <w:vAlign w:val="center"/>
          </w:tcPr>
          <w:p w14:paraId="2B51B0A5" w14:textId="77777777" w:rsidR="00A81DAC" w:rsidRPr="002A71D5" w:rsidRDefault="00A81DAC" w:rsidP="00FE0581">
            <w:pPr>
              <w:jc w:val="center"/>
              <w:rPr>
                <w:rFonts w:cstheme="minorHAnsi"/>
                <w:sz w:val="21"/>
                <w:szCs w:val="20"/>
              </w:rPr>
            </w:pPr>
            <w:r w:rsidRPr="002A71D5">
              <w:rPr>
                <w:sz w:val="21"/>
                <w:szCs w:val="20"/>
              </w:rPr>
              <w:t>2001</w:t>
            </w:r>
            <w:r w:rsidRPr="002A71D5">
              <w:rPr>
                <w:sz w:val="21"/>
                <w:szCs w:val="20"/>
                <w:vertAlign w:val="superscript"/>
              </w:rPr>
              <w:t xml:space="preserve"> 1</w:t>
            </w:r>
          </w:p>
        </w:tc>
        <w:tc>
          <w:tcPr>
            <w:tcW w:w="2700" w:type="dxa"/>
            <w:gridSpan w:val="3"/>
            <w:tcBorders>
              <w:top w:val="single" w:sz="4" w:space="0" w:color="auto"/>
              <w:left w:val="single" w:sz="4" w:space="0" w:color="auto"/>
              <w:bottom w:val="single" w:sz="4" w:space="0" w:color="auto"/>
              <w:right w:val="single" w:sz="4" w:space="0" w:color="auto"/>
            </w:tcBorders>
            <w:vAlign w:val="center"/>
          </w:tcPr>
          <w:p w14:paraId="77F2650F" w14:textId="77777777" w:rsidR="00A81DAC" w:rsidRPr="002A71D5" w:rsidRDefault="00A81DAC" w:rsidP="00FE0581">
            <w:pPr>
              <w:jc w:val="center"/>
              <w:rPr>
                <w:sz w:val="21"/>
                <w:szCs w:val="20"/>
              </w:rPr>
            </w:pPr>
            <w:r w:rsidRPr="002A71D5">
              <w:rPr>
                <w:sz w:val="21"/>
                <w:szCs w:val="20"/>
              </w:rPr>
              <w:t>2002</w:t>
            </w:r>
            <w:r w:rsidRPr="002A71D5">
              <w:rPr>
                <w:sz w:val="21"/>
                <w:szCs w:val="20"/>
                <w:vertAlign w:val="superscript"/>
              </w:rPr>
              <w:t xml:space="preserve"> 2</w:t>
            </w:r>
          </w:p>
        </w:tc>
        <w:tc>
          <w:tcPr>
            <w:tcW w:w="2610" w:type="dxa"/>
            <w:gridSpan w:val="3"/>
            <w:tcBorders>
              <w:top w:val="single" w:sz="4" w:space="0" w:color="auto"/>
              <w:left w:val="single" w:sz="4" w:space="0" w:color="auto"/>
              <w:bottom w:val="single" w:sz="4" w:space="0" w:color="auto"/>
              <w:right w:val="single" w:sz="4" w:space="0" w:color="auto"/>
            </w:tcBorders>
            <w:vAlign w:val="center"/>
          </w:tcPr>
          <w:p w14:paraId="291BD65A" w14:textId="77777777" w:rsidR="00A81DAC" w:rsidRPr="002A71D5" w:rsidRDefault="00A81DAC" w:rsidP="00FE0581">
            <w:pPr>
              <w:jc w:val="center"/>
              <w:rPr>
                <w:sz w:val="21"/>
                <w:szCs w:val="20"/>
              </w:rPr>
            </w:pPr>
            <w:r w:rsidRPr="002A71D5">
              <w:rPr>
                <w:sz w:val="21"/>
                <w:szCs w:val="20"/>
              </w:rPr>
              <w:t>2003</w:t>
            </w:r>
            <w:r w:rsidRPr="002A71D5">
              <w:rPr>
                <w:sz w:val="21"/>
                <w:szCs w:val="20"/>
                <w:vertAlign w:val="superscript"/>
              </w:rPr>
              <w:t xml:space="preserve"> 2</w:t>
            </w:r>
          </w:p>
        </w:tc>
      </w:tr>
      <w:tr w:rsidR="00433FDA" w:rsidRPr="00433FDA" w14:paraId="30B5A35A" w14:textId="77777777" w:rsidTr="00C33548">
        <w:tc>
          <w:tcPr>
            <w:tcW w:w="2048" w:type="dxa"/>
            <w:tcBorders>
              <w:top w:val="nil"/>
            </w:tcBorders>
            <w:shd w:val="clear" w:color="auto" w:fill="1F4E79" w:themeFill="accent1" w:themeFillShade="80"/>
            <w:vAlign w:val="center"/>
          </w:tcPr>
          <w:p w14:paraId="5A7D9B5F" w14:textId="77777777" w:rsidR="00A81DAC" w:rsidRPr="00036FB2" w:rsidRDefault="00A81DAC" w:rsidP="00433FDA">
            <w:pPr>
              <w:jc w:val="center"/>
              <w:rPr>
                <w:color w:val="FFFFFF" w:themeColor="background1"/>
                <w:sz w:val="18"/>
                <w:szCs w:val="18"/>
              </w:rPr>
            </w:pPr>
            <w:r w:rsidRPr="00036FB2">
              <w:rPr>
                <w:color w:val="FFFFFF" w:themeColor="background1"/>
                <w:sz w:val="18"/>
                <w:szCs w:val="18"/>
              </w:rPr>
              <w:t>Income Statement</w:t>
            </w:r>
          </w:p>
        </w:tc>
        <w:tc>
          <w:tcPr>
            <w:tcW w:w="1260" w:type="dxa"/>
            <w:shd w:val="clear" w:color="auto" w:fill="1F4E79" w:themeFill="accent1" w:themeFillShade="80"/>
            <w:vAlign w:val="center"/>
          </w:tcPr>
          <w:p w14:paraId="1FBE6FB1" w14:textId="77777777" w:rsidR="00A81DAC" w:rsidRPr="00036FB2" w:rsidRDefault="00A81DAC" w:rsidP="00433FDA">
            <w:pPr>
              <w:jc w:val="center"/>
              <w:rPr>
                <w:color w:val="FFFFFF" w:themeColor="background1"/>
                <w:sz w:val="18"/>
                <w:szCs w:val="18"/>
              </w:rPr>
            </w:pPr>
            <w:r w:rsidRPr="00036FB2">
              <w:rPr>
                <w:color w:val="FFFFFF" w:themeColor="background1"/>
                <w:sz w:val="18"/>
                <w:szCs w:val="18"/>
              </w:rPr>
              <w:t>Optimistic</w:t>
            </w:r>
          </w:p>
        </w:tc>
        <w:tc>
          <w:tcPr>
            <w:tcW w:w="1260" w:type="dxa"/>
            <w:gridSpan w:val="2"/>
            <w:tcBorders>
              <w:right w:val="single" w:sz="4" w:space="0" w:color="auto"/>
            </w:tcBorders>
            <w:shd w:val="clear" w:color="auto" w:fill="385623" w:themeFill="accent6" w:themeFillShade="80"/>
            <w:vAlign w:val="center"/>
          </w:tcPr>
          <w:p w14:paraId="67CFAD85" w14:textId="77777777" w:rsidR="00A81DAC" w:rsidRPr="00036FB2" w:rsidRDefault="00A81DAC" w:rsidP="00433FDA">
            <w:pPr>
              <w:jc w:val="center"/>
              <w:rPr>
                <w:rFonts w:cstheme="minorHAnsi"/>
                <w:color w:val="FFFFFF" w:themeColor="background1"/>
                <w:sz w:val="18"/>
                <w:szCs w:val="18"/>
              </w:rPr>
            </w:pPr>
            <w:r w:rsidRPr="00036FB2">
              <w:rPr>
                <w:color w:val="FFFFFF" w:themeColor="background1"/>
                <w:sz w:val="18"/>
                <w:szCs w:val="18"/>
              </w:rPr>
              <w:t>Pessimistic</w:t>
            </w:r>
          </w:p>
        </w:tc>
        <w:tc>
          <w:tcPr>
            <w:tcW w:w="1350" w:type="dxa"/>
            <w:tcBorders>
              <w:left w:val="single" w:sz="4" w:space="0" w:color="auto"/>
              <w:bottom w:val="nil"/>
            </w:tcBorders>
            <w:shd w:val="clear" w:color="auto" w:fill="1F4E79" w:themeFill="accent1" w:themeFillShade="80"/>
            <w:vAlign w:val="center"/>
          </w:tcPr>
          <w:p w14:paraId="2540A774" w14:textId="77777777" w:rsidR="00A81DAC" w:rsidRPr="00036FB2" w:rsidRDefault="00A81DAC" w:rsidP="00433FDA">
            <w:pPr>
              <w:jc w:val="center"/>
              <w:rPr>
                <w:color w:val="FFFFFF" w:themeColor="background1"/>
                <w:sz w:val="18"/>
                <w:szCs w:val="18"/>
              </w:rPr>
            </w:pPr>
            <w:r w:rsidRPr="00036FB2">
              <w:rPr>
                <w:color w:val="FFFFFF" w:themeColor="background1"/>
                <w:sz w:val="18"/>
                <w:szCs w:val="18"/>
              </w:rPr>
              <w:t>Optimistic</w:t>
            </w:r>
          </w:p>
        </w:tc>
        <w:tc>
          <w:tcPr>
            <w:tcW w:w="1260" w:type="dxa"/>
            <w:gridSpan w:val="2"/>
            <w:tcBorders>
              <w:right w:val="single" w:sz="4" w:space="0" w:color="auto"/>
            </w:tcBorders>
            <w:shd w:val="clear" w:color="auto" w:fill="385623" w:themeFill="accent6" w:themeFillShade="80"/>
            <w:vAlign w:val="center"/>
          </w:tcPr>
          <w:p w14:paraId="3C64C257" w14:textId="77777777" w:rsidR="00A81DAC" w:rsidRPr="00036FB2" w:rsidRDefault="00A81DAC" w:rsidP="00433FDA">
            <w:pPr>
              <w:jc w:val="center"/>
              <w:rPr>
                <w:rFonts w:cstheme="minorHAnsi"/>
                <w:color w:val="FFFFFF" w:themeColor="background1"/>
                <w:sz w:val="18"/>
                <w:szCs w:val="18"/>
              </w:rPr>
            </w:pPr>
            <w:r w:rsidRPr="00036FB2">
              <w:rPr>
                <w:color w:val="FFFFFF" w:themeColor="background1"/>
                <w:sz w:val="18"/>
                <w:szCs w:val="18"/>
              </w:rPr>
              <w:t>Pessimistic</w:t>
            </w:r>
          </w:p>
        </w:tc>
        <w:tc>
          <w:tcPr>
            <w:tcW w:w="1260" w:type="dxa"/>
            <w:tcBorders>
              <w:left w:val="single" w:sz="4" w:space="0" w:color="auto"/>
              <w:bottom w:val="nil"/>
            </w:tcBorders>
            <w:shd w:val="clear" w:color="auto" w:fill="1F4E79" w:themeFill="accent1" w:themeFillShade="80"/>
            <w:vAlign w:val="center"/>
          </w:tcPr>
          <w:p w14:paraId="00805C1A" w14:textId="77777777" w:rsidR="00A81DAC" w:rsidRPr="00036FB2" w:rsidRDefault="00A81DAC" w:rsidP="00433FDA">
            <w:pPr>
              <w:jc w:val="center"/>
              <w:rPr>
                <w:rFonts w:cstheme="minorHAnsi"/>
                <w:color w:val="FFFFFF" w:themeColor="background1"/>
                <w:sz w:val="18"/>
                <w:szCs w:val="18"/>
              </w:rPr>
            </w:pPr>
            <w:r w:rsidRPr="00036FB2">
              <w:rPr>
                <w:color w:val="FFFFFF" w:themeColor="background1"/>
                <w:sz w:val="18"/>
                <w:szCs w:val="18"/>
              </w:rPr>
              <w:t>Optimistic</w:t>
            </w:r>
          </w:p>
        </w:tc>
        <w:tc>
          <w:tcPr>
            <w:tcW w:w="1170" w:type="dxa"/>
            <w:shd w:val="clear" w:color="auto" w:fill="385623" w:themeFill="accent6" w:themeFillShade="80"/>
            <w:vAlign w:val="center"/>
          </w:tcPr>
          <w:p w14:paraId="5759F26A" w14:textId="77777777" w:rsidR="00A81DAC" w:rsidRPr="00036FB2" w:rsidRDefault="00A81DAC" w:rsidP="00433FDA">
            <w:pPr>
              <w:jc w:val="center"/>
              <w:rPr>
                <w:rFonts w:cstheme="minorHAnsi"/>
                <w:color w:val="FFFFFF" w:themeColor="background1"/>
                <w:sz w:val="18"/>
                <w:szCs w:val="18"/>
              </w:rPr>
            </w:pPr>
            <w:r w:rsidRPr="00036FB2">
              <w:rPr>
                <w:color w:val="FFFFFF" w:themeColor="background1"/>
                <w:sz w:val="18"/>
                <w:szCs w:val="18"/>
              </w:rPr>
              <w:t>Pessimistic</w:t>
            </w:r>
          </w:p>
        </w:tc>
      </w:tr>
      <w:tr w:rsidR="00C33548" w:rsidRPr="002D0D47" w14:paraId="7E6EEBB7" w14:textId="77777777" w:rsidTr="00C33548">
        <w:tc>
          <w:tcPr>
            <w:tcW w:w="2048" w:type="dxa"/>
            <w:shd w:val="clear" w:color="auto" w:fill="F2F2F2" w:themeFill="background1" w:themeFillShade="F2"/>
            <w:vAlign w:val="center"/>
          </w:tcPr>
          <w:p w14:paraId="434886A4" w14:textId="77777777" w:rsidR="00A81DAC" w:rsidRPr="008D060F" w:rsidRDefault="00A81DAC" w:rsidP="000227F6">
            <w:pPr>
              <w:rPr>
                <w:sz w:val="18"/>
                <w:szCs w:val="18"/>
              </w:rPr>
            </w:pPr>
            <w:r w:rsidRPr="008D060F">
              <w:rPr>
                <w:sz w:val="18"/>
                <w:szCs w:val="18"/>
              </w:rPr>
              <w:t>Sales</w:t>
            </w:r>
          </w:p>
        </w:tc>
        <w:tc>
          <w:tcPr>
            <w:tcW w:w="1260" w:type="dxa"/>
            <w:tcBorders>
              <w:bottom w:val="nil"/>
            </w:tcBorders>
            <w:shd w:val="clear" w:color="auto" w:fill="DEEAF6" w:themeFill="accent1" w:themeFillTint="33"/>
            <w:vAlign w:val="center"/>
          </w:tcPr>
          <w:p w14:paraId="50621E57" w14:textId="5BA5F8A2" w:rsidR="00A81DAC" w:rsidRPr="008D060F" w:rsidRDefault="002E708C" w:rsidP="000227F6">
            <w:pPr>
              <w:rPr>
                <w:sz w:val="18"/>
                <w:szCs w:val="18"/>
              </w:rPr>
            </w:pPr>
            <w:r w:rsidRPr="002E708C">
              <w:rPr>
                <w:sz w:val="18"/>
                <w:szCs w:val="18"/>
              </w:rPr>
              <w:t>$3,325,506</w:t>
            </w:r>
          </w:p>
        </w:tc>
        <w:tc>
          <w:tcPr>
            <w:tcW w:w="1260" w:type="dxa"/>
            <w:gridSpan w:val="2"/>
            <w:tcBorders>
              <w:bottom w:val="nil"/>
              <w:right w:val="single" w:sz="4" w:space="0" w:color="auto"/>
            </w:tcBorders>
            <w:shd w:val="clear" w:color="auto" w:fill="E2EFD9" w:themeFill="accent6" w:themeFillTint="33"/>
            <w:vAlign w:val="center"/>
          </w:tcPr>
          <w:p w14:paraId="5F32C47F" w14:textId="37CAA665" w:rsidR="00A81DAC" w:rsidRPr="008D060F" w:rsidRDefault="00C85776" w:rsidP="000227F6">
            <w:pPr>
              <w:rPr>
                <w:sz w:val="18"/>
                <w:szCs w:val="18"/>
              </w:rPr>
            </w:pPr>
            <w:r w:rsidRPr="00C85776">
              <w:rPr>
                <w:sz w:val="18"/>
                <w:szCs w:val="18"/>
              </w:rPr>
              <w:t>$2,389,323</w:t>
            </w:r>
          </w:p>
        </w:tc>
        <w:tc>
          <w:tcPr>
            <w:tcW w:w="1350" w:type="dxa"/>
            <w:tcBorders>
              <w:left w:val="single" w:sz="4" w:space="0" w:color="auto"/>
              <w:bottom w:val="nil"/>
            </w:tcBorders>
            <w:shd w:val="clear" w:color="auto" w:fill="DEEAF6" w:themeFill="accent1" w:themeFillTint="33"/>
            <w:vAlign w:val="center"/>
          </w:tcPr>
          <w:p w14:paraId="39A9349F" w14:textId="757C960B" w:rsidR="00A81DAC" w:rsidRPr="008D060F" w:rsidRDefault="003B0DE3" w:rsidP="000227F6">
            <w:pPr>
              <w:rPr>
                <w:sz w:val="18"/>
                <w:szCs w:val="18"/>
              </w:rPr>
            </w:pPr>
            <w:r w:rsidRPr="003B0DE3">
              <w:rPr>
                <w:sz w:val="18"/>
                <w:szCs w:val="18"/>
              </w:rPr>
              <w:t>$3,730,404</w:t>
            </w:r>
          </w:p>
        </w:tc>
        <w:tc>
          <w:tcPr>
            <w:tcW w:w="1260" w:type="dxa"/>
            <w:gridSpan w:val="2"/>
            <w:tcBorders>
              <w:bottom w:val="nil"/>
              <w:right w:val="single" w:sz="4" w:space="0" w:color="auto"/>
            </w:tcBorders>
            <w:shd w:val="clear" w:color="auto" w:fill="E2EFD9" w:themeFill="accent6" w:themeFillTint="33"/>
            <w:vAlign w:val="center"/>
          </w:tcPr>
          <w:p w14:paraId="2B549499" w14:textId="713B4184" w:rsidR="00A81DAC" w:rsidRPr="008D060F" w:rsidRDefault="00005D27" w:rsidP="000227F6">
            <w:pPr>
              <w:rPr>
                <w:sz w:val="18"/>
                <w:szCs w:val="18"/>
              </w:rPr>
            </w:pPr>
            <w:r w:rsidRPr="00005D27">
              <w:rPr>
                <w:sz w:val="18"/>
                <w:szCs w:val="18"/>
              </w:rPr>
              <w:t>$2,515,202</w:t>
            </w:r>
          </w:p>
        </w:tc>
        <w:tc>
          <w:tcPr>
            <w:tcW w:w="1260" w:type="dxa"/>
            <w:tcBorders>
              <w:left w:val="single" w:sz="4" w:space="0" w:color="auto"/>
              <w:bottom w:val="nil"/>
            </w:tcBorders>
            <w:shd w:val="clear" w:color="auto" w:fill="DEEAF6" w:themeFill="accent1" w:themeFillTint="33"/>
            <w:vAlign w:val="center"/>
          </w:tcPr>
          <w:p w14:paraId="66D58D71" w14:textId="6F912A3B" w:rsidR="00A81DAC" w:rsidRPr="008D060F" w:rsidRDefault="00B84E31" w:rsidP="000227F6">
            <w:pPr>
              <w:rPr>
                <w:sz w:val="18"/>
                <w:szCs w:val="18"/>
              </w:rPr>
            </w:pPr>
            <w:r w:rsidRPr="00B84E31">
              <w:rPr>
                <w:sz w:val="18"/>
                <w:szCs w:val="18"/>
              </w:rPr>
              <w:t>$3,843,453</w:t>
            </w:r>
          </w:p>
        </w:tc>
        <w:tc>
          <w:tcPr>
            <w:tcW w:w="1170" w:type="dxa"/>
            <w:tcBorders>
              <w:bottom w:val="nil"/>
            </w:tcBorders>
            <w:shd w:val="clear" w:color="auto" w:fill="E2EFD9" w:themeFill="accent6" w:themeFillTint="33"/>
            <w:vAlign w:val="center"/>
          </w:tcPr>
          <w:p w14:paraId="29A01C6B" w14:textId="14F48AFC" w:rsidR="00A81DAC" w:rsidRPr="008D060F" w:rsidRDefault="00DB3280" w:rsidP="000227F6">
            <w:pPr>
              <w:rPr>
                <w:sz w:val="18"/>
                <w:szCs w:val="18"/>
              </w:rPr>
            </w:pPr>
            <w:r w:rsidRPr="00DB3280">
              <w:rPr>
                <w:sz w:val="18"/>
                <w:szCs w:val="18"/>
              </w:rPr>
              <w:t>$2,671,438</w:t>
            </w:r>
          </w:p>
        </w:tc>
      </w:tr>
      <w:tr w:rsidR="00C33548" w:rsidRPr="002D0D47" w14:paraId="4FD1A84D" w14:textId="77777777" w:rsidTr="00C33548">
        <w:tc>
          <w:tcPr>
            <w:tcW w:w="2048" w:type="dxa"/>
            <w:shd w:val="clear" w:color="auto" w:fill="F2F2F2" w:themeFill="background1" w:themeFillShade="F2"/>
            <w:vAlign w:val="center"/>
          </w:tcPr>
          <w:p w14:paraId="0055CA30" w14:textId="77777777" w:rsidR="00A81DAC" w:rsidRPr="008D060F" w:rsidRDefault="00A81DAC" w:rsidP="000227F6">
            <w:pPr>
              <w:rPr>
                <w:sz w:val="18"/>
                <w:szCs w:val="18"/>
              </w:rPr>
            </w:pPr>
            <w:r w:rsidRPr="008D060F">
              <w:rPr>
                <w:sz w:val="18"/>
                <w:szCs w:val="18"/>
              </w:rPr>
              <w:t>Cost of Goods Sold</w:t>
            </w:r>
            <w:r w:rsidRPr="008D060F">
              <w:rPr>
                <w:sz w:val="18"/>
                <w:szCs w:val="18"/>
                <w:vertAlign w:val="superscript"/>
              </w:rPr>
              <w:t xml:space="preserve"> 3</w:t>
            </w:r>
          </w:p>
        </w:tc>
        <w:tc>
          <w:tcPr>
            <w:tcW w:w="1260" w:type="dxa"/>
            <w:tcBorders>
              <w:bottom w:val="single" w:sz="4" w:space="0" w:color="auto"/>
            </w:tcBorders>
            <w:shd w:val="clear" w:color="auto" w:fill="DEEAF6" w:themeFill="accent1" w:themeFillTint="33"/>
            <w:vAlign w:val="center"/>
          </w:tcPr>
          <w:p w14:paraId="763A4CE8" w14:textId="16D62740" w:rsidR="00A81DAC" w:rsidRPr="008D060F" w:rsidRDefault="00A82D9B" w:rsidP="000227F6">
            <w:pPr>
              <w:rPr>
                <w:sz w:val="18"/>
                <w:szCs w:val="18"/>
              </w:rPr>
            </w:pPr>
            <w:r w:rsidRPr="00A82D9B">
              <w:rPr>
                <w:sz w:val="18"/>
                <w:szCs w:val="18"/>
              </w:rPr>
              <w:t>$2,563,965</w:t>
            </w:r>
          </w:p>
        </w:tc>
        <w:tc>
          <w:tcPr>
            <w:tcW w:w="1260" w:type="dxa"/>
            <w:gridSpan w:val="2"/>
            <w:tcBorders>
              <w:bottom w:val="single" w:sz="4" w:space="0" w:color="auto"/>
              <w:right w:val="single" w:sz="4" w:space="0" w:color="auto"/>
            </w:tcBorders>
            <w:shd w:val="clear" w:color="auto" w:fill="E2EFD9" w:themeFill="accent6" w:themeFillTint="33"/>
            <w:vAlign w:val="center"/>
          </w:tcPr>
          <w:p w14:paraId="35A54656" w14:textId="7D2B71A4" w:rsidR="00A81DAC" w:rsidRPr="008D060F" w:rsidRDefault="00C85776" w:rsidP="000227F6">
            <w:pPr>
              <w:rPr>
                <w:sz w:val="18"/>
                <w:szCs w:val="18"/>
              </w:rPr>
            </w:pPr>
            <w:r w:rsidRPr="00C85776">
              <w:rPr>
                <w:sz w:val="18"/>
                <w:szCs w:val="18"/>
              </w:rPr>
              <w:t>$1,842,168</w:t>
            </w:r>
          </w:p>
        </w:tc>
        <w:tc>
          <w:tcPr>
            <w:tcW w:w="1350" w:type="dxa"/>
            <w:tcBorders>
              <w:left w:val="single" w:sz="4" w:space="0" w:color="auto"/>
              <w:bottom w:val="single" w:sz="4" w:space="0" w:color="auto"/>
            </w:tcBorders>
            <w:shd w:val="clear" w:color="auto" w:fill="DEEAF6" w:themeFill="accent1" w:themeFillTint="33"/>
            <w:vAlign w:val="center"/>
          </w:tcPr>
          <w:p w14:paraId="2088223E" w14:textId="34A62DA4" w:rsidR="00A81DAC" w:rsidRPr="008D060F" w:rsidRDefault="003B0DE3" w:rsidP="000227F6">
            <w:pPr>
              <w:rPr>
                <w:sz w:val="18"/>
                <w:szCs w:val="18"/>
              </w:rPr>
            </w:pPr>
            <w:r w:rsidRPr="003B0DE3">
              <w:rPr>
                <w:sz w:val="18"/>
                <w:szCs w:val="18"/>
              </w:rPr>
              <w:t>$2,876,141</w:t>
            </w:r>
          </w:p>
        </w:tc>
        <w:tc>
          <w:tcPr>
            <w:tcW w:w="1260" w:type="dxa"/>
            <w:gridSpan w:val="2"/>
            <w:tcBorders>
              <w:bottom w:val="single" w:sz="4" w:space="0" w:color="auto"/>
              <w:right w:val="single" w:sz="4" w:space="0" w:color="auto"/>
            </w:tcBorders>
            <w:shd w:val="clear" w:color="auto" w:fill="E2EFD9" w:themeFill="accent6" w:themeFillTint="33"/>
            <w:vAlign w:val="center"/>
          </w:tcPr>
          <w:p w14:paraId="21966590" w14:textId="662BA2D4" w:rsidR="00A81DAC" w:rsidRPr="008D060F" w:rsidRDefault="00CD3CBE" w:rsidP="000227F6">
            <w:pPr>
              <w:rPr>
                <w:sz w:val="18"/>
                <w:szCs w:val="18"/>
              </w:rPr>
            </w:pPr>
            <w:r w:rsidRPr="00CD3CBE">
              <w:rPr>
                <w:sz w:val="18"/>
                <w:szCs w:val="18"/>
              </w:rPr>
              <w:t>$1,939,221</w:t>
            </w:r>
          </w:p>
        </w:tc>
        <w:tc>
          <w:tcPr>
            <w:tcW w:w="1260" w:type="dxa"/>
            <w:tcBorders>
              <w:left w:val="single" w:sz="4" w:space="0" w:color="auto"/>
              <w:bottom w:val="single" w:sz="4" w:space="0" w:color="auto"/>
            </w:tcBorders>
            <w:shd w:val="clear" w:color="auto" w:fill="DEEAF6" w:themeFill="accent1" w:themeFillTint="33"/>
            <w:vAlign w:val="center"/>
          </w:tcPr>
          <w:p w14:paraId="21C31244" w14:textId="511AEBB2" w:rsidR="00A81DAC" w:rsidRPr="008D060F" w:rsidRDefault="00B84E31" w:rsidP="000227F6">
            <w:pPr>
              <w:rPr>
                <w:sz w:val="18"/>
                <w:szCs w:val="18"/>
              </w:rPr>
            </w:pPr>
            <w:r w:rsidRPr="00B84E31">
              <w:rPr>
                <w:sz w:val="18"/>
                <w:szCs w:val="18"/>
              </w:rPr>
              <w:t>$2,963,302</w:t>
            </w:r>
          </w:p>
        </w:tc>
        <w:tc>
          <w:tcPr>
            <w:tcW w:w="1170" w:type="dxa"/>
            <w:tcBorders>
              <w:bottom w:val="single" w:sz="4" w:space="0" w:color="auto"/>
            </w:tcBorders>
            <w:shd w:val="clear" w:color="auto" w:fill="E2EFD9" w:themeFill="accent6" w:themeFillTint="33"/>
            <w:vAlign w:val="center"/>
          </w:tcPr>
          <w:p w14:paraId="53A08315" w14:textId="4D0D5610" w:rsidR="00A81DAC" w:rsidRPr="008D060F" w:rsidRDefault="00DB3280" w:rsidP="000227F6">
            <w:pPr>
              <w:rPr>
                <w:sz w:val="18"/>
                <w:szCs w:val="18"/>
              </w:rPr>
            </w:pPr>
            <w:r w:rsidRPr="00DB3280">
              <w:rPr>
                <w:sz w:val="18"/>
                <w:szCs w:val="18"/>
              </w:rPr>
              <w:t>$2,059,679</w:t>
            </w:r>
          </w:p>
        </w:tc>
      </w:tr>
      <w:tr w:rsidR="00C33548" w:rsidRPr="002D0D47" w14:paraId="75E549EC" w14:textId="77777777" w:rsidTr="00C33548">
        <w:tc>
          <w:tcPr>
            <w:tcW w:w="2048" w:type="dxa"/>
            <w:shd w:val="clear" w:color="auto" w:fill="F2F2F2" w:themeFill="background1" w:themeFillShade="F2"/>
            <w:vAlign w:val="center"/>
          </w:tcPr>
          <w:p w14:paraId="39326C7D" w14:textId="77777777" w:rsidR="00A81DAC" w:rsidRPr="008D060F" w:rsidRDefault="00A81DAC" w:rsidP="000227F6">
            <w:pPr>
              <w:rPr>
                <w:sz w:val="18"/>
                <w:szCs w:val="18"/>
              </w:rPr>
            </w:pPr>
            <w:r w:rsidRPr="008D060F">
              <w:rPr>
                <w:sz w:val="18"/>
                <w:szCs w:val="18"/>
              </w:rPr>
              <w:t>Gross Margin</w:t>
            </w:r>
          </w:p>
        </w:tc>
        <w:tc>
          <w:tcPr>
            <w:tcW w:w="1260" w:type="dxa"/>
            <w:tcBorders>
              <w:top w:val="single" w:sz="4" w:space="0" w:color="auto"/>
              <w:bottom w:val="single" w:sz="4" w:space="0" w:color="auto"/>
            </w:tcBorders>
            <w:shd w:val="clear" w:color="auto" w:fill="DEEAF6" w:themeFill="accent1" w:themeFillTint="33"/>
            <w:vAlign w:val="center"/>
          </w:tcPr>
          <w:p w14:paraId="5E78BB12" w14:textId="57D625DB" w:rsidR="00A81DAC" w:rsidRPr="008D060F" w:rsidRDefault="001B2266" w:rsidP="000227F6">
            <w:pPr>
              <w:rPr>
                <w:sz w:val="18"/>
                <w:szCs w:val="18"/>
              </w:rPr>
            </w:pPr>
            <w:r w:rsidRPr="001B2266">
              <w:rPr>
                <w:sz w:val="18"/>
                <w:szCs w:val="18"/>
              </w:rPr>
              <w:t>$761,541</w:t>
            </w:r>
          </w:p>
        </w:tc>
        <w:tc>
          <w:tcPr>
            <w:tcW w:w="1260" w:type="dxa"/>
            <w:gridSpan w:val="2"/>
            <w:tcBorders>
              <w:top w:val="single" w:sz="4" w:space="0" w:color="auto"/>
              <w:bottom w:val="single" w:sz="4" w:space="0" w:color="auto"/>
              <w:right w:val="single" w:sz="4" w:space="0" w:color="auto"/>
            </w:tcBorders>
            <w:shd w:val="clear" w:color="auto" w:fill="E2EFD9" w:themeFill="accent6" w:themeFillTint="33"/>
            <w:vAlign w:val="center"/>
          </w:tcPr>
          <w:p w14:paraId="58AD7C33" w14:textId="51E0819F" w:rsidR="00A81DAC" w:rsidRPr="008D060F" w:rsidRDefault="004804FB" w:rsidP="000227F6">
            <w:pPr>
              <w:rPr>
                <w:sz w:val="18"/>
                <w:szCs w:val="18"/>
              </w:rPr>
            </w:pPr>
            <w:r w:rsidRPr="004804FB">
              <w:rPr>
                <w:sz w:val="18"/>
                <w:szCs w:val="18"/>
              </w:rPr>
              <w:t>$547,155</w:t>
            </w:r>
          </w:p>
        </w:tc>
        <w:tc>
          <w:tcPr>
            <w:tcW w:w="1350" w:type="dxa"/>
            <w:tcBorders>
              <w:top w:val="single" w:sz="4" w:space="0" w:color="auto"/>
              <w:left w:val="single" w:sz="4" w:space="0" w:color="auto"/>
              <w:bottom w:val="single" w:sz="4" w:space="0" w:color="auto"/>
            </w:tcBorders>
            <w:shd w:val="clear" w:color="auto" w:fill="DEEAF6" w:themeFill="accent1" w:themeFillTint="33"/>
            <w:vAlign w:val="center"/>
          </w:tcPr>
          <w:p w14:paraId="1282A87E" w14:textId="1EC686CA" w:rsidR="00A81DAC" w:rsidRPr="008D060F" w:rsidRDefault="003B0DE3" w:rsidP="000227F6">
            <w:pPr>
              <w:rPr>
                <w:sz w:val="18"/>
                <w:szCs w:val="18"/>
              </w:rPr>
            </w:pPr>
            <w:r w:rsidRPr="003B0DE3">
              <w:rPr>
                <w:sz w:val="18"/>
                <w:szCs w:val="18"/>
              </w:rPr>
              <w:t>$854,262</w:t>
            </w:r>
          </w:p>
        </w:tc>
        <w:tc>
          <w:tcPr>
            <w:tcW w:w="1260" w:type="dxa"/>
            <w:gridSpan w:val="2"/>
            <w:tcBorders>
              <w:top w:val="single" w:sz="4" w:space="0" w:color="auto"/>
              <w:bottom w:val="single" w:sz="4" w:space="0" w:color="auto"/>
              <w:right w:val="single" w:sz="4" w:space="0" w:color="auto"/>
            </w:tcBorders>
            <w:shd w:val="clear" w:color="auto" w:fill="E2EFD9" w:themeFill="accent6" w:themeFillTint="33"/>
            <w:vAlign w:val="center"/>
          </w:tcPr>
          <w:p w14:paraId="398695D5" w14:textId="78EF35E7" w:rsidR="00A81DAC" w:rsidRPr="008D060F" w:rsidRDefault="00CD3CBE" w:rsidP="000227F6">
            <w:pPr>
              <w:rPr>
                <w:sz w:val="18"/>
                <w:szCs w:val="18"/>
              </w:rPr>
            </w:pPr>
            <w:r w:rsidRPr="00CD3CBE">
              <w:rPr>
                <w:sz w:val="18"/>
                <w:szCs w:val="18"/>
              </w:rPr>
              <w:t>$575,981</w:t>
            </w:r>
          </w:p>
        </w:tc>
        <w:tc>
          <w:tcPr>
            <w:tcW w:w="1260" w:type="dxa"/>
            <w:tcBorders>
              <w:top w:val="single" w:sz="4" w:space="0" w:color="auto"/>
              <w:left w:val="single" w:sz="4" w:space="0" w:color="auto"/>
              <w:bottom w:val="single" w:sz="4" w:space="0" w:color="auto"/>
            </w:tcBorders>
            <w:shd w:val="clear" w:color="auto" w:fill="DEEAF6" w:themeFill="accent1" w:themeFillTint="33"/>
            <w:vAlign w:val="center"/>
          </w:tcPr>
          <w:p w14:paraId="7B2EDEB9" w14:textId="210841F9" w:rsidR="00A81DAC" w:rsidRPr="008D060F" w:rsidRDefault="00B84E31" w:rsidP="000227F6">
            <w:pPr>
              <w:rPr>
                <w:sz w:val="18"/>
                <w:szCs w:val="18"/>
              </w:rPr>
            </w:pPr>
            <w:r w:rsidRPr="00B84E31">
              <w:rPr>
                <w:sz w:val="18"/>
                <w:szCs w:val="18"/>
              </w:rPr>
              <w:t>$880,151</w:t>
            </w:r>
          </w:p>
        </w:tc>
        <w:tc>
          <w:tcPr>
            <w:tcW w:w="1170" w:type="dxa"/>
            <w:tcBorders>
              <w:top w:val="single" w:sz="4" w:space="0" w:color="auto"/>
              <w:bottom w:val="single" w:sz="4" w:space="0" w:color="auto"/>
            </w:tcBorders>
            <w:shd w:val="clear" w:color="auto" w:fill="E2EFD9" w:themeFill="accent6" w:themeFillTint="33"/>
            <w:vAlign w:val="center"/>
          </w:tcPr>
          <w:p w14:paraId="502350F3" w14:textId="2522482E" w:rsidR="00A81DAC" w:rsidRPr="008D060F" w:rsidRDefault="00DB3280" w:rsidP="000227F6">
            <w:pPr>
              <w:rPr>
                <w:sz w:val="18"/>
                <w:szCs w:val="18"/>
              </w:rPr>
            </w:pPr>
            <w:r w:rsidRPr="00DB3280">
              <w:rPr>
                <w:sz w:val="18"/>
                <w:szCs w:val="18"/>
              </w:rPr>
              <w:t>$611,759</w:t>
            </w:r>
          </w:p>
        </w:tc>
      </w:tr>
      <w:tr w:rsidR="00293B82" w:rsidRPr="002D0D47" w14:paraId="220B3153" w14:textId="77777777" w:rsidTr="00C33548">
        <w:tc>
          <w:tcPr>
            <w:tcW w:w="2048" w:type="dxa"/>
            <w:shd w:val="clear" w:color="auto" w:fill="F2F2F2" w:themeFill="background1" w:themeFillShade="F2"/>
            <w:vAlign w:val="center"/>
          </w:tcPr>
          <w:p w14:paraId="6B3F4A04" w14:textId="77777777" w:rsidR="00293B82" w:rsidRPr="00C3507C" w:rsidRDefault="00293B82" w:rsidP="000227F6">
            <w:pPr>
              <w:rPr>
                <w:sz w:val="18"/>
                <w:szCs w:val="18"/>
                <w:u w:val="single"/>
              </w:rPr>
            </w:pPr>
          </w:p>
        </w:tc>
        <w:tc>
          <w:tcPr>
            <w:tcW w:w="1260" w:type="dxa"/>
            <w:tcBorders>
              <w:top w:val="single" w:sz="4" w:space="0" w:color="auto"/>
            </w:tcBorders>
            <w:shd w:val="clear" w:color="auto" w:fill="DEEAF6" w:themeFill="accent1" w:themeFillTint="33"/>
            <w:vAlign w:val="center"/>
          </w:tcPr>
          <w:p w14:paraId="76077AD4" w14:textId="77777777" w:rsidR="00293B82" w:rsidRPr="008D060F" w:rsidRDefault="00293B82" w:rsidP="000227F6">
            <w:pPr>
              <w:rPr>
                <w:sz w:val="18"/>
                <w:szCs w:val="18"/>
              </w:rPr>
            </w:pPr>
          </w:p>
        </w:tc>
        <w:tc>
          <w:tcPr>
            <w:tcW w:w="1260" w:type="dxa"/>
            <w:gridSpan w:val="2"/>
            <w:tcBorders>
              <w:top w:val="single" w:sz="4" w:space="0" w:color="auto"/>
              <w:right w:val="single" w:sz="4" w:space="0" w:color="auto"/>
            </w:tcBorders>
            <w:shd w:val="clear" w:color="auto" w:fill="E2EFD9" w:themeFill="accent6" w:themeFillTint="33"/>
            <w:vAlign w:val="center"/>
          </w:tcPr>
          <w:p w14:paraId="18000F21" w14:textId="77777777" w:rsidR="00293B82" w:rsidRPr="008D060F" w:rsidRDefault="00293B82" w:rsidP="000227F6">
            <w:pPr>
              <w:rPr>
                <w:sz w:val="18"/>
                <w:szCs w:val="18"/>
              </w:rPr>
            </w:pPr>
          </w:p>
        </w:tc>
        <w:tc>
          <w:tcPr>
            <w:tcW w:w="1350" w:type="dxa"/>
            <w:tcBorders>
              <w:top w:val="single" w:sz="4" w:space="0" w:color="auto"/>
              <w:left w:val="single" w:sz="4" w:space="0" w:color="auto"/>
              <w:bottom w:val="nil"/>
            </w:tcBorders>
            <w:shd w:val="clear" w:color="auto" w:fill="DEEAF6" w:themeFill="accent1" w:themeFillTint="33"/>
            <w:vAlign w:val="center"/>
          </w:tcPr>
          <w:p w14:paraId="55511F0F" w14:textId="77777777" w:rsidR="00293B82" w:rsidRPr="008D060F" w:rsidRDefault="00293B82" w:rsidP="000227F6">
            <w:pPr>
              <w:rPr>
                <w:sz w:val="18"/>
                <w:szCs w:val="18"/>
              </w:rPr>
            </w:pPr>
          </w:p>
        </w:tc>
        <w:tc>
          <w:tcPr>
            <w:tcW w:w="1260" w:type="dxa"/>
            <w:gridSpan w:val="2"/>
            <w:tcBorders>
              <w:top w:val="single" w:sz="4" w:space="0" w:color="auto"/>
              <w:right w:val="single" w:sz="4" w:space="0" w:color="auto"/>
            </w:tcBorders>
            <w:shd w:val="clear" w:color="auto" w:fill="E2EFD9" w:themeFill="accent6" w:themeFillTint="33"/>
            <w:vAlign w:val="center"/>
          </w:tcPr>
          <w:p w14:paraId="24215386" w14:textId="77777777" w:rsidR="00293B82" w:rsidRPr="008D060F" w:rsidRDefault="00293B82" w:rsidP="000227F6">
            <w:pPr>
              <w:rPr>
                <w:sz w:val="18"/>
                <w:szCs w:val="18"/>
              </w:rPr>
            </w:pPr>
          </w:p>
        </w:tc>
        <w:tc>
          <w:tcPr>
            <w:tcW w:w="1260" w:type="dxa"/>
            <w:tcBorders>
              <w:top w:val="single" w:sz="4" w:space="0" w:color="auto"/>
              <w:left w:val="single" w:sz="4" w:space="0" w:color="auto"/>
              <w:bottom w:val="nil"/>
            </w:tcBorders>
            <w:shd w:val="clear" w:color="auto" w:fill="DEEAF6" w:themeFill="accent1" w:themeFillTint="33"/>
            <w:vAlign w:val="center"/>
          </w:tcPr>
          <w:p w14:paraId="2D8E03B0" w14:textId="77777777" w:rsidR="00293B82" w:rsidRPr="008D060F" w:rsidRDefault="00293B82" w:rsidP="000227F6">
            <w:pPr>
              <w:rPr>
                <w:sz w:val="18"/>
                <w:szCs w:val="18"/>
              </w:rPr>
            </w:pPr>
          </w:p>
        </w:tc>
        <w:tc>
          <w:tcPr>
            <w:tcW w:w="1170" w:type="dxa"/>
            <w:tcBorders>
              <w:top w:val="single" w:sz="4" w:space="0" w:color="auto"/>
            </w:tcBorders>
            <w:shd w:val="clear" w:color="auto" w:fill="E2EFD9" w:themeFill="accent6" w:themeFillTint="33"/>
            <w:vAlign w:val="center"/>
          </w:tcPr>
          <w:p w14:paraId="3C303FC5" w14:textId="77777777" w:rsidR="00293B82" w:rsidRPr="008D060F" w:rsidRDefault="00293B82" w:rsidP="000227F6">
            <w:pPr>
              <w:rPr>
                <w:sz w:val="18"/>
                <w:szCs w:val="18"/>
              </w:rPr>
            </w:pPr>
          </w:p>
        </w:tc>
      </w:tr>
      <w:tr w:rsidR="00C33548" w:rsidRPr="002D0D47" w14:paraId="4682815F" w14:textId="77777777" w:rsidTr="00C33548">
        <w:tc>
          <w:tcPr>
            <w:tcW w:w="2048" w:type="dxa"/>
            <w:shd w:val="clear" w:color="auto" w:fill="F2F2F2" w:themeFill="background1" w:themeFillShade="F2"/>
            <w:vAlign w:val="center"/>
          </w:tcPr>
          <w:p w14:paraId="7851E628" w14:textId="77777777" w:rsidR="00A81DAC" w:rsidRPr="00C3507C" w:rsidRDefault="00A81DAC" w:rsidP="000227F6">
            <w:pPr>
              <w:rPr>
                <w:sz w:val="18"/>
                <w:szCs w:val="18"/>
                <w:u w:val="single"/>
              </w:rPr>
            </w:pPr>
            <w:r w:rsidRPr="00C3507C">
              <w:rPr>
                <w:sz w:val="18"/>
                <w:szCs w:val="18"/>
                <w:u w:val="single"/>
              </w:rPr>
              <w:t>Operating Expenses</w:t>
            </w:r>
            <w:r w:rsidRPr="00C3507C">
              <w:rPr>
                <w:sz w:val="18"/>
                <w:szCs w:val="18"/>
                <w:u w:val="single"/>
                <w:vertAlign w:val="superscript"/>
              </w:rPr>
              <w:t xml:space="preserve"> 4</w:t>
            </w:r>
          </w:p>
        </w:tc>
        <w:tc>
          <w:tcPr>
            <w:tcW w:w="1260" w:type="dxa"/>
            <w:shd w:val="clear" w:color="auto" w:fill="DEEAF6" w:themeFill="accent1" w:themeFillTint="33"/>
            <w:vAlign w:val="center"/>
          </w:tcPr>
          <w:p w14:paraId="78F77D72" w14:textId="77777777" w:rsidR="00A81DAC" w:rsidRPr="008D060F" w:rsidRDefault="00A81DAC" w:rsidP="000227F6">
            <w:pPr>
              <w:rPr>
                <w:sz w:val="18"/>
                <w:szCs w:val="18"/>
              </w:rPr>
            </w:pPr>
          </w:p>
        </w:tc>
        <w:tc>
          <w:tcPr>
            <w:tcW w:w="1260" w:type="dxa"/>
            <w:gridSpan w:val="2"/>
            <w:tcBorders>
              <w:right w:val="single" w:sz="4" w:space="0" w:color="auto"/>
            </w:tcBorders>
            <w:shd w:val="clear" w:color="auto" w:fill="E2EFD9" w:themeFill="accent6" w:themeFillTint="33"/>
            <w:vAlign w:val="center"/>
          </w:tcPr>
          <w:p w14:paraId="4994746D" w14:textId="77777777" w:rsidR="00A81DAC" w:rsidRPr="008D060F" w:rsidRDefault="00A81DAC" w:rsidP="000227F6">
            <w:pPr>
              <w:rPr>
                <w:sz w:val="18"/>
                <w:szCs w:val="18"/>
              </w:rPr>
            </w:pPr>
          </w:p>
        </w:tc>
        <w:tc>
          <w:tcPr>
            <w:tcW w:w="1350" w:type="dxa"/>
            <w:tcBorders>
              <w:left w:val="single" w:sz="4" w:space="0" w:color="auto"/>
              <w:bottom w:val="nil"/>
            </w:tcBorders>
            <w:shd w:val="clear" w:color="auto" w:fill="DEEAF6" w:themeFill="accent1" w:themeFillTint="33"/>
            <w:vAlign w:val="center"/>
          </w:tcPr>
          <w:p w14:paraId="5F4356BB" w14:textId="77777777" w:rsidR="00A81DAC" w:rsidRPr="008D060F" w:rsidRDefault="00A81DAC" w:rsidP="000227F6">
            <w:pPr>
              <w:rPr>
                <w:sz w:val="18"/>
                <w:szCs w:val="18"/>
              </w:rPr>
            </w:pPr>
          </w:p>
        </w:tc>
        <w:tc>
          <w:tcPr>
            <w:tcW w:w="1260" w:type="dxa"/>
            <w:gridSpan w:val="2"/>
            <w:tcBorders>
              <w:right w:val="single" w:sz="4" w:space="0" w:color="auto"/>
            </w:tcBorders>
            <w:shd w:val="clear" w:color="auto" w:fill="E2EFD9" w:themeFill="accent6" w:themeFillTint="33"/>
            <w:vAlign w:val="center"/>
          </w:tcPr>
          <w:p w14:paraId="35633BAC" w14:textId="77777777" w:rsidR="00A81DAC" w:rsidRPr="008D060F" w:rsidRDefault="00A81DAC" w:rsidP="000227F6">
            <w:pPr>
              <w:rPr>
                <w:sz w:val="18"/>
                <w:szCs w:val="18"/>
              </w:rPr>
            </w:pPr>
          </w:p>
        </w:tc>
        <w:tc>
          <w:tcPr>
            <w:tcW w:w="1260" w:type="dxa"/>
            <w:tcBorders>
              <w:left w:val="single" w:sz="4" w:space="0" w:color="auto"/>
              <w:bottom w:val="nil"/>
            </w:tcBorders>
            <w:shd w:val="clear" w:color="auto" w:fill="DEEAF6" w:themeFill="accent1" w:themeFillTint="33"/>
            <w:vAlign w:val="center"/>
          </w:tcPr>
          <w:p w14:paraId="3AF4F300" w14:textId="77777777" w:rsidR="00A81DAC" w:rsidRPr="008D060F" w:rsidRDefault="00A81DAC" w:rsidP="000227F6">
            <w:pPr>
              <w:rPr>
                <w:sz w:val="18"/>
                <w:szCs w:val="18"/>
              </w:rPr>
            </w:pPr>
          </w:p>
        </w:tc>
        <w:tc>
          <w:tcPr>
            <w:tcW w:w="1170" w:type="dxa"/>
            <w:shd w:val="clear" w:color="auto" w:fill="E2EFD9" w:themeFill="accent6" w:themeFillTint="33"/>
            <w:vAlign w:val="center"/>
          </w:tcPr>
          <w:p w14:paraId="621B25B5" w14:textId="77777777" w:rsidR="00A81DAC" w:rsidRPr="008D060F" w:rsidRDefault="00A81DAC" w:rsidP="000227F6">
            <w:pPr>
              <w:rPr>
                <w:sz w:val="18"/>
                <w:szCs w:val="18"/>
              </w:rPr>
            </w:pPr>
          </w:p>
        </w:tc>
      </w:tr>
      <w:tr w:rsidR="00D21651" w:rsidRPr="002D0D47" w14:paraId="387B0081" w14:textId="77777777" w:rsidTr="00C33548">
        <w:tc>
          <w:tcPr>
            <w:tcW w:w="2048" w:type="dxa"/>
            <w:shd w:val="clear" w:color="auto" w:fill="F2F2F2" w:themeFill="background1" w:themeFillShade="F2"/>
            <w:vAlign w:val="center"/>
          </w:tcPr>
          <w:p w14:paraId="17A9F394" w14:textId="22CA1152" w:rsidR="00D21651" w:rsidRPr="008D060F" w:rsidRDefault="00D21651" w:rsidP="00D21651">
            <w:pPr>
              <w:rPr>
                <w:sz w:val="18"/>
                <w:szCs w:val="18"/>
              </w:rPr>
            </w:pPr>
            <w:r>
              <w:rPr>
                <w:sz w:val="18"/>
                <w:szCs w:val="18"/>
              </w:rPr>
              <w:t>Salaries</w:t>
            </w:r>
          </w:p>
        </w:tc>
        <w:tc>
          <w:tcPr>
            <w:tcW w:w="1260" w:type="dxa"/>
            <w:shd w:val="clear" w:color="auto" w:fill="DEEAF6" w:themeFill="accent1" w:themeFillTint="33"/>
            <w:vAlign w:val="center"/>
          </w:tcPr>
          <w:p w14:paraId="6DF234FA" w14:textId="769DFBFF" w:rsidR="00D21651" w:rsidRPr="008D060F" w:rsidRDefault="00D21651" w:rsidP="00D21651">
            <w:pPr>
              <w:rPr>
                <w:sz w:val="18"/>
                <w:szCs w:val="18"/>
              </w:rPr>
            </w:pPr>
            <w:r w:rsidRPr="001E3BCA">
              <w:rPr>
                <w:sz w:val="18"/>
                <w:szCs w:val="18"/>
              </w:rPr>
              <w:t>$160,000</w:t>
            </w:r>
          </w:p>
        </w:tc>
        <w:tc>
          <w:tcPr>
            <w:tcW w:w="1260" w:type="dxa"/>
            <w:gridSpan w:val="2"/>
            <w:tcBorders>
              <w:right w:val="single" w:sz="4" w:space="0" w:color="auto"/>
            </w:tcBorders>
            <w:shd w:val="clear" w:color="auto" w:fill="E2EFD9" w:themeFill="accent6" w:themeFillTint="33"/>
            <w:vAlign w:val="center"/>
          </w:tcPr>
          <w:p w14:paraId="7FE74E35" w14:textId="7FD0FFAC" w:rsidR="00D21651" w:rsidRPr="008D060F" w:rsidRDefault="00D21651" w:rsidP="00D21651">
            <w:pPr>
              <w:rPr>
                <w:sz w:val="18"/>
                <w:szCs w:val="18"/>
              </w:rPr>
            </w:pPr>
            <w:r w:rsidRPr="001E3BCA">
              <w:rPr>
                <w:sz w:val="18"/>
                <w:szCs w:val="18"/>
              </w:rPr>
              <w:t>$160,000</w:t>
            </w:r>
          </w:p>
        </w:tc>
        <w:tc>
          <w:tcPr>
            <w:tcW w:w="1350" w:type="dxa"/>
            <w:tcBorders>
              <w:left w:val="single" w:sz="4" w:space="0" w:color="auto"/>
              <w:bottom w:val="nil"/>
            </w:tcBorders>
            <w:shd w:val="clear" w:color="auto" w:fill="DEEAF6" w:themeFill="accent1" w:themeFillTint="33"/>
            <w:vAlign w:val="center"/>
          </w:tcPr>
          <w:p w14:paraId="67B03CF7" w14:textId="2FBE631B" w:rsidR="00D21651" w:rsidRPr="008D060F" w:rsidRDefault="00D21651" w:rsidP="00D21651">
            <w:pPr>
              <w:rPr>
                <w:sz w:val="18"/>
                <w:szCs w:val="18"/>
              </w:rPr>
            </w:pPr>
            <w:r w:rsidRPr="003B0DE3">
              <w:rPr>
                <w:sz w:val="18"/>
                <w:szCs w:val="18"/>
              </w:rPr>
              <w:t>$163,200</w:t>
            </w:r>
          </w:p>
        </w:tc>
        <w:tc>
          <w:tcPr>
            <w:tcW w:w="1260" w:type="dxa"/>
            <w:gridSpan w:val="2"/>
            <w:tcBorders>
              <w:right w:val="single" w:sz="4" w:space="0" w:color="auto"/>
            </w:tcBorders>
            <w:shd w:val="clear" w:color="auto" w:fill="E2EFD9" w:themeFill="accent6" w:themeFillTint="33"/>
            <w:vAlign w:val="center"/>
          </w:tcPr>
          <w:p w14:paraId="6F1FB75B" w14:textId="7705410C" w:rsidR="00D21651" w:rsidRPr="008D060F" w:rsidRDefault="00D21651" w:rsidP="00D21651">
            <w:pPr>
              <w:rPr>
                <w:sz w:val="18"/>
                <w:szCs w:val="18"/>
              </w:rPr>
            </w:pPr>
            <w:r w:rsidRPr="003B0DE3">
              <w:rPr>
                <w:sz w:val="18"/>
                <w:szCs w:val="18"/>
              </w:rPr>
              <w:t>$</w:t>
            </w:r>
            <w:r w:rsidR="00DB49FF" w:rsidRPr="00DB49FF">
              <w:rPr>
                <w:sz w:val="18"/>
                <w:szCs w:val="18"/>
              </w:rPr>
              <w:t>168,000</w:t>
            </w:r>
          </w:p>
        </w:tc>
        <w:tc>
          <w:tcPr>
            <w:tcW w:w="1260" w:type="dxa"/>
            <w:tcBorders>
              <w:left w:val="single" w:sz="4" w:space="0" w:color="auto"/>
              <w:bottom w:val="nil"/>
            </w:tcBorders>
            <w:shd w:val="clear" w:color="auto" w:fill="DEEAF6" w:themeFill="accent1" w:themeFillTint="33"/>
            <w:vAlign w:val="center"/>
          </w:tcPr>
          <w:p w14:paraId="2EC9FFEB" w14:textId="3DF6638F" w:rsidR="00D21651" w:rsidRPr="008D060F" w:rsidRDefault="00B84E31" w:rsidP="00D21651">
            <w:pPr>
              <w:rPr>
                <w:sz w:val="18"/>
                <w:szCs w:val="18"/>
              </w:rPr>
            </w:pPr>
            <w:r w:rsidRPr="00B84E31">
              <w:rPr>
                <w:sz w:val="18"/>
                <w:szCs w:val="18"/>
              </w:rPr>
              <w:t>$166,464</w:t>
            </w:r>
          </w:p>
        </w:tc>
        <w:tc>
          <w:tcPr>
            <w:tcW w:w="1170" w:type="dxa"/>
            <w:shd w:val="clear" w:color="auto" w:fill="E2EFD9" w:themeFill="accent6" w:themeFillTint="33"/>
            <w:vAlign w:val="center"/>
          </w:tcPr>
          <w:p w14:paraId="166B968B" w14:textId="76C93E74" w:rsidR="00D21651" w:rsidRPr="008D060F" w:rsidRDefault="00DB3280" w:rsidP="00D21651">
            <w:pPr>
              <w:rPr>
                <w:sz w:val="18"/>
                <w:szCs w:val="18"/>
              </w:rPr>
            </w:pPr>
            <w:r w:rsidRPr="00DB3280">
              <w:rPr>
                <w:sz w:val="18"/>
                <w:szCs w:val="18"/>
              </w:rPr>
              <w:t>$176,400</w:t>
            </w:r>
          </w:p>
        </w:tc>
      </w:tr>
      <w:tr w:rsidR="00D21651" w:rsidRPr="002D0D47" w14:paraId="76CD80AB" w14:textId="77777777" w:rsidTr="00C33548">
        <w:tc>
          <w:tcPr>
            <w:tcW w:w="2048" w:type="dxa"/>
            <w:shd w:val="clear" w:color="auto" w:fill="F2F2F2" w:themeFill="background1" w:themeFillShade="F2"/>
            <w:vAlign w:val="center"/>
          </w:tcPr>
          <w:p w14:paraId="61CF1C91" w14:textId="441B449A" w:rsidR="00D21651" w:rsidRPr="008D060F" w:rsidRDefault="00D21651" w:rsidP="00D21651">
            <w:pPr>
              <w:rPr>
                <w:sz w:val="18"/>
                <w:szCs w:val="18"/>
              </w:rPr>
            </w:pPr>
            <w:r>
              <w:rPr>
                <w:sz w:val="18"/>
                <w:szCs w:val="18"/>
              </w:rPr>
              <w:t>Depreciation</w:t>
            </w:r>
          </w:p>
        </w:tc>
        <w:tc>
          <w:tcPr>
            <w:tcW w:w="1260" w:type="dxa"/>
            <w:shd w:val="clear" w:color="auto" w:fill="DEEAF6" w:themeFill="accent1" w:themeFillTint="33"/>
            <w:vAlign w:val="center"/>
          </w:tcPr>
          <w:p w14:paraId="6187E05C" w14:textId="6932FB53" w:rsidR="00D21651" w:rsidRPr="008D060F" w:rsidRDefault="00D21651" w:rsidP="00D21651">
            <w:pPr>
              <w:rPr>
                <w:sz w:val="18"/>
                <w:szCs w:val="18"/>
              </w:rPr>
            </w:pPr>
            <w:r w:rsidRPr="001E3BCA">
              <w:rPr>
                <w:sz w:val="18"/>
                <w:szCs w:val="18"/>
              </w:rPr>
              <w:t>$50,000</w:t>
            </w:r>
          </w:p>
        </w:tc>
        <w:tc>
          <w:tcPr>
            <w:tcW w:w="1260" w:type="dxa"/>
            <w:gridSpan w:val="2"/>
            <w:tcBorders>
              <w:right w:val="single" w:sz="4" w:space="0" w:color="auto"/>
            </w:tcBorders>
            <w:shd w:val="clear" w:color="auto" w:fill="E2EFD9" w:themeFill="accent6" w:themeFillTint="33"/>
            <w:vAlign w:val="center"/>
          </w:tcPr>
          <w:p w14:paraId="34B702AA" w14:textId="0FED6AE4" w:rsidR="00D21651" w:rsidRPr="008D060F" w:rsidRDefault="00D21651" w:rsidP="00D21651">
            <w:pPr>
              <w:rPr>
                <w:sz w:val="18"/>
                <w:szCs w:val="18"/>
              </w:rPr>
            </w:pPr>
            <w:r w:rsidRPr="001E3BCA">
              <w:rPr>
                <w:sz w:val="18"/>
                <w:szCs w:val="18"/>
              </w:rPr>
              <w:t>$50,000</w:t>
            </w:r>
          </w:p>
        </w:tc>
        <w:tc>
          <w:tcPr>
            <w:tcW w:w="1350" w:type="dxa"/>
            <w:tcBorders>
              <w:left w:val="single" w:sz="4" w:space="0" w:color="auto"/>
              <w:bottom w:val="nil"/>
            </w:tcBorders>
            <w:shd w:val="clear" w:color="auto" w:fill="DEEAF6" w:themeFill="accent1" w:themeFillTint="33"/>
            <w:vAlign w:val="center"/>
          </w:tcPr>
          <w:p w14:paraId="6BEDF40B" w14:textId="201D4ED9" w:rsidR="00D21651" w:rsidRPr="008D060F" w:rsidRDefault="00D21651" w:rsidP="00D21651">
            <w:pPr>
              <w:rPr>
                <w:sz w:val="18"/>
                <w:szCs w:val="18"/>
              </w:rPr>
            </w:pPr>
            <w:r w:rsidRPr="00C84330">
              <w:rPr>
                <w:sz w:val="18"/>
                <w:szCs w:val="18"/>
              </w:rPr>
              <w:t>$51,000</w:t>
            </w:r>
          </w:p>
        </w:tc>
        <w:tc>
          <w:tcPr>
            <w:tcW w:w="1260" w:type="dxa"/>
            <w:gridSpan w:val="2"/>
            <w:tcBorders>
              <w:right w:val="single" w:sz="4" w:space="0" w:color="auto"/>
            </w:tcBorders>
            <w:shd w:val="clear" w:color="auto" w:fill="E2EFD9" w:themeFill="accent6" w:themeFillTint="33"/>
            <w:vAlign w:val="center"/>
          </w:tcPr>
          <w:p w14:paraId="22B8445B" w14:textId="20BC2092" w:rsidR="00D21651" w:rsidRPr="008D060F" w:rsidRDefault="0091275B" w:rsidP="00D21651">
            <w:pPr>
              <w:rPr>
                <w:sz w:val="18"/>
                <w:szCs w:val="18"/>
              </w:rPr>
            </w:pPr>
            <w:r w:rsidRPr="0091275B">
              <w:rPr>
                <w:sz w:val="18"/>
                <w:szCs w:val="18"/>
              </w:rPr>
              <w:t>$52,500</w:t>
            </w:r>
          </w:p>
        </w:tc>
        <w:tc>
          <w:tcPr>
            <w:tcW w:w="1260" w:type="dxa"/>
            <w:tcBorders>
              <w:left w:val="single" w:sz="4" w:space="0" w:color="auto"/>
              <w:bottom w:val="nil"/>
            </w:tcBorders>
            <w:shd w:val="clear" w:color="auto" w:fill="DEEAF6" w:themeFill="accent1" w:themeFillTint="33"/>
            <w:vAlign w:val="center"/>
          </w:tcPr>
          <w:p w14:paraId="1223225D" w14:textId="18C56AF7" w:rsidR="00D21651" w:rsidRPr="008D060F" w:rsidRDefault="00DD5B4C" w:rsidP="00D21651">
            <w:pPr>
              <w:rPr>
                <w:sz w:val="18"/>
                <w:szCs w:val="18"/>
              </w:rPr>
            </w:pPr>
            <w:r w:rsidRPr="00DD5B4C">
              <w:rPr>
                <w:sz w:val="18"/>
                <w:szCs w:val="18"/>
              </w:rPr>
              <w:t>$52,020</w:t>
            </w:r>
          </w:p>
        </w:tc>
        <w:tc>
          <w:tcPr>
            <w:tcW w:w="1170" w:type="dxa"/>
            <w:shd w:val="clear" w:color="auto" w:fill="E2EFD9" w:themeFill="accent6" w:themeFillTint="33"/>
            <w:vAlign w:val="center"/>
          </w:tcPr>
          <w:p w14:paraId="68EA1250" w14:textId="13C18379" w:rsidR="00D21651" w:rsidRPr="008D060F" w:rsidRDefault="00825E8E" w:rsidP="00D21651">
            <w:pPr>
              <w:rPr>
                <w:sz w:val="18"/>
                <w:szCs w:val="18"/>
              </w:rPr>
            </w:pPr>
            <w:r w:rsidRPr="00825E8E">
              <w:rPr>
                <w:sz w:val="18"/>
                <w:szCs w:val="18"/>
              </w:rPr>
              <w:t>$55,125</w:t>
            </w:r>
          </w:p>
        </w:tc>
      </w:tr>
      <w:tr w:rsidR="00D21651" w:rsidRPr="002D0D47" w14:paraId="684CB870" w14:textId="77777777" w:rsidTr="00C33548">
        <w:tc>
          <w:tcPr>
            <w:tcW w:w="2048" w:type="dxa"/>
            <w:shd w:val="clear" w:color="auto" w:fill="F2F2F2" w:themeFill="background1" w:themeFillShade="F2"/>
            <w:vAlign w:val="center"/>
          </w:tcPr>
          <w:p w14:paraId="44CE18C1" w14:textId="4C6DEA0D" w:rsidR="00D21651" w:rsidRPr="008D060F" w:rsidRDefault="00D21651" w:rsidP="00D21651">
            <w:pPr>
              <w:rPr>
                <w:sz w:val="18"/>
                <w:szCs w:val="18"/>
              </w:rPr>
            </w:pPr>
            <w:r>
              <w:rPr>
                <w:sz w:val="18"/>
                <w:szCs w:val="18"/>
              </w:rPr>
              <w:t>Utilities and Phone</w:t>
            </w:r>
          </w:p>
        </w:tc>
        <w:tc>
          <w:tcPr>
            <w:tcW w:w="1260" w:type="dxa"/>
            <w:shd w:val="clear" w:color="auto" w:fill="DEEAF6" w:themeFill="accent1" w:themeFillTint="33"/>
            <w:vAlign w:val="center"/>
          </w:tcPr>
          <w:p w14:paraId="31988F0A" w14:textId="52AEA979" w:rsidR="00D21651" w:rsidRPr="008D060F" w:rsidRDefault="00D21651" w:rsidP="00D21651">
            <w:pPr>
              <w:rPr>
                <w:sz w:val="18"/>
                <w:szCs w:val="18"/>
              </w:rPr>
            </w:pPr>
            <w:r w:rsidRPr="001E3BCA">
              <w:rPr>
                <w:sz w:val="18"/>
                <w:szCs w:val="18"/>
              </w:rPr>
              <w:t>$12,000</w:t>
            </w:r>
          </w:p>
        </w:tc>
        <w:tc>
          <w:tcPr>
            <w:tcW w:w="1260" w:type="dxa"/>
            <w:gridSpan w:val="2"/>
            <w:tcBorders>
              <w:right w:val="single" w:sz="4" w:space="0" w:color="auto"/>
            </w:tcBorders>
            <w:shd w:val="clear" w:color="auto" w:fill="E2EFD9" w:themeFill="accent6" w:themeFillTint="33"/>
            <w:vAlign w:val="center"/>
          </w:tcPr>
          <w:p w14:paraId="44B42DD4" w14:textId="222A549E" w:rsidR="00D21651" w:rsidRPr="008D060F" w:rsidRDefault="00D21651" w:rsidP="00D21651">
            <w:pPr>
              <w:rPr>
                <w:sz w:val="18"/>
                <w:szCs w:val="18"/>
              </w:rPr>
            </w:pPr>
            <w:r w:rsidRPr="001E3BCA">
              <w:rPr>
                <w:sz w:val="18"/>
                <w:szCs w:val="18"/>
              </w:rPr>
              <w:t>$12,000</w:t>
            </w:r>
          </w:p>
        </w:tc>
        <w:tc>
          <w:tcPr>
            <w:tcW w:w="1350" w:type="dxa"/>
            <w:tcBorders>
              <w:left w:val="single" w:sz="4" w:space="0" w:color="auto"/>
              <w:bottom w:val="nil"/>
            </w:tcBorders>
            <w:shd w:val="clear" w:color="auto" w:fill="DEEAF6" w:themeFill="accent1" w:themeFillTint="33"/>
            <w:vAlign w:val="center"/>
          </w:tcPr>
          <w:p w14:paraId="4F4EE486" w14:textId="15453A1A" w:rsidR="00D21651" w:rsidRPr="008D060F" w:rsidRDefault="00D21651" w:rsidP="00D21651">
            <w:pPr>
              <w:rPr>
                <w:sz w:val="18"/>
                <w:szCs w:val="18"/>
              </w:rPr>
            </w:pPr>
            <w:r w:rsidRPr="00C84330">
              <w:rPr>
                <w:sz w:val="18"/>
                <w:szCs w:val="18"/>
              </w:rPr>
              <w:t>$12,240</w:t>
            </w:r>
          </w:p>
        </w:tc>
        <w:tc>
          <w:tcPr>
            <w:tcW w:w="1260" w:type="dxa"/>
            <w:gridSpan w:val="2"/>
            <w:tcBorders>
              <w:right w:val="single" w:sz="4" w:space="0" w:color="auto"/>
            </w:tcBorders>
            <w:shd w:val="clear" w:color="auto" w:fill="E2EFD9" w:themeFill="accent6" w:themeFillTint="33"/>
            <w:vAlign w:val="center"/>
          </w:tcPr>
          <w:p w14:paraId="20A1BF99" w14:textId="1E26796D" w:rsidR="00D21651" w:rsidRPr="008D060F" w:rsidRDefault="0091275B" w:rsidP="00D21651">
            <w:pPr>
              <w:rPr>
                <w:sz w:val="18"/>
                <w:szCs w:val="18"/>
              </w:rPr>
            </w:pPr>
            <w:r w:rsidRPr="0091275B">
              <w:rPr>
                <w:sz w:val="18"/>
                <w:szCs w:val="18"/>
              </w:rPr>
              <w:t>$12,600</w:t>
            </w:r>
          </w:p>
        </w:tc>
        <w:tc>
          <w:tcPr>
            <w:tcW w:w="1260" w:type="dxa"/>
            <w:tcBorders>
              <w:left w:val="single" w:sz="4" w:space="0" w:color="auto"/>
              <w:bottom w:val="nil"/>
            </w:tcBorders>
            <w:shd w:val="clear" w:color="auto" w:fill="DEEAF6" w:themeFill="accent1" w:themeFillTint="33"/>
            <w:vAlign w:val="center"/>
          </w:tcPr>
          <w:p w14:paraId="78401F07" w14:textId="51404DF0" w:rsidR="00D21651" w:rsidRPr="008D060F" w:rsidRDefault="00DD5B4C" w:rsidP="00D21651">
            <w:pPr>
              <w:rPr>
                <w:sz w:val="18"/>
                <w:szCs w:val="18"/>
              </w:rPr>
            </w:pPr>
            <w:r w:rsidRPr="00DD5B4C">
              <w:rPr>
                <w:sz w:val="18"/>
                <w:szCs w:val="18"/>
              </w:rPr>
              <w:t>$12,485</w:t>
            </w:r>
          </w:p>
        </w:tc>
        <w:tc>
          <w:tcPr>
            <w:tcW w:w="1170" w:type="dxa"/>
            <w:shd w:val="clear" w:color="auto" w:fill="E2EFD9" w:themeFill="accent6" w:themeFillTint="33"/>
            <w:vAlign w:val="center"/>
          </w:tcPr>
          <w:p w14:paraId="4EF35690" w14:textId="76D5AFCC" w:rsidR="00D21651" w:rsidRPr="008D060F" w:rsidRDefault="00825E8E" w:rsidP="00D21651">
            <w:pPr>
              <w:rPr>
                <w:sz w:val="18"/>
                <w:szCs w:val="18"/>
              </w:rPr>
            </w:pPr>
            <w:r w:rsidRPr="00825E8E">
              <w:rPr>
                <w:sz w:val="18"/>
                <w:szCs w:val="18"/>
              </w:rPr>
              <w:t>$13,230</w:t>
            </w:r>
          </w:p>
        </w:tc>
      </w:tr>
      <w:tr w:rsidR="00D21651" w:rsidRPr="002D0D47" w14:paraId="659627CB" w14:textId="77777777" w:rsidTr="00C33548">
        <w:tc>
          <w:tcPr>
            <w:tcW w:w="2048" w:type="dxa"/>
            <w:shd w:val="clear" w:color="auto" w:fill="F2F2F2" w:themeFill="background1" w:themeFillShade="F2"/>
            <w:vAlign w:val="center"/>
          </w:tcPr>
          <w:p w14:paraId="624C90A1" w14:textId="52405005" w:rsidR="00D21651" w:rsidRPr="008D060F" w:rsidRDefault="00D21651" w:rsidP="00D21651">
            <w:pPr>
              <w:rPr>
                <w:sz w:val="18"/>
                <w:szCs w:val="18"/>
              </w:rPr>
            </w:pPr>
            <w:r>
              <w:rPr>
                <w:sz w:val="18"/>
                <w:szCs w:val="18"/>
              </w:rPr>
              <w:t>Insurance</w:t>
            </w:r>
          </w:p>
        </w:tc>
        <w:tc>
          <w:tcPr>
            <w:tcW w:w="1260" w:type="dxa"/>
            <w:shd w:val="clear" w:color="auto" w:fill="DEEAF6" w:themeFill="accent1" w:themeFillTint="33"/>
            <w:vAlign w:val="center"/>
          </w:tcPr>
          <w:p w14:paraId="2E555891" w14:textId="18F42217" w:rsidR="00D21651" w:rsidRPr="008D060F" w:rsidRDefault="00D21651" w:rsidP="00D21651">
            <w:pPr>
              <w:rPr>
                <w:sz w:val="18"/>
                <w:szCs w:val="18"/>
              </w:rPr>
            </w:pPr>
            <w:r w:rsidRPr="00E67725">
              <w:rPr>
                <w:sz w:val="18"/>
                <w:szCs w:val="18"/>
              </w:rPr>
              <w:t>$10,000</w:t>
            </w:r>
          </w:p>
        </w:tc>
        <w:tc>
          <w:tcPr>
            <w:tcW w:w="1260" w:type="dxa"/>
            <w:gridSpan w:val="2"/>
            <w:tcBorders>
              <w:right w:val="single" w:sz="4" w:space="0" w:color="auto"/>
            </w:tcBorders>
            <w:shd w:val="clear" w:color="auto" w:fill="E2EFD9" w:themeFill="accent6" w:themeFillTint="33"/>
            <w:vAlign w:val="center"/>
          </w:tcPr>
          <w:p w14:paraId="1B33719E" w14:textId="4CFCF62F" w:rsidR="00D21651" w:rsidRPr="008D060F" w:rsidRDefault="00D21651" w:rsidP="00D21651">
            <w:pPr>
              <w:rPr>
                <w:sz w:val="18"/>
                <w:szCs w:val="18"/>
              </w:rPr>
            </w:pPr>
            <w:r w:rsidRPr="00E67725">
              <w:rPr>
                <w:sz w:val="18"/>
                <w:szCs w:val="18"/>
              </w:rPr>
              <w:t>$10,000</w:t>
            </w:r>
          </w:p>
        </w:tc>
        <w:tc>
          <w:tcPr>
            <w:tcW w:w="1350" w:type="dxa"/>
            <w:tcBorders>
              <w:left w:val="single" w:sz="4" w:space="0" w:color="auto"/>
              <w:bottom w:val="nil"/>
            </w:tcBorders>
            <w:shd w:val="clear" w:color="auto" w:fill="DEEAF6" w:themeFill="accent1" w:themeFillTint="33"/>
            <w:vAlign w:val="center"/>
          </w:tcPr>
          <w:p w14:paraId="1F9A840E" w14:textId="46C76610" w:rsidR="00D21651" w:rsidRPr="008D060F" w:rsidRDefault="00D21651" w:rsidP="00D21651">
            <w:pPr>
              <w:rPr>
                <w:sz w:val="18"/>
                <w:szCs w:val="18"/>
              </w:rPr>
            </w:pPr>
            <w:r w:rsidRPr="00C84330">
              <w:rPr>
                <w:sz w:val="18"/>
                <w:szCs w:val="18"/>
              </w:rPr>
              <w:t>$10,200</w:t>
            </w:r>
          </w:p>
        </w:tc>
        <w:tc>
          <w:tcPr>
            <w:tcW w:w="1260" w:type="dxa"/>
            <w:gridSpan w:val="2"/>
            <w:tcBorders>
              <w:right w:val="single" w:sz="4" w:space="0" w:color="auto"/>
            </w:tcBorders>
            <w:shd w:val="clear" w:color="auto" w:fill="E2EFD9" w:themeFill="accent6" w:themeFillTint="33"/>
            <w:vAlign w:val="center"/>
          </w:tcPr>
          <w:p w14:paraId="05C8D5C5" w14:textId="0BF54C56" w:rsidR="00D21651" w:rsidRPr="008D060F" w:rsidRDefault="008F6536" w:rsidP="00D21651">
            <w:pPr>
              <w:rPr>
                <w:sz w:val="18"/>
                <w:szCs w:val="18"/>
              </w:rPr>
            </w:pPr>
            <w:r w:rsidRPr="008F6536">
              <w:rPr>
                <w:sz w:val="18"/>
                <w:szCs w:val="18"/>
              </w:rPr>
              <w:t>$10,500</w:t>
            </w:r>
          </w:p>
        </w:tc>
        <w:tc>
          <w:tcPr>
            <w:tcW w:w="1260" w:type="dxa"/>
            <w:tcBorders>
              <w:left w:val="single" w:sz="4" w:space="0" w:color="auto"/>
              <w:bottom w:val="nil"/>
            </w:tcBorders>
            <w:shd w:val="clear" w:color="auto" w:fill="DEEAF6" w:themeFill="accent1" w:themeFillTint="33"/>
            <w:vAlign w:val="center"/>
          </w:tcPr>
          <w:p w14:paraId="04BDA164" w14:textId="49956D82" w:rsidR="00D21651" w:rsidRPr="008D060F" w:rsidRDefault="00DD5B4C" w:rsidP="00D21651">
            <w:pPr>
              <w:rPr>
                <w:sz w:val="18"/>
                <w:szCs w:val="18"/>
              </w:rPr>
            </w:pPr>
            <w:r w:rsidRPr="00DD5B4C">
              <w:rPr>
                <w:sz w:val="18"/>
                <w:szCs w:val="18"/>
              </w:rPr>
              <w:t>$10,404</w:t>
            </w:r>
          </w:p>
        </w:tc>
        <w:tc>
          <w:tcPr>
            <w:tcW w:w="1170" w:type="dxa"/>
            <w:shd w:val="clear" w:color="auto" w:fill="E2EFD9" w:themeFill="accent6" w:themeFillTint="33"/>
            <w:vAlign w:val="center"/>
          </w:tcPr>
          <w:p w14:paraId="79E51CFE" w14:textId="0C3377F5" w:rsidR="00D21651" w:rsidRPr="008D060F" w:rsidRDefault="00825E8E" w:rsidP="00D21651">
            <w:pPr>
              <w:rPr>
                <w:sz w:val="18"/>
                <w:szCs w:val="18"/>
              </w:rPr>
            </w:pPr>
            <w:r w:rsidRPr="00825E8E">
              <w:rPr>
                <w:sz w:val="18"/>
                <w:szCs w:val="18"/>
              </w:rPr>
              <w:t>$11,025</w:t>
            </w:r>
          </w:p>
        </w:tc>
      </w:tr>
      <w:tr w:rsidR="00D21651" w:rsidRPr="002D0D47" w14:paraId="67DFA9DF" w14:textId="77777777" w:rsidTr="00C33548">
        <w:tc>
          <w:tcPr>
            <w:tcW w:w="2048" w:type="dxa"/>
            <w:shd w:val="clear" w:color="auto" w:fill="F2F2F2" w:themeFill="background1" w:themeFillShade="F2"/>
            <w:vAlign w:val="center"/>
          </w:tcPr>
          <w:p w14:paraId="4C8189C3" w14:textId="674A2DC6" w:rsidR="00D21651" w:rsidRPr="008D060F" w:rsidRDefault="00D21651" w:rsidP="00D21651">
            <w:pPr>
              <w:rPr>
                <w:sz w:val="18"/>
                <w:szCs w:val="18"/>
              </w:rPr>
            </w:pPr>
            <w:r>
              <w:rPr>
                <w:sz w:val="18"/>
                <w:szCs w:val="18"/>
              </w:rPr>
              <w:t>Personal Property Tax</w:t>
            </w:r>
          </w:p>
        </w:tc>
        <w:tc>
          <w:tcPr>
            <w:tcW w:w="1260" w:type="dxa"/>
            <w:shd w:val="clear" w:color="auto" w:fill="DEEAF6" w:themeFill="accent1" w:themeFillTint="33"/>
            <w:vAlign w:val="center"/>
          </w:tcPr>
          <w:p w14:paraId="208ED0B6" w14:textId="1328CC99" w:rsidR="00D21651" w:rsidRPr="008D060F" w:rsidRDefault="00D21651" w:rsidP="00D21651">
            <w:pPr>
              <w:rPr>
                <w:sz w:val="18"/>
                <w:szCs w:val="18"/>
              </w:rPr>
            </w:pPr>
            <w:r w:rsidRPr="00E67725">
              <w:rPr>
                <w:sz w:val="18"/>
                <w:szCs w:val="18"/>
              </w:rPr>
              <w:t>$10,000</w:t>
            </w:r>
          </w:p>
        </w:tc>
        <w:tc>
          <w:tcPr>
            <w:tcW w:w="1260" w:type="dxa"/>
            <w:gridSpan w:val="2"/>
            <w:tcBorders>
              <w:right w:val="single" w:sz="4" w:space="0" w:color="auto"/>
            </w:tcBorders>
            <w:shd w:val="clear" w:color="auto" w:fill="E2EFD9" w:themeFill="accent6" w:themeFillTint="33"/>
            <w:vAlign w:val="center"/>
          </w:tcPr>
          <w:p w14:paraId="21E9ABEA" w14:textId="1F7D392D" w:rsidR="00D21651" w:rsidRPr="008D060F" w:rsidRDefault="00D21651" w:rsidP="00D21651">
            <w:pPr>
              <w:rPr>
                <w:sz w:val="18"/>
                <w:szCs w:val="18"/>
              </w:rPr>
            </w:pPr>
            <w:r w:rsidRPr="00E67725">
              <w:rPr>
                <w:sz w:val="18"/>
                <w:szCs w:val="18"/>
              </w:rPr>
              <w:t>$10,000</w:t>
            </w:r>
          </w:p>
        </w:tc>
        <w:tc>
          <w:tcPr>
            <w:tcW w:w="1350" w:type="dxa"/>
            <w:tcBorders>
              <w:left w:val="single" w:sz="4" w:space="0" w:color="auto"/>
              <w:bottom w:val="nil"/>
            </w:tcBorders>
            <w:shd w:val="clear" w:color="auto" w:fill="DEEAF6" w:themeFill="accent1" w:themeFillTint="33"/>
            <w:vAlign w:val="center"/>
          </w:tcPr>
          <w:p w14:paraId="1C74E2A9" w14:textId="1244982E" w:rsidR="00D21651" w:rsidRPr="008D060F" w:rsidRDefault="00D21651" w:rsidP="00D21651">
            <w:pPr>
              <w:rPr>
                <w:sz w:val="18"/>
                <w:szCs w:val="18"/>
              </w:rPr>
            </w:pPr>
            <w:r w:rsidRPr="00C84330">
              <w:rPr>
                <w:sz w:val="18"/>
                <w:szCs w:val="18"/>
              </w:rPr>
              <w:t>$10,200</w:t>
            </w:r>
          </w:p>
        </w:tc>
        <w:tc>
          <w:tcPr>
            <w:tcW w:w="1260" w:type="dxa"/>
            <w:gridSpan w:val="2"/>
            <w:tcBorders>
              <w:right w:val="single" w:sz="4" w:space="0" w:color="auto"/>
            </w:tcBorders>
            <w:shd w:val="clear" w:color="auto" w:fill="E2EFD9" w:themeFill="accent6" w:themeFillTint="33"/>
            <w:vAlign w:val="center"/>
          </w:tcPr>
          <w:p w14:paraId="4B283F24" w14:textId="668A0CBB" w:rsidR="00D21651" w:rsidRPr="008D060F" w:rsidRDefault="008F6536" w:rsidP="00D21651">
            <w:pPr>
              <w:rPr>
                <w:sz w:val="18"/>
                <w:szCs w:val="18"/>
              </w:rPr>
            </w:pPr>
            <w:r w:rsidRPr="008F6536">
              <w:rPr>
                <w:sz w:val="18"/>
                <w:szCs w:val="18"/>
              </w:rPr>
              <w:t>$10,500</w:t>
            </w:r>
          </w:p>
        </w:tc>
        <w:tc>
          <w:tcPr>
            <w:tcW w:w="1260" w:type="dxa"/>
            <w:tcBorders>
              <w:left w:val="single" w:sz="4" w:space="0" w:color="auto"/>
              <w:bottom w:val="nil"/>
            </w:tcBorders>
            <w:shd w:val="clear" w:color="auto" w:fill="DEEAF6" w:themeFill="accent1" w:themeFillTint="33"/>
            <w:vAlign w:val="center"/>
          </w:tcPr>
          <w:p w14:paraId="620B286F" w14:textId="63DDF2A6" w:rsidR="00D21651" w:rsidRPr="008D060F" w:rsidRDefault="00DD5B4C" w:rsidP="00D21651">
            <w:pPr>
              <w:rPr>
                <w:sz w:val="18"/>
                <w:szCs w:val="18"/>
              </w:rPr>
            </w:pPr>
            <w:r w:rsidRPr="00DD5B4C">
              <w:rPr>
                <w:sz w:val="18"/>
                <w:szCs w:val="18"/>
              </w:rPr>
              <w:t>$10,404</w:t>
            </w:r>
          </w:p>
        </w:tc>
        <w:tc>
          <w:tcPr>
            <w:tcW w:w="1170" w:type="dxa"/>
            <w:shd w:val="clear" w:color="auto" w:fill="E2EFD9" w:themeFill="accent6" w:themeFillTint="33"/>
            <w:vAlign w:val="center"/>
          </w:tcPr>
          <w:p w14:paraId="611B1ACA" w14:textId="6B37C83F" w:rsidR="00D21651" w:rsidRPr="008D060F" w:rsidRDefault="00825E8E" w:rsidP="00D21651">
            <w:pPr>
              <w:rPr>
                <w:sz w:val="18"/>
                <w:szCs w:val="18"/>
              </w:rPr>
            </w:pPr>
            <w:r w:rsidRPr="00825E8E">
              <w:rPr>
                <w:sz w:val="18"/>
                <w:szCs w:val="18"/>
              </w:rPr>
              <w:t>$11,025</w:t>
            </w:r>
          </w:p>
        </w:tc>
      </w:tr>
      <w:tr w:rsidR="00D21651" w:rsidRPr="002D0D47" w14:paraId="191C30D9" w14:textId="77777777" w:rsidTr="00C33548">
        <w:tc>
          <w:tcPr>
            <w:tcW w:w="2048" w:type="dxa"/>
            <w:shd w:val="clear" w:color="auto" w:fill="F2F2F2" w:themeFill="background1" w:themeFillShade="F2"/>
            <w:vAlign w:val="center"/>
          </w:tcPr>
          <w:p w14:paraId="0A84BED6" w14:textId="5DA57DE1" w:rsidR="00D21651" w:rsidRPr="008D060F" w:rsidRDefault="00D21651" w:rsidP="00D21651">
            <w:pPr>
              <w:rPr>
                <w:sz w:val="18"/>
                <w:szCs w:val="18"/>
              </w:rPr>
            </w:pPr>
            <w:r>
              <w:rPr>
                <w:sz w:val="18"/>
                <w:szCs w:val="18"/>
              </w:rPr>
              <w:t>Maintenance</w:t>
            </w:r>
          </w:p>
        </w:tc>
        <w:tc>
          <w:tcPr>
            <w:tcW w:w="1260" w:type="dxa"/>
            <w:shd w:val="clear" w:color="auto" w:fill="DEEAF6" w:themeFill="accent1" w:themeFillTint="33"/>
            <w:vAlign w:val="center"/>
          </w:tcPr>
          <w:p w14:paraId="2199BDA8" w14:textId="1750BDF6" w:rsidR="00D21651" w:rsidRPr="008D060F" w:rsidRDefault="00D21651" w:rsidP="00D21651">
            <w:pPr>
              <w:rPr>
                <w:sz w:val="18"/>
                <w:szCs w:val="18"/>
              </w:rPr>
            </w:pPr>
            <w:r w:rsidRPr="00E67725">
              <w:rPr>
                <w:sz w:val="18"/>
                <w:szCs w:val="18"/>
              </w:rPr>
              <w:t>$5,600</w:t>
            </w:r>
          </w:p>
        </w:tc>
        <w:tc>
          <w:tcPr>
            <w:tcW w:w="1260" w:type="dxa"/>
            <w:gridSpan w:val="2"/>
            <w:tcBorders>
              <w:right w:val="single" w:sz="4" w:space="0" w:color="auto"/>
            </w:tcBorders>
            <w:shd w:val="clear" w:color="auto" w:fill="E2EFD9" w:themeFill="accent6" w:themeFillTint="33"/>
            <w:vAlign w:val="center"/>
          </w:tcPr>
          <w:p w14:paraId="220DAC6D" w14:textId="22072D7F" w:rsidR="00D21651" w:rsidRPr="008D060F" w:rsidRDefault="00D21651" w:rsidP="00D21651">
            <w:pPr>
              <w:rPr>
                <w:sz w:val="18"/>
                <w:szCs w:val="18"/>
              </w:rPr>
            </w:pPr>
            <w:r w:rsidRPr="00E67725">
              <w:rPr>
                <w:sz w:val="18"/>
                <w:szCs w:val="18"/>
              </w:rPr>
              <w:t>$5,600</w:t>
            </w:r>
          </w:p>
        </w:tc>
        <w:tc>
          <w:tcPr>
            <w:tcW w:w="1350" w:type="dxa"/>
            <w:tcBorders>
              <w:left w:val="single" w:sz="4" w:space="0" w:color="auto"/>
              <w:bottom w:val="nil"/>
            </w:tcBorders>
            <w:shd w:val="clear" w:color="auto" w:fill="DEEAF6" w:themeFill="accent1" w:themeFillTint="33"/>
            <w:vAlign w:val="center"/>
          </w:tcPr>
          <w:p w14:paraId="019C95A3" w14:textId="56F4CE88" w:rsidR="00D21651" w:rsidRPr="008D060F" w:rsidRDefault="00D21651" w:rsidP="00D21651">
            <w:pPr>
              <w:rPr>
                <w:sz w:val="18"/>
                <w:szCs w:val="18"/>
              </w:rPr>
            </w:pPr>
            <w:r w:rsidRPr="00C84330">
              <w:rPr>
                <w:sz w:val="18"/>
                <w:szCs w:val="18"/>
              </w:rPr>
              <w:t>$5,712</w:t>
            </w:r>
          </w:p>
        </w:tc>
        <w:tc>
          <w:tcPr>
            <w:tcW w:w="1260" w:type="dxa"/>
            <w:gridSpan w:val="2"/>
            <w:tcBorders>
              <w:right w:val="single" w:sz="4" w:space="0" w:color="auto"/>
            </w:tcBorders>
            <w:shd w:val="clear" w:color="auto" w:fill="E2EFD9" w:themeFill="accent6" w:themeFillTint="33"/>
            <w:vAlign w:val="center"/>
          </w:tcPr>
          <w:p w14:paraId="6F253EFE" w14:textId="6272CEA2" w:rsidR="00D21651" w:rsidRPr="008D060F" w:rsidRDefault="008F6536" w:rsidP="00D21651">
            <w:pPr>
              <w:rPr>
                <w:sz w:val="18"/>
                <w:szCs w:val="18"/>
              </w:rPr>
            </w:pPr>
            <w:r w:rsidRPr="008F6536">
              <w:rPr>
                <w:sz w:val="18"/>
                <w:szCs w:val="18"/>
              </w:rPr>
              <w:t>$5,880</w:t>
            </w:r>
          </w:p>
        </w:tc>
        <w:tc>
          <w:tcPr>
            <w:tcW w:w="1260" w:type="dxa"/>
            <w:tcBorders>
              <w:left w:val="single" w:sz="4" w:space="0" w:color="auto"/>
              <w:bottom w:val="nil"/>
            </w:tcBorders>
            <w:shd w:val="clear" w:color="auto" w:fill="DEEAF6" w:themeFill="accent1" w:themeFillTint="33"/>
            <w:vAlign w:val="center"/>
          </w:tcPr>
          <w:p w14:paraId="02EE79A2" w14:textId="262D9D15" w:rsidR="00D21651" w:rsidRPr="008D060F" w:rsidRDefault="00DD5B4C" w:rsidP="00D21651">
            <w:pPr>
              <w:rPr>
                <w:sz w:val="18"/>
                <w:szCs w:val="18"/>
              </w:rPr>
            </w:pPr>
            <w:r w:rsidRPr="00DD5B4C">
              <w:rPr>
                <w:sz w:val="18"/>
                <w:szCs w:val="18"/>
              </w:rPr>
              <w:t>$5,826</w:t>
            </w:r>
          </w:p>
        </w:tc>
        <w:tc>
          <w:tcPr>
            <w:tcW w:w="1170" w:type="dxa"/>
            <w:shd w:val="clear" w:color="auto" w:fill="E2EFD9" w:themeFill="accent6" w:themeFillTint="33"/>
            <w:vAlign w:val="center"/>
          </w:tcPr>
          <w:p w14:paraId="11BCF553" w14:textId="1327AFBF" w:rsidR="00D21651" w:rsidRPr="008D060F" w:rsidRDefault="00825E8E" w:rsidP="00D21651">
            <w:pPr>
              <w:rPr>
                <w:sz w:val="18"/>
                <w:szCs w:val="18"/>
              </w:rPr>
            </w:pPr>
            <w:r w:rsidRPr="00825E8E">
              <w:rPr>
                <w:sz w:val="18"/>
                <w:szCs w:val="18"/>
              </w:rPr>
              <w:t>$6,174</w:t>
            </w:r>
          </w:p>
        </w:tc>
      </w:tr>
      <w:tr w:rsidR="00D21651" w:rsidRPr="002D0D47" w14:paraId="3991561F" w14:textId="77777777" w:rsidTr="00C33548">
        <w:tc>
          <w:tcPr>
            <w:tcW w:w="2048" w:type="dxa"/>
            <w:shd w:val="clear" w:color="auto" w:fill="F2F2F2" w:themeFill="background1" w:themeFillShade="F2"/>
            <w:vAlign w:val="center"/>
          </w:tcPr>
          <w:p w14:paraId="698AA815" w14:textId="1A467144" w:rsidR="00D21651" w:rsidRPr="008D060F" w:rsidRDefault="00D21651" w:rsidP="00D21651">
            <w:pPr>
              <w:rPr>
                <w:sz w:val="18"/>
                <w:szCs w:val="18"/>
              </w:rPr>
            </w:pPr>
            <w:r>
              <w:rPr>
                <w:sz w:val="18"/>
                <w:szCs w:val="18"/>
              </w:rPr>
              <w:t>Miscellaneous</w:t>
            </w:r>
          </w:p>
        </w:tc>
        <w:tc>
          <w:tcPr>
            <w:tcW w:w="1260" w:type="dxa"/>
            <w:shd w:val="clear" w:color="auto" w:fill="DEEAF6" w:themeFill="accent1" w:themeFillTint="33"/>
            <w:vAlign w:val="center"/>
          </w:tcPr>
          <w:p w14:paraId="075F10C3" w14:textId="0C3E31A8" w:rsidR="00D21651" w:rsidRPr="008D060F" w:rsidRDefault="00D21651" w:rsidP="00D21651">
            <w:pPr>
              <w:rPr>
                <w:sz w:val="18"/>
                <w:szCs w:val="18"/>
              </w:rPr>
            </w:pPr>
            <w:r w:rsidRPr="00B6399E">
              <w:rPr>
                <w:sz w:val="18"/>
                <w:szCs w:val="18"/>
              </w:rPr>
              <w:t>$2,400</w:t>
            </w:r>
          </w:p>
        </w:tc>
        <w:tc>
          <w:tcPr>
            <w:tcW w:w="1260" w:type="dxa"/>
            <w:gridSpan w:val="2"/>
            <w:tcBorders>
              <w:right w:val="single" w:sz="4" w:space="0" w:color="auto"/>
            </w:tcBorders>
            <w:shd w:val="clear" w:color="auto" w:fill="E2EFD9" w:themeFill="accent6" w:themeFillTint="33"/>
            <w:vAlign w:val="center"/>
          </w:tcPr>
          <w:p w14:paraId="6512C83A" w14:textId="086912D1" w:rsidR="00D21651" w:rsidRPr="008D060F" w:rsidRDefault="00D21651" w:rsidP="00D21651">
            <w:pPr>
              <w:rPr>
                <w:sz w:val="18"/>
                <w:szCs w:val="18"/>
              </w:rPr>
            </w:pPr>
            <w:r w:rsidRPr="00B6399E">
              <w:rPr>
                <w:sz w:val="18"/>
                <w:szCs w:val="18"/>
              </w:rPr>
              <w:t>$2,400</w:t>
            </w:r>
          </w:p>
        </w:tc>
        <w:tc>
          <w:tcPr>
            <w:tcW w:w="1350" w:type="dxa"/>
            <w:tcBorders>
              <w:left w:val="single" w:sz="4" w:space="0" w:color="auto"/>
              <w:bottom w:val="nil"/>
            </w:tcBorders>
            <w:shd w:val="clear" w:color="auto" w:fill="DEEAF6" w:themeFill="accent1" w:themeFillTint="33"/>
            <w:vAlign w:val="center"/>
          </w:tcPr>
          <w:p w14:paraId="1C984C8A" w14:textId="09070A84" w:rsidR="00D21651" w:rsidRPr="008D060F" w:rsidRDefault="00D21651" w:rsidP="00D21651">
            <w:pPr>
              <w:rPr>
                <w:sz w:val="18"/>
                <w:szCs w:val="18"/>
              </w:rPr>
            </w:pPr>
            <w:r w:rsidRPr="006D398D">
              <w:rPr>
                <w:sz w:val="18"/>
                <w:szCs w:val="18"/>
              </w:rPr>
              <w:t>$2,448</w:t>
            </w:r>
          </w:p>
        </w:tc>
        <w:tc>
          <w:tcPr>
            <w:tcW w:w="1260" w:type="dxa"/>
            <w:gridSpan w:val="2"/>
            <w:tcBorders>
              <w:right w:val="single" w:sz="4" w:space="0" w:color="auto"/>
            </w:tcBorders>
            <w:shd w:val="clear" w:color="auto" w:fill="E2EFD9" w:themeFill="accent6" w:themeFillTint="33"/>
            <w:vAlign w:val="center"/>
          </w:tcPr>
          <w:p w14:paraId="19BCFA17" w14:textId="64F562F0" w:rsidR="00D21651" w:rsidRPr="008D060F" w:rsidRDefault="008F6536" w:rsidP="00D21651">
            <w:pPr>
              <w:rPr>
                <w:sz w:val="18"/>
                <w:szCs w:val="18"/>
              </w:rPr>
            </w:pPr>
            <w:r w:rsidRPr="008F6536">
              <w:rPr>
                <w:sz w:val="18"/>
                <w:szCs w:val="18"/>
              </w:rPr>
              <w:t>$2,520</w:t>
            </w:r>
          </w:p>
        </w:tc>
        <w:tc>
          <w:tcPr>
            <w:tcW w:w="1260" w:type="dxa"/>
            <w:tcBorders>
              <w:left w:val="single" w:sz="4" w:space="0" w:color="auto"/>
              <w:bottom w:val="nil"/>
            </w:tcBorders>
            <w:shd w:val="clear" w:color="auto" w:fill="DEEAF6" w:themeFill="accent1" w:themeFillTint="33"/>
            <w:vAlign w:val="center"/>
          </w:tcPr>
          <w:p w14:paraId="01D3016D" w14:textId="2C398587" w:rsidR="00D21651" w:rsidRPr="008D060F" w:rsidRDefault="008F506E" w:rsidP="00D21651">
            <w:pPr>
              <w:rPr>
                <w:sz w:val="18"/>
                <w:szCs w:val="18"/>
              </w:rPr>
            </w:pPr>
            <w:r w:rsidRPr="008F506E">
              <w:rPr>
                <w:sz w:val="18"/>
                <w:szCs w:val="18"/>
              </w:rPr>
              <w:t>$2,497</w:t>
            </w:r>
          </w:p>
        </w:tc>
        <w:tc>
          <w:tcPr>
            <w:tcW w:w="1170" w:type="dxa"/>
            <w:shd w:val="clear" w:color="auto" w:fill="E2EFD9" w:themeFill="accent6" w:themeFillTint="33"/>
            <w:vAlign w:val="center"/>
          </w:tcPr>
          <w:p w14:paraId="16EA6780" w14:textId="7A3BF74E" w:rsidR="00D21651" w:rsidRPr="008D060F" w:rsidRDefault="00A34A44" w:rsidP="00D21651">
            <w:pPr>
              <w:rPr>
                <w:sz w:val="18"/>
                <w:szCs w:val="18"/>
              </w:rPr>
            </w:pPr>
            <w:r w:rsidRPr="00A34A44">
              <w:rPr>
                <w:sz w:val="18"/>
                <w:szCs w:val="18"/>
              </w:rPr>
              <w:t>$2,646</w:t>
            </w:r>
          </w:p>
        </w:tc>
      </w:tr>
      <w:tr w:rsidR="00D21651" w:rsidRPr="002D0D47" w14:paraId="645B0060" w14:textId="77777777" w:rsidTr="00C33548">
        <w:tc>
          <w:tcPr>
            <w:tcW w:w="2048" w:type="dxa"/>
            <w:shd w:val="clear" w:color="auto" w:fill="F2F2F2" w:themeFill="background1" w:themeFillShade="F2"/>
            <w:vAlign w:val="center"/>
          </w:tcPr>
          <w:p w14:paraId="17A1ABB8" w14:textId="1FE333AF" w:rsidR="00D21651" w:rsidRPr="008D060F" w:rsidRDefault="00D21651" w:rsidP="00D21651">
            <w:pPr>
              <w:rPr>
                <w:sz w:val="18"/>
                <w:szCs w:val="18"/>
              </w:rPr>
            </w:pPr>
            <w:r>
              <w:rPr>
                <w:sz w:val="18"/>
                <w:szCs w:val="18"/>
              </w:rPr>
              <w:t>Interest</w:t>
            </w:r>
          </w:p>
        </w:tc>
        <w:tc>
          <w:tcPr>
            <w:tcW w:w="1260" w:type="dxa"/>
            <w:tcBorders>
              <w:bottom w:val="nil"/>
            </w:tcBorders>
            <w:shd w:val="clear" w:color="auto" w:fill="DEEAF6" w:themeFill="accent1" w:themeFillTint="33"/>
            <w:vAlign w:val="center"/>
          </w:tcPr>
          <w:p w14:paraId="30457E1F" w14:textId="7804CB33" w:rsidR="00D21651" w:rsidRPr="008D060F" w:rsidRDefault="00D21651" w:rsidP="00D21651">
            <w:pPr>
              <w:rPr>
                <w:sz w:val="18"/>
                <w:szCs w:val="18"/>
              </w:rPr>
            </w:pPr>
            <w:r w:rsidRPr="00B6399E">
              <w:rPr>
                <w:sz w:val="18"/>
                <w:szCs w:val="18"/>
              </w:rPr>
              <w:t>$40,000</w:t>
            </w:r>
          </w:p>
        </w:tc>
        <w:tc>
          <w:tcPr>
            <w:tcW w:w="1260" w:type="dxa"/>
            <w:gridSpan w:val="2"/>
            <w:tcBorders>
              <w:bottom w:val="nil"/>
              <w:right w:val="single" w:sz="4" w:space="0" w:color="auto"/>
            </w:tcBorders>
            <w:shd w:val="clear" w:color="auto" w:fill="E2EFD9" w:themeFill="accent6" w:themeFillTint="33"/>
            <w:vAlign w:val="center"/>
          </w:tcPr>
          <w:p w14:paraId="750441A7" w14:textId="42039FD0" w:rsidR="00D21651" w:rsidRPr="008D060F" w:rsidRDefault="00D21651" w:rsidP="00D21651">
            <w:pPr>
              <w:rPr>
                <w:sz w:val="18"/>
                <w:szCs w:val="18"/>
              </w:rPr>
            </w:pPr>
            <w:r w:rsidRPr="00B6399E">
              <w:rPr>
                <w:sz w:val="18"/>
                <w:szCs w:val="18"/>
              </w:rPr>
              <w:t>$40,000</w:t>
            </w:r>
          </w:p>
        </w:tc>
        <w:tc>
          <w:tcPr>
            <w:tcW w:w="1350" w:type="dxa"/>
            <w:tcBorders>
              <w:left w:val="single" w:sz="4" w:space="0" w:color="auto"/>
              <w:bottom w:val="nil"/>
            </w:tcBorders>
            <w:shd w:val="clear" w:color="auto" w:fill="DEEAF6" w:themeFill="accent1" w:themeFillTint="33"/>
            <w:vAlign w:val="center"/>
          </w:tcPr>
          <w:p w14:paraId="3F578E11" w14:textId="19B17347" w:rsidR="00D21651" w:rsidRPr="008D060F" w:rsidRDefault="00D21651" w:rsidP="00D21651">
            <w:pPr>
              <w:rPr>
                <w:sz w:val="18"/>
                <w:szCs w:val="18"/>
              </w:rPr>
            </w:pPr>
            <w:r w:rsidRPr="006D398D">
              <w:rPr>
                <w:sz w:val="18"/>
                <w:szCs w:val="18"/>
              </w:rPr>
              <w:t>$40,800</w:t>
            </w:r>
          </w:p>
        </w:tc>
        <w:tc>
          <w:tcPr>
            <w:tcW w:w="1260" w:type="dxa"/>
            <w:gridSpan w:val="2"/>
            <w:tcBorders>
              <w:bottom w:val="nil"/>
              <w:right w:val="single" w:sz="4" w:space="0" w:color="auto"/>
            </w:tcBorders>
            <w:shd w:val="clear" w:color="auto" w:fill="E2EFD9" w:themeFill="accent6" w:themeFillTint="33"/>
            <w:vAlign w:val="center"/>
          </w:tcPr>
          <w:p w14:paraId="1CF1F952" w14:textId="091638C6" w:rsidR="00D21651" w:rsidRPr="008D060F" w:rsidRDefault="00BD27BF" w:rsidP="00D21651">
            <w:pPr>
              <w:rPr>
                <w:sz w:val="18"/>
                <w:szCs w:val="18"/>
              </w:rPr>
            </w:pPr>
            <w:r w:rsidRPr="00BD27BF">
              <w:rPr>
                <w:sz w:val="18"/>
                <w:szCs w:val="18"/>
              </w:rPr>
              <w:t>$42,000</w:t>
            </w:r>
          </w:p>
        </w:tc>
        <w:tc>
          <w:tcPr>
            <w:tcW w:w="1260" w:type="dxa"/>
            <w:tcBorders>
              <w:left w:val="single" w:sz="4" w:space="0" w:color="auto"/>
              <w:bottom w:val="nil"/>
            </w:tcBorders>
            <w:shd w:val="clear" w:color="auto" w:fill="DEEAF6" w:themeFill="accent1" w:themeFillTint="33"/>
            <w:vAlign w:val="center"/>
          </w:tcPr>
          <w:p w14:paraId="09F67BC9" w14:textId="452E176B" w:rsidR="00D21651" w:rsidRPr="008D060F" w:rsidRDefault="008F506E" w:rsidP="00D21651">
            <w:pPr>
              <w:rPr>
                <w:sz w:val="18"/>
                <w:szCs w:val="18"/>
              </w:rPr>
            </w:pPr>
            <w:r w:rsidRPr="008F506E">
              <w:rPr>
                <w:sz w:val="18"/>
                <w:szCs w:val="18"/>
              </w:rPr>
              <w:t>$41,616</w:t>
            </w:r>
          </w:p>
        </w:tc>
        <w:tc>
          <w:tcPr>
            <w:tcW w:w="1170" w:type="dxa"/>
            <w:tcBorders>
              <w:bottom w:val="nil"/>
            </w:tcBorders>
            <w:shd w:val="clear" w:color="auto" w:fill="E2EFD9" w:themeFill="accent6" w:themeFillTint="33"/>
            <w:vAlign w:val="center"/>
          </w:tcPr>
          <w:p w14:paraId="4FF77BF3" w14:textId="106B83E3" w:rsidR="00D21651" w:rsidRPr="008D060F" w:rsidRDefault="00A34A44" w:rsidP="00D21651">
            <w:pPr>
              <w:rPr>
                <w:sz w:val="18"/>
                <w:szCs w:val="18"/>
              </w:rPr>
            </w:pPr>
            <w:r w:rsidRPr="00A34A44">
              <w:rPr>
                <w:sz w:val="18"/>
                <w:szCs w:val="18"/>
              </w:rPr>
              <w:t>$44,100</w:t>
            </w:r>
          </w:p>
        </w:tc>
      </w:tr>
      <w:tr w:rsidR="00D21651" w:rsidRPr="002D0D47" w14:paraId="403E4DD7" w14:textId="77777777" w:rsidTr="00C33548">
        <w:tc>
          <w:tcPr>
            <w:tcW w:w="2048" w:type="dxa"/>
            <w:shd w:val="clear" w:color="auto" w:fill="F2F2F2" w:themeFill="background1" w:themeFillShade="F2"/>
            <w:vAlign w:val="center"/>
          </w:tcPr>
          <w:p w14:paraId="122A60AF" w14:textId="77777777" w:rsidR="00D21651" w:rsidRPr="008D060F" w:rsidRDefault="00D21651" w:rsidP="00D21651">
            <w:pPr>
              <w:jc w:val="right"/>
              <w:rPr>
                <w:sz w:val="18"/>
                <w:szCs w:val="18"/>
              </w:rPr>
            </w:pPr>
            <w:r w:rsidRPr="008D060F">
              <w:rPr>
                <w:sz w:val="18"/>
                <w:szCs w:val="18"/>
              </w:rPr>
              <w:t>Total</w:t>
            </w:r>
          </w:p>
        </w:tc>
        <w:tc>
          <w:tcPr>
            <w:tcW w:w="1260" w:type="dxa"/>
            <w:tcBorders>
              <w:bottom w:val="double" w:sz="4" w:space="0" w:color="auto"/>
            </w:tcBorders>
            <w:shd w:val="clear" w:color="auto" w:fill="DEEAF6" w:themeFill="accent1" w:themeFillTint="33"/>
            <w:vAlign w:val="center"/>
          </w:tcPr>
          <w:p w14:paraId="7ECBCC13" w14:textId="0D1CC95B" w:rsidR="00D21651" w:rsidRPr="008D060F" w:rsidRDefault="00D21651" w:rsidP="00D21651">
            <w:pPr>
              <w:rPr>
                <w:sz w:val="18"/>
                <w:szCs w:val="18"/>
              </w:rPr>
            </w:pPr>
            <w:r w:rsidRPr="003171EA">
              <w:rPr>
                <w:sz w:val="18"/>
                <w:szCs w:val="18"/>
              </w:rPr>
              <w:t>$</w:t>
            </w:r>
            <w:r>
              <w:rPr>
                <w:sz w:val="18"/>
                <w:szCs w:val="18"/>
              </w:rPr>
              <w:t>290,000</w:t>
            </w:r>
          </w:p>
        </w:tc>
        <w:tc>
          <w:tcPr>
            <w:tcW w:w="1260" w:type="dxa"/>
            <w:gridSpan w:val="2"/>
            <w:tcBorders>
              <w:bottom w:val="double" w:sz="4" w:space="0" w:color="auto"/>
              <w:right w:val="single" w:sz="4" w:space="0" w:color="auto"/>
            </w:tcBorders>
            <w:shd w:val="clear" w:color="auto" w:fill="E2EFD9" w:themeFill="accent6" w:themeFillTint="33"/>
            <w:vAlign w:val="center"/>
          </w:tcPr>
          <w:p w14:paraId="6B60DF13" w14:textId="528DDFE1" w:rsidR="00D21651" w:rsidRPr="008D060F" w:rsidRDefault="00D21651" w:rsidP="00D21651">
            <w:pPr>
              <w:rPr>
                <w:sz w:val="18"/>
                <w:szCs w:val="18"/>
              </w:rPr>
            </w:pPr>
            <w:r w:rsidRPr="003171EA">
              <w:rPr>
                <w:sz w:val="18"/>
                <w:szCs w:val="18"/>
              </w:rPr>
              <w:t>$</w:t>
            </w:r>
            <w:r>
              <w:rPr>
                <w:sz w:val="18"/>
                <w:szCs w:val="18"/>
              </w:rPr>
              <w:t>290,000</w:t>
            </w:r>
          </w:p>
        </w:tc>
        <w:tc>
          <w:tcPr>
            <w:tcW w:w="1350" w:type="dxa"/>
            <w:tcBorders>
              <w:left w:val="single" w:sz="4" w:space="0" w:color="auto"/>
              <w:bottom w:val="double" w:sz="4" w:space="0" w:color="auto"/>
            </w:tcBorders>
            <w:shd w:val="clear" w:color="auto" w:fill="DEEAF6" w:themeFill="accent1" w:themeFillTint="33"/>
            <w:vAlign w:val="center"/>
          </w:tcPr>
          <w:p w14:paraId="7E5AC493" w14:textId="4584B5CC" w:rsidR="00D21651" w:rsidRPr="008D060F" w:rsidRDefault="00D21651" w:rsidP="00D21651">
            <w:pPr>
              <w:rPr>
                <w:sz w:val="18"/>
                <w:szCs w:val="18"/>
              </w:rPr>
            </w:pPr>
            <w:r w:rsidRPr="00BB3782">
              <w:rPr>
                <w:sz w:val="18"/>
                <w:szCs w:val="18"/>
              </w:rPr>
              <w:t>$295,800</w:t>
            </w:r>
          </w:p>
        </w:tc>
        <w:tc>
          <w:tcPr>
            <w:tcW w:w="1260" w:type="dxa"/>
            <w:gridSpan w:val="2"/>
            <w:tcBorders>
              <w:bottom w:val="double" w:sz="4" w:space="0" w:color="auto"/>
              <w:right w:val="single" w:sz="4" w:space="0" w:color="auto"/>
            </w:tcBorders>
            <w:shd w:val="clear" w:color="auto" w:fill="E2EFD9" w:themeFill="accent6" w:themeFillTint="33"/>
            <w:vAlign w:val="center"/>
          </w:tcPr>
          <w:p w14:paraId="7B343229" w14:textId="0EA124BA" w:rsidR="00D21651" w:rsidRPr="008D060F" w:rsidRDefault="00D21651" w:rsidP="00D21651">
            <w:pPr>
              <w:rPr>
                <w:sz w:val="18"/>
                <w:szCs w:val="18"/>
              </w:rPr>
            </w:pPr>
            <w:r w:rsidRPr="00BB3782">
              <w:rPr>
                <w:sz w:val="18"/>
                <w:szCs w:val="18"/>
              </w:rPr>
              <w:t>$</w:t>
            </w:r>
            <w:r w:rsidR="00BD27BF">
              <w:rPr>
                <w:sz w:val="18"/>
                <w:szCs w:val="18"/>
              </w:rPr>
              <w:t>304,500</w:t>
            </w:r>
          </w:p>
        </w:tc>
        <w:tc>
          <w:tcPr>
            <w:tcW w:w="1260" w:type="dxa"/>
            <w:tcBorders>
              <w:left w:val="single" w:sz="4" w:space="0" w:color="auto"/>
              <w:bottom w:val="double" w:sz="4" w:space="0" w:color="auto"/>
            </w:tcBorders>
            <w:shd w:val="clear" w:color="auto" w:fill="DEEAF6" w:themeFill="accent1" w:themeFillTint="33"/>
            <w:vAlign w:val="center"/>
          </w:tcPr>
          <w:p w14:paraId="1C754B5A" w14:textId="64258055" w:rsidR="00D21651" w:rsidRPr="008D060F" w:rsidRDefault="00F952C1" w:rsidP="00D21651">
            <w:pPr>
              <w:rPr>
                <w:sz w:val="18"/>
                <w:szCs w:val="18"/>
              </w:rPr>
            </w:pPr>
            <w:r w:rsidRPr="00F952C1">
              <w:rPr>
                <w:sz w:val="18"/>
                <w:szCs w:val="18"/>
              </w:rPr>
              <w:t>$301,716</w:t>
            </w:r>
          </w:p>
        </w:tc>
        <w:tc>
          <w:tcPr>
            <w:tcW w:w="1170" w:type="dxa"/>
            <w:tcBorders>
              <w:bottom w:val="double" w:sz="4" w:space="0" w:color="auto"/>
            </w:tcBorders>
            <w:shd w:val="clear" w:color="auto" w:fill="E2EFD9" w:themeFill="accent6" w:themeFillTint="33"/>
            <w:vAlign w:val="center"/>
          </w:tcPr>
          <w:p w14:paraId="5AD88A4B" w14:textId="31968644" w:rsidR="00D21651" w:rsidRPr="008D060F" w:rsidRDefault="00A360D9" w:rsidP="00D21651">
            <w:pPr>
              <w:rPr>
                <w:sz w:val="18"/>
                <w:szCs w:val="18"/>
              </w:rPr>
            </w:pPr>
            <w:r w:rsidRPr="00A360D9">
              <w:rPr>
                <w:sz w:val="18"/>
                <w:szCs w:val="18"/>
              </w:rPr>
              <w:t>$319,725</w:t>
            </w:r>
          </w:p>
        </w:tc>
      </w:tr>
      <w:tr w:rsidR="00D21651" w:rsidRPr="002D0D47" w14:paraId="3481E143" w14:textId="77777777" w:rsidTr="00C33548">
        <w:tc>
          <w:tcPr>
            <w:tcW w:w="2048" w:type="dxa"/>
            <w:shd w:val="clear" w:color="auto" w:fill="F2F2F2" w:themeFill="background1" w:themeFillShade="F2"/>
            <w:vAlign w:val="center"/>
          </w:tcPr>
          <w:p w14:paraId="313D0ED8" w14:textId="77777777" w:rsidR="00D21651" w:rsidRPr="008D060F" w:rsidRDefault="00D21651" w:rsidP="00D21651">
            <w:pPr>
              <w:rPr>
                <w:sz w:val="18"/>
                <w:szCs w:val="18"/>
              </w:rPr>
            </w:pPr>
            <w:r w:rsidRPr="008D060F">
              <w:rPr>
                <w:sz w:val="18"/>
                <w:szCs w:val="18"/>
              </w:rPr>
              <w:t>Operating Profit</w:t>
            </w:r>
          </w:p>
        </w:tc>
        <w:tc>
          <w:tcPr>
            <w:tcW w:w="1260" w:type="dxa"/>
            <w:tcBorders>
              <w:top w:val="double" w:sz="4" w:space="0" w:color="auto"/>
              <w:bottom w:val="nil"/>
            </w:tcBorders>
            <w:shd w:val="clear" w:color="auto" w:fill="DEEAF6" w:themeFill="accent1" w:themeFillTint="33"/>
            <w:vAlign w:val="center"/>
          </w:tcPr>
          <w:p w14:paraId="0E6F30DD" w14:textId="6B27BF72" w:rsidR="00D21651" w:rsidRPr="008D060F" w:rsidRDefault="00D21651" w:rsidP="00D21651">
            <w:pPr>
              <w:rPr>
                <w:sz w:val="18"/>
                <w:szCs w:val="18"/>
              </w:rPr>
            </w:pPr>
            <w:r>
              <w:rPr>
                <w:sz w:val="18"/>
                <w:szCs w:val="18"/>
              </w:rPr>
              <w:t>$471,541</w:t>
            </w:r>
          </w:p>
        </w:tc>
        <w:tc>
          <w:tcPr>
            <w:tcW w:w="1260" w:type="dxa"/>
            <w:gridSpan w:val="2"/>
            <w:tcBorders>
              <w:top w:val="double" w:sz="4" w:space="0" w:color="auto"/>
              <w:bottom w:val="nil"/>
              <w:right w:val="single" w:sz="4" w:space="0" w:color="auto"/>
            </w:tcBorders>
            <w:shd w:val="clear" w:color="auto" w:fill="E2EFD9" w:themeFill="accent6" w:themeFillTint="33"/>
            <w:vAlign w:val="center"/>
          </w:tcPr>
          <w:p w14:paraId="5AB25132" w14:textId="64F27AE4" w:rsidR="00D21651" w:rsidRPr="008D060F" w:rsidRDefault="00D21651" w:rsidP="00D21651">
            <w:pPr>
              <w:rPr>
                <w:sz w:val="18"/>
                <w:szCs w:val="18"/>
              </w:rPr>
            </w:pPr>
            <w:r>
              <w:rPr>
                <w:sz w:val="18"/>
                <w:szCs w:val="18"/>
              </w:rPr>
              <w:t>$</w:t>
            </w:r>
            <w:r w:rsidRPr="0028203F">
              <w:rPr>
                <w:sz w:val="18"/>
                <w:szCs w:val="18"/>
              </w:rPr>
              <w:t>257,155</w:t>
            </w:r>
          </w:p>
        </w:tc>
        <w:tc>
          <w:tcPr>
            <w:tcW w:w="1350" w:type="dxa"/>
            <w:tcBorders>
              <w:top w:val="double" w:sz="4" w:space="0" w:color="auto"/>
              <w:left w:val="single" w:sz="4" w:space="0" w:color="auto"/>
              <w:bottom w:val="nil"/>
            </w:tcBorders>
            <w:shd w:val="clear" w:color="auto" w:fill="DEEAF6" w:themeFill="accent1" w:themeFillTint="33"/>
            <w:vAlign w:val="center"/>
          </w:tcPr>
          <w:p w14:paraId="05E1CCE0" w14:textId="5A134167" w:rsidR="00D21651" w:rsidRPr="008D060F" w:rsidRDefault="00D21651" w:rsidP="00D21651">
            <w:pPr>
              <w:rPr>
                <w:sz w:val="18"/>
                <w:szCs w:val="18"/>
              </w:rPr>
            </w:pPr>
            <w:r w:rsidRPr="000C1C1A">
              <w:rPr>
                <w:sz w:val="18"/>
                <w:szCs w:val="18"/>
              </w:rPr>
              <w:t>$558,462</w:t>
            </w:r>
          </w:p>
        </w:tc>
        <w:tc>
          <w:tcPr>
            <w:tcW w:w="1260" w:type="dxa"/>
            <w:gridSpan w:val="2"/>
            <w:tcBorders>
              <w:top w:val="double" w:sz="4" w:space="0" w:color="auto"/>
              <w:bottom w:val="nil"/>
              <w:right w:val="single" w:sz="4" w:space="0" w:color="auto"/>
            </w:tcBorders>
            <w:shd w:val="clear" w:color="auto" w:fill="E2EFD9" w:themeFill="accent6" w:themeFillTint="33"/>
            <w:vAlign w:val="center"/>
          </w:tcPr>
          <w:p w14:paraId="427D5B75" w14:textId="237F8CDF" w:rsidR="00D21651" w:rsidRPr="008D060F" w:rsidRDefault="002A67EC" w:rsidP="00D21651">
            <w:pPr>
              <w:rPr>
                <w:sz w:val="18"/>
                <w:szCs w:val="18"/>
              </w:rPr>
            </w:pPr>
            <w:r w:rsidRPr="002A67EC">
              <w:rPr>
                <w:sz w:val="18"/>
                <w:szCs w:val="18"/>
              </w:rPr>
              <w:t>$271,481</w:t>
            </w:r>
          </w:p>
        </w:tc>
        <w:tc>
          <w:tcPr>
            <w:tcW w:w="1260" w:type="dxa"/>
            <w:tcBorders>
              <w:top w:val="double" w:sz="4" w:space="0" w:color="auto"/>
              <w:left w:val="single" w:sz="4" w:space="0" w:color="auto"/>
              <w:bottom w:val="nil"/>
            </w:tcBorders>
            <w:shd w:val="clear" w:color="auto" w:fill="DEEAF6" w:themeFill="accent1" w:themeFillTint="33"/>
            <w:vAlign w:val="center"/>
          </w:tcPr>
          <w:p w14:paraId="5E2A662D" w14:textId="39426486" w:rsidR="00D21651" w:rsidRPr="008D060F" w:rsidRDefault="00760350" w:rsidP="00D21651">
            <w:pPr>
              <w:rPr>
                <w:sz w:val="18"/>
                <w:szCs w:val="18"/>
              </w:rPr>
            </w:pPr>
            <w:r w:rsidRPr="00760350">
              <w:rPr>
                <w:sz w:val="18"/>
                <w:szCs w:val="18"/>
              </w:rPr>
              <w:t>$578,435</w:t>
            </w:r>
          </w:p>
        </w:tc>
        <w:tc>
          <w:tcPr>
            <w:tcW w:w="1170" w:type="dxa"/>
            <w:tcBorders>
              <w:top w:val="double" w:sz="4" w:space="0" w:color="auto"/>
              <w:bottom w:val="nil"/>
            </w:tcBorders>
            <w:shd w:val="clear" w:color="auto" w:fill="E2EFD9" w:themeFill="accent6" w:themeFillTint="33"/>
            <w:vAlign w:val="center"/>
          </w:tcPr>
          <w:p w14:paraId="1B9EC1EA" w14:textId="3FB3C8E2" w:rsidR="00D21651" w:rsidRPr="008D060F" w:rsidRDefault="00EB3D95" w:rsidP="00D21651">
            <w:pPr>
              <w:rPr>
                <w:sz w:val="18"/>
                <w:szCs w:val="18"/>
              </w:rPr>
            </w:pPr>
            <w:r w:rsidRPr="00EB3D95">
              <w:rPr>
                <w:sz w:val="18"/>
                <w:szCs w:val="18"/>
              </w:rPr>
              <w:t>$292,034</w:t>
            </w:r>
          </w:p>
        </w:tc>
      </w:tr>
      <w:tr w:rsidR="00D21651" w:rsidRPr="002D0D47" w14:paraId="4064A83C" w14:textId="77777777" w:rsidTr="00C33548">
        <w:tc>
          <w:tcPr>
            <w:tcW w:w="2048" w:type="dxa"/>
            <w:tcBorders>
              <w:bottom w:val="nil"/>
            </w:tcBorders>
            <w:shd w:val="clear" w:color="auto" w:fill="F2F2F2" w:themeFill="background1" w:themeFillShade="F2"/>
            <w:vAlign w:val="center"/>
          </w:tcPr>
          <w:p w14:paraId="75AB841B" w14:textId="76703AC4" w:rsidR="00D21651" w:rsidRPr="008D060F" w:rsidRDefault="00D21651" w:rsidP="00D21651">
            <w:pPr>
              <w:rPr>
                <w:sz w:val="18"/>
                <w:szCs w:val="18"/>
              </w:rPr>
            </w:pPr>
            <w:r w:rsidRPr="008D060F">
              <w:rPr>
                <w:sz w:val="18"/>
                <w:szCs w:val="18"/>
              </w:rPr>
              <w:t xml:space="preserve">Other </w:t>
            </w:r>
            <w:r>
              <w:rPr>
                <w:sz w:val="18"/>
                <w:szCs w:val="18"/>
              </w:rPr>
              <w:t xml:space="preserve">Table-F </w:t>
            </w:r>
            <w:r w:rsidRPr="008D060F">
              <w:rPr>
                <w:sz w:val="18"/>
                <w:szCs w:val="18"/>
              </w:rPr>
              <w:t>Expenses</w:t>
            </w:r>
          </w:p>
        </w:tc>
        <w:tc>
          <w:tcPr>
            <w:tcW w:w="1260" w:type="dxa"/>
            <w:tcBorders>
              <w:bottom w:val="double" w:sz="4" w:space="0" w:color="auto"/>
            </w:tcBorders>
            <w:shd w:val="clear" w:color="auto" w:fill="DEEAF6" w:themeFill="accent1" w:themeFillTint="33"/>
            <w:vAlign w:val="center"/>
          </w:tcPr>
          <w:p w14:paraId="4FF7E590" w14:textId="48E7D086" w:rsidR="00D21651" w:rsidRPr="008D060F" w:rsidRDefault="00D21651" w:rsidP="00D21651">
            <w:pPr>
              <w:rPr>
                <w:sz w:val="18"/>
                <w:szCs w:val="18"/>
              </w:rPr>
            </w:pPr>
            <w:r>
              <w:rPr>
                <w:sz w:val="18"/>
                <w:szCs w:val="18"/>
              </w:rPr>
              <w:t>$312,563</w:t>
            </w:r>
          </w:p>
        </w:tc>
        <w:tc>
          <w:tcPr>
            <w:tcW w:w="1260" w:type="dxa"/>
            <w:gridSpan w:val="2"/>
            <w:tcBorders>
              <w:bottom w:val="double" w:sz="4" w:space="0" w:color="auto"/>
              <w:right w:val="single" w:sz="4" w:space="0" w:color="auto"/>
            </w:tcBorders>
            <w:shd w:val="clear" w:color="auto" w:fill="E2EFD9" w:themeFill="accent6" w:themeFillTint="33"/>
            <w:vAlign w:val="center"/>
          </w:tcPr>
          <w:p w14:paraId="742E9290" w14:textId="0DDD3242" w:rsidR="00D21651" w:rsidRPr="008D060F" w:rsidRDefault="00D21651" w:rsidP="00D21651">
            <w:pPr>
              <w:rPr>
                <w:sz w:val="18"/>
                <w:szCs w:val="18"/>
              </w:rPr>
            </w:pPr>
            <w:r>
              <w:rPr>
                <w:sz w:val="18"/>
                <w:szCs w:val="18"/>
              </w:rPr>
              <w:t>$312,563</w:t>
            </w:r>
          </w:p>
        </w:tc>
        <w:tc>
          <w:tcPr>
            <w:tcW w:w="1350" w:type="dxa"/>
            <w:tcBorders>
              <w:left w:val="single" w:sz="4" w:space="0" w:color="auto"/>
              <w:bottom w:val="double" w:sz="4" w:space="0" w:color="auto"/>
            </w:tcBorders>
            <w:shd w:val="clear" w:color="auto" w:fill="DEEAF6" w:themeFill="accent1" w:themeFillTint="33"/>
            <w:vAlign w:val="center"/>
          </w:tcPr>
          <w:p w14:paraId="39B98291" w14:textId="5CB163AD" w:rsidR="00D21651" w:rsidRPr="008D060F" w:rsidRDefault="00D21651" w:rsidP="00D21651">
            <w:pPr>
              <w:rPr>
                <w:sz w:val="18"/>
                <w:szCs w:val="18"/>
              </w:rPr>
            </w:pPr>
            <w:r w:rsidRPr="00450079">
              <w:rPr>
                <w:sz w:val="18"/>
                <w:szCs w:val="18"/>
              </w:rPr>
              <w:t>$318,814</w:t>
            </w:r>
          </w:p>
        </w:tc>
        <w:tc>
          <w:tcPr>
            <w:tcW w:w="1260" w:type="dxa"/>
            <w:gridSpan w:val="2"/>
            <w:tcBorders>
              <w:bottom w:val="double" w:sz="4" w:space="0" w:color="auto"/>
              <w:right w:val="single" w:sz="4" w:space="0" w:color="auto"/>
            </w:tcBorders>
            <w:shd w:val="clear" w:color="auto" w:fill="E2EFD9" w:themeFill="accent6" w:themeFillTint="33"/>
            <w:vAlign w:val="center"/>
          </w:tcPr>
          <w:p w14:paraId="1CD2D004" w14:textId="127A33A8" w:rsidR="00D21651" w:rsidRPr="008D060F" w:rsidRDefault="00D72437" w:rsidP="00D21651">
            <w:pPr>
              <w:rPr>
                <w:sz w:val="18"/>
                <w:szCs w:val="18"/>
              </w:rPr>
            </w:pPr>
            <w:r w:rsidRPr="00450079">
              <w:rPr>
                <w:sz w:val="18"/>
                <w:szCs w:val="18"/>
              </w:rPr>
              <w:t>$3</w:t>
            </w:r>
            <w:r w:rsidR="0050643E">
              <w:rPr>
                <w:sz w:val="18"/>
                <w:szCs w:val="18"/>
              </w:rPr>
              <w:t>2</w:t>
            </w:r>
            <w:r w:rsidRPr="00450079">
              <w:rPr>
                <w:sz w:val="18"/>
                <w:szCs w:val="18"/>
              </w:rPr>
              <w:t>8,</w:t>
            </w:r>
            <w:r w:rsidR="0050643E">
              <w:rPr>
                <w:sz w:val="18"/>
                <w:szCs w:val="18"/>
              </w:rPr>
              <w:t>191</w:t>
            </w:r>
          </w:p>
        </w:tc>
        <w:tc>
          <w:tcPr>
            <w:tcW w:w="1260" w:type="dxa"/>
            <w:tcBorders>
              <w:left w:val="single" w:sz="4" w:space="0" w:color="auto"/>
              <w:bottom w:val="double" w:sz="4" w:space="0" w:color="auto"/>
            </w:tcBorders>
            <w:shd w:val="clear" w:color="auto" w:fill="DEEAF6" w:themeFill="accent1" w:themeFillTint="33"/>
            <w:vAlign w:val="center"/>
          </w:tcPr>
          <w:p w14:paraId="5E82ED09" w14:textId="51F31446" w:rsidR="00D21651" w:rsidRPr="008D060F" w:rsidRDefault="008F506E" w:rsidP="00D21651">
            <w:pPr>
              <w:rPr>
                <w:sz w:val="18"/>
                <w:szCs w:val="18"/>
              </w:rPr>
            </w:pPr>
            <w:r w:rsidRPr="008F506E">
              <w:rPr>
                <w:sz w:val="18"/>
                <w:szCs w:val="18"/>
              </w:rPr>
              <w:t>$325,191</w:t>
            </w:r>
          </w:p>
        </w:tc>
        <w:tc>
          <w:tcPr>
            <w:tcW w:w="1170" w:type="dxa"/>
            <w:tcBorders>
              <w:bottom w:val="double" w:sz="4" w:space="0" w:color="auto"/>
            </w:tcBorders>
            <w:shd w:val="clear" w:color="auto" w:fill="E2EFD9" w:themeFill="accent6" w:themeFillTint="33"/>
            <w:vAlign w:val="center"/>
          </w:tcPr>
          <w:p w14:paraId="5FCC6C53" w14:textId="5BF3DAAE" w:rsidR="00D21651" w:rsidRPr="008D060F" w:rsidRDefault="00376289" w:rsidP="00D21651">
            <w:pPr>
              <w:rPr>
                <w:sz w:val="18"/>
                <w:szCs w:val="18"/>
              </w:rPr>
            </w:pPr>
            <w:r w:rsidRPr="00376289">
              <w:rPr>
                <w:sz w:val="18"/>
                <w:szCs w:val="18"/>
              </w:rPr>
              <w:t>$344,601</w:t>
            </w:r>
          </w:p>
        </w:tc>
      </w:tr>
      <w:tr w:rsidR="00D21651" w:rsidRPr="002D0D47" w14:paraId="24421897" w14:textId="77777777" w:rsidTr="00FB3151">
        <w:tc>
          <w:tcPr>
            <w:tcW w:w="2048" w:type="dxa"/>
            <w:tcBorders>
              <w:bottom w:val="single" w:sz="4" w:space="0" w:color="auto"/>
            </w:tcBorders>
            <w:shd w:val="clear" w:color="auto" w:fill="F2F2F2" w:themeFill="background1" w:themeFillShade="F2"/>
            <w:vAlign w:val="center"/>
          </w:tcPr>
          <w:p w14:paraId="7096D7D7" w14:textId="77777777" w:rsidR="00D21651" w:rsidRPr="008D060F" w:rsidRDefault="00D21651" w:rsidP="00D21651">
            <w:pPr>
              <w:rPr>
                <w:sz w:val="18"/>
                <w:szCs w:val="18"/>
              </w:rPr>
            </w:pPr>
            <w:r w:rsidRPr="008D060F">
              <w:rPr>
                <w:sz w:val="18"/>
                <w:szCs w:val="18"/>
              </w:rPr>
              <w:t>Net Income Before Tax</w:t>
            </w:r>
          </w:p>
        </w:tc>
        <w:tc>
          <w:tcPr>
            <w:tcW w:w="1260" w:type="dxa"/>
            <w:tcBorders>
              <w:top w:val="double" w:sz="4" w:space="0" w:color="auto"/>
              <w:bottom w:val="single" w:sz="4" w:space="0" w:color="auto"/>
            </w:tcBorders>
            <w:shd w:val="clear" w:color="auto" w:fill="DEEAF6" w:themeFill="accent1" w:themeFillTint="33"/>
            <w:vAlign w:val="center"/>
          </w:tcPr>
          <w:p w14:paraId="65E34F56" w14:textId="054DB896" w:rsidR="00D21651" w:rsidRPr="008D060F" w:rsidRDefault="00D21651" w:rsidP="00D21651">
            <w:pPr>
              <w:rPr>
                <w:sz w:val="18"/>
                <w:szCs w:val="18"/>
              </w:rPr>
            </w:pPr>
            <w:r>
              <w:rPr>
                <w:sz w:val="18"/>
                <w:szCs w:val="18"/>
              </w:rPr>
              <w:t>$158,978</w:t>
            </w:r>
          </w:p>
        </w:tc>
        <w:tc>
          <w:tcPr>
            <w:tcW w:w="1260" w:type="dxa"/>
            <w:gridSpan w:val="2"/>
            <w:tcBorders>
              <w:top w:val="double" w:sz="4" w:space="0" w:color="auto"/>
              <w:bottom w:val="single" w:sz="4" w:space="0" w:color="auto"/>
              <w:right w:val="single" w:sz="4" w:space="0" w:color="auto"/>
            </w:tcBorders>
            <w:shd w:val="clear" w:color="auto" w:fill="E2EFD9" w:themeFill="accent6" w:themeFillTint="33"/>
            <w:vAlign w:val="center"/>
          </w:tcPr>
          <w:p w14:paraId="5C677660" w14:textId="3B59BDE7" w:rsidR="00D21651" w:rsidRPr="008D060F" w:rsidRDefault="00D21651" w:rsidP="00D21651">
            <w:pPr>
              <w:rPr>
                <w:sz w:val="18"/>
                <w:szCs w:val="18"/>
              </w:rPr>
            </w:pPr>
            <w:r w:rsidRPr="006A7FAD">
              <w:rPr>
                <w:sz w:val="18"/>
                <w:szCs w:val="18"/>
              </w:rPr>
              <w:t>-$55,408</w:t>
            </w:r>
          </w:p>
        </w:tc>
        <w:tc>
          <w:tcPr>
            <w:tcW w:w="1350" w:type="dxa"/>
            <w:tcBorders>
              <w:top w:val="double" w:sz="4" w:space="0" w:color="auto"/>
              <w:left w:val="single" w:sz="4" w:space="0" w:color="auto"/>
              <w:bottom w:val="single" w:sz="4" w:space="0" w:color="auto"/>
            </w:tcBorders>
            <w:shd w:val="clear" w:color="auto" w:fill="DEEAF6" w:themeFill="accent1" w:themeFillTint="33"/>
            <w:vAlign w:val="center"/>
          </w:tcPr>
          <w:p w14:paraId="08351C71" w14:textId="6576A8A7" w:rsidR="00D21651" w:rsidRPr="008D060F" w:rsidRDefault="00D21651" w:rsidP="00D21651">
            <w:pPr>
              <w:rPr>
                <w:sz w:val="18"/>
                <w:szCs w:val="18"/>
              </w:rPr>
            </w:pPr>
            <w:r w:rsidRPr="00D21651">
              <w:rPr>
                <w:sz w:val="18"/>
                <w:szCs w:val="18"/>
              </w:rPr>
              <w:t>$239,648</w:t>
            </w:r>
          </w:p>
        </w:tc>
        <w:tc>
          <w:tcPr>
            <w:tcW w:w="1260" w:type="dxa"/>
            <w:gridSpan w:val="2"/>
            <w:tcBorders>
              <w:top w:val="double" w:sz="4" w:space="0" w:color="auto"/>
              <w:bottom w:val="single" w:sz="4" w:space="0" w:color="auto"/>
              <w:right w:val="single" w:sz="4" w:space="0" w:color="auto"/>
            </w:tcBorders>
            <w:shd w:val="clear" w:color="auto" w:fill="E2EFD9" w:themeFill="accent6" w:themeFillTint="33"/>
            <w:vAlign w:val="center"/>
          </w:tcPr>
          <w:p w14:paraId="7890CD2D" w14:textId="522EA8EE" w:rsidR="00D21651" w:rsidRPr="008D060F" w:rsidRDefault="007E1EC0" w:rsidP="00D21651">
            <w:pPr>
              <w:rPr>
                <w:sz w:val="18"/>
                <w:szCs w:val="18"/>
              </w:rPr>
            </w:pPr>
            <w:r w:rsidRPr="007E1EC0">
              <w:rPr>
                <w:sz w:val="18"/>
                <w:szCs w:val="18"/>
              </w:rPr>
              <w:t>-$56,710</w:t>
            </w:r>
          </w:p>
        </w:tc>
        <w:tc>
          <w:tcPr>
            <w:tcW w:w="1260" w:type="dxa"/>
            <w:tcBorders>
              <w:top w:val="double" w:sz="4" w:space="0" w:color="auto"/>
              <w:left w:val="single" w:sz="4" w:space="0" w:color="auto"/>
              <w:bottom w:val="single" w:sz="4" w:space="0" w:color="auto"/>
            </w:tcBorders>
            <w:shd w:val="clear" w:color="auto" w:fill="DEEAF6" w:themeFill="accent1" w:themeFillTint="33"/>
            <w:vAlign w:val="center"/>
          </w:tcPr>
          <w:p w14:paraId="661C250A" w14:textId="5ACAD565" w:rsidR="00D21651" w:rsidRPr="008D060F" w:rsidRDefault="00603DE9" w:rsidP="00D21651">
            <w:pPr>
              <w:rPr>
                <w:sz w:val="18"/>
                <w:szCs w:val="18"/>
              </w:rPr>
            </w:pPr>
            <w:r w:rsidRPr="00603DE9">
              <w:rPr>
                <w:sz w:val="18"/>
                <w:szCs w:val="18"/>
              </w:rPr>
              <w:t>$253,244</w:t>
            </w:r>
          </w:p>
        </w:tc>
        <w:tc>
          <w:tcPr>
            <w:tcW w:w="1170" w:type="dxa"/>
            <w:tcBorders>
              <w:top w:val="double" w:sz="4" w:space="0" w:color="auto"/>
              <w:bottom w:val="single" w:sz="4" w:space="0" w:color="auto"/>
            </w:tcBorders>
            <w:shd w:val="clear" w:color="auto" w:fill="E2EFD9" w:themeFill="accent6" w:themeFillTint="33"/>
            <w:vAlign w:val="center"/>
          </w:tcPr>
          <w:p w14:paraId="60C5EDD6" w14:textId="5983BE06" w:rsidR="00D21651" w:rsidRPr="008D060F" w:rsidRDefault="007044BE" w:rsidP="00D21651">
            <w:pPr>
              <w:rPr>
                <w:sz w:val="18"/>
                <w:szCs w:val="18"/>
              </w:rPr>
            </w:pPr>
            <w:r w:rsidRPr="007044BE">
              <w:rPr>
                <w:sz w:val="18"/>
                <w:szCs w:val="18"/>
              </w:rPr>
              <w:t>-$52,566</w:t>
            </w:r>
          </w:p>
        </w:tc>
      </w:tr>
    </w:tbl>
    <w:p w14:paraId="16B61746" w14:textId="77777777" w:rsidR="00A81DAC" w:rsidRDefault="00A81DAC" w:rsidP="000227F6"/>
    <w:p w14:paraId="527260A6" w14:textId="3565FCB8" w:rsidR="00A81DAC" w:rsidRPr="001933EE" w:rsidRDefault="00A81DAC" w:rsidP="000227F6">
      <w:pPr>
        <w:rPr>
          <w:sz w:val="16"/>
          <w:szCs w:val="16"/>
        </w:rPr>
      </w:pPr>
      <w:r w:rsidRPr="001933EE">
        <w:rPr>
          <w:sz w:val="16"/>
          <w:szCs w:val="16"/>
          <w:vertAlign w:val="superscript"/>
        </w:rPr>
        <w:t>1</w:t>
      </w:r>
      <w:r w:rsidRPr="001933EE">
        <w:rPr>
          <w:sz w:val="16"/>
          <w:szCs w:val="16"/>
        </w:rPr>
        <w:t xml:space="preserve"> </w:t>
      </w:r>
      <w:r w:rsidR="00C27D06" w:rsidRPr="00C27D06">
        <w:rPr>
          <w:sz w:val="16"/>
          <w:szCs w:val="16"/>
        </w:rPr>
        <w:t>The sales estimates for the optimistic and pessimistic columns are based on different weighted average prices per gallon. The optimistic column uses a premium beer, Michelob, to estimate a weighted average price per gallon of $5.62, while the pessimistic column uses the weighted average price of $4.82 for the average of seven well-known beers, as presented in Table 6</w:t>
      </w:r>
      <w:r w:rsidRPr="001933EE">
        <w:rPr>
          <w:sz w:val="16"/>
          <w:szCs w:val="16"/>
        </w:rPr>
        <w:t>.</w:t>
      </w:r>
    </w:p>
    <w:p w14:paraId="08F29EDE" w14:textId="52012980" w:rsidR="00A81DAC" w:rsidRPr="001933EE" w:rsidRDefault="00A81DAC" w:rsidP="000227F6">
      <w:pPr>
        <w:rPr>
          <w:sz w:val="16"/>
          <w:szCs w:val="16"/>
        </w:rPr>
      </w:pPr>
      <w:r w:rsidRPr="001933EE">
        <w:rPr>
          <w:sz w:val="16"/>
          <w:szCs w:val="16"/>
          <w:vertAlign w:val="superscript"/>
        </w:rPr>
        <w:t xml:space="preserve">2 </w:t>
      </w:r>
      <w:r w:rsidR="00C27D06" w:rsidRPr="00C27D06">
        <w:rPr>
          <w:sz w:val="16"/>
          <w:szCs w:val="16"/>
        </w:rPr>
        <w:t>Optimistic and pessimistic increases in year 2 and 3 sales revenue are based on market sales potential multiplied by the respective weighted average prices</w:t>
      </w:r>
      <w:r w:rsidR="00C27D06">
        <w:rPr>
          <w:sz w:val="16"/>
          <w:szCs w:val="16"/>
        </w:rPr>
        <w:t xml:space="preserve"> which are 5.62 and 4.82 respectively.</w:t>
      </w:r>
    </w:p>
    <w:p w14:paraId="5EC566F7" w14:textId="24BEA823" w:rsidR="00A81DAC" w:rsidRPr="001933EE" w:rsidRDefault="00A81DAC" w:rsidP="000227F6">
      <w:pPr>
        <w:rPr>
          <w:sz w:val="16"/>
          <w:szCs w:val="16"/>
        </w:rPr>
      </w:pPr>
      <w:r w:rsidRPr="001933EE">
        <w:rPr>
          <w:sz w:val="16"/>
          <w:szCs w:val="16"/>
          <w:vertAlign w:val="superscript"/>
        </w:rPr>
        <w:t xml:space="preserve">3 </w:t>
      </w:r>
      <w:r w:rsidRPr="001933EE">
        <w:rPr>
          <w:sz w:val="16"/>
          <w:szCs w:val="16"/>
        </w:rPr>
        <w:t>Cost of goods sold follows the percentage of the cost of sales</w:t>
      </w:r>
      <w:r w:rsidR="00745DF9">
        <w:rPr>
          <w:sz w:val="16"/>
          <w:szCs w:val="16"/>
        </w:rPr>
        <w:t xml:space="preserve"> comes</w:t>
      </w:r>
      <w:r w:rsidR="00151444">
        <w:rPr>
          <w:sz w:val="16"/>
          <w:szCs w:val="16"/>
        </w:rPr>
        <w:t xml:space="preserve"> i.e.  total sales * 77.1% for both optimistic and pessimistic</w:t>
      </w:r>
    </w:p>
    <w:p w14:paraId="7B1E0A26" w14:textId="1A0E1D51" w:rsidR="00A81DAC" w:rsidRPr="001933EE" w:rsidRDefault="00B065EE" w:rsidP="000227F6">
      <w:pPr>
        <w:rPr>
          <w:sz w:val="16"/>
          <w:szCs w:val="16"/>
        </w:rPr>
      </w:pPr>
      <w:r>
        <w:rPr>
          <w:sz w:val="16"/>
          <w:szCs w:val="16"/>
          <w:vertAlign w:val="superscript"/>
        </w:rPr>
        <w:t xml:space="preserve">4 </w:t>
      </w:r>
      <w:r>
        <w:rPr>
          <w:sz w:val="16"/>
          <w:szCs w:val="16"/>
        </w:rPr>
        <w:t xml:space="preserve">Operating expenses are provided in the case </w:t>
      </w:r>
      <w:proofErr w:type="gramStart"/>
      <w:r>
        <w:rPr>
          <w:sz w:val="16"/>
          <w:szCs w:val="16"/>
        </w:rPr>
        <w:t>study</w:t>
      </w:r>
      <w:proofErr w:type="gramEnd"/>
    </w:p>
    <w:p w14:paraId="4A784C5D" w14:textId="77777777" w:rsidR="00A81DAC" w:rsidRDefault="00A81DAC" w:rsidP="000227F6"/>
    <w:p w14:paraId="04166FAB" w14:textId="77777777" w:rsidR="00A81DAC" w:rsidRDefault="00A81DAC" w:rsidP="000227F6">
      <w:r>
        <w:br w:type="page"/>
      </w:r>
    </w:p>
    <w:p w14:paraId="3FACE4D9" w14:textId="31ED1FCB" w:rsidR="00A81DAC" w:rsidRDefault="00A81DAC" w:rsidP="00C93516">
      <w:pPr>
        <w:jc w:val="center"/>
      </w:pPr>
      <w:r>
        <w:lastRenderedPageBreak/>
        <w:t xml:space="preserve">Table </w:t>
      </w:r>
      <w:r w:rsidR="000A7E3F">
        <w:t>8</w:t>
      </w:r>
      <w:r w:rsidR="00C93516">
        <w:t xml:space="preserve">. </w:t>
      </w:r>
      <w:r>
        <w:t>Break-even Analysis</w:t>
      </w:r>
    </w:p>
    <w:p w14:paraId="66D432F8" w14:textId="77777777" w:rsidR="00A81DAC" w:rsidRDefault="00A81DAC" w:rsidP="000227F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710"/>
        <w:gridCol w:w="1633"/>
      </w:tblGrid>
      <w:tr w:rsidR="00C93516" w:rsidRPr="004A647F" w14:paraId="59FB1E77" w14:textId="77777777" w:rsidTr="00C93516">
        <w:trPr>
          <w:jc w:val="center"/>
        </w:trPr>
        <w:tc>
          <w:tcPr>
            <w:tcW w:w="2700" w:type="dxa"/>
            <w:shd w:val="clear" w:color="auto" w:fill="F2F2F2" w:themeFill="background1" w:themeFillShade="F2"/>
            <w:vAlign w:val="bottom"/>
          </w:tcPr>
          <w:p w14:paraId="75B441A3" w14:textId="77777777" w:rsidR="00C93516" w:rsidRPr="004A647F" w:rsidRDefault="00C93516" w:rsidP="000227F6">
            <w:pPr>
              <w:rPr>
                <w:sz w:val="20"/>
                <w:szCs w:val="18"/>
              </w:rPr>
            </w:pPr>
          </w:p>
        </w:tc>
        <w:tc>
          <w:tcPr>
            <w:tcW w:w="1710" w:type="dxa"/>
            <w:tcBorders>
              <w:bottom w:val="single" w:sz="4" w:space="0" w:color="auto"/>
              <w:right w:val="single" w:sz="4" w:space="0" w:color="auto"/>
            </w:tcBorders>
            <w:shd w:val="clear" w:color="auto" w:fill="BDD6EE" w:themeFill="accent1" w:themeFillTint="66"/>
            <w:vAlign w:val="bottom"/>
          </w:tcPr>
          <w:p w14:paraId="1F46F97C" w14:textId="77777777" w:rsidR="00C93516" w:rsidRPr="004A647F" w:rsidRDefault="00C93516" w:rsidP="00C93516">
            <w:pPr>
              <w:jc w:val="center"/>
              <w:rPr>
                <w:sz w:val="20"/>
                <w:szCs w:val="18"/>
              </w:rPr>
            </w:pPr>
            <w:r w:rsidRPr="004A647F">
              <w:rPr>
                <w:sz w:val="20"/>
                <w:szCs w:val="18"/>
              </w:rPr>
              <w:t>Optimistic</w:t>
            </w:r>
          </w:p>
        </w:tc>
        <w:tc>
          <w:tcPr>
            <w:tcW w:w="1633" w:type="dxa"/>
            <w:tcBorders>
              <w:left w:val="single" w:sz="4" w:space="0" w:color="auto"/>
              <w:bottom w:val="single" w:sz="4" w:space="0" w:color="auto"/>
            </w:tcBorders>
            <w:shd w:val="clear" w:color="auto" w:fill="BDD6EE" w:themeFill="accent1" w:themeFillTint="66"/>
            <w:vAlign w:val="bottom"/>
          </w:tcPr>
          <w:p w14:paraId="00DDD9DA" w14:textId="77777777" w:rsidR="00C93516" w:rsidRPr="004A647F" w:rsidRDefault="00C93516" w:rsidP="00C93516">
            <w:pPr>
              <w:jc w:val="center"/>
              <w:rPr>
                <w:sz w:val="20"/>
                <w:szCs w:val="18"/>
              </w:rPr>
            </w:pPr>
            <w:r w:rsidRPr="004A647F">
              <w:rPr>
                <w:sz w:val="20"/>
                <w:szCs w:val="18"/>
              </w:rPr>
              <w:t>Pessimistic</w:t>
            </w:r>
          </w:p>
        </w:tc>
      </w:tr>
      <w:tr w:rsidR="00A81DAC" w:rsidRPr="004A647F" w14:paraId="7161E12E" w14:textId="77777777" w:rsidTr="00C93516">
        <w:trPr>
          <w:jc w:val="center"/>
        </w:trPr>
        <w:tc>
          <w:tcPr>
            <w:tcW w:w="2700" w:type="dxa"/>
            <w:shd w:val="clear" w:color="auto" w:fill="F2F2F2" w:themeFill="background1" w:themeFillShade="F2"/>
            <w:vAlign w:val="bottom"/>
          </w:tcPr>
          <w:p w14:paraId="5F5AD37B" w14:textId="77777777" w:rsidR="00A81DAC" w:rsidRPr="004A647F" w:rsidRDefault="00A81DAC" w:rsidP="000227F6">
            <w:pPr>
              <w:rPr>
                <w:sz w:val="20"/>
                <w:szCs w:val="18"/>
              </w:rPr>
            </w:pPr>
            <w:r w:rsidRPr="004A647F">
              <w:rPr>
                <w:sz w:val="20"/>
                <w:szCs w:val="18"/>
              </w:rPr>
              <w:t>Fixed Costs</w:t>
            </w:r>
            <w:r w:rsidRPr="004A647F">
              <w:rPr>
                <w:sz w:val="20"/>
                <w:szCs w:val="18"/>
                <w:vertAlign w:val="superscript"/>
              </w:rPr>
              <w:t xml:space="preserve"> 1</w:t>
            </w:r>
          </w:p>
        </w:tc>
        <w:tc>
          <w:tcPr>
            <w:tcW w:w="1710" w:type="dxa"/>
            <w:tcBorders>
              <w:top w:val="single" w:sz="4" w:space="0" w:color="auto"/>
              <w:right w:val="single" w:sz="4" w:space="0" w:color="auto"/>
            </w:tcBorders>
            <w:shd w:val="clear" w:color="auto" w:fill="DEEAF6" w:themeFill="accent1" w:themeFillTint="33"/>
            <w:vAlign w:val="bottom"/>
          </w:tcPr>
          <w:p w14:paraId="3A6FF392" w14:textId="67B3F60F" w:rsidR="00A81DAC" w:rsidRPr="004A647F" w:rsidRDefault="00CF52C4" w:rsidP="000227F6">
            <w:pPr>
              <w:rPr>
                <w:sz w:val="20"/>
                <w:szCs w:val="18"/>
              </w:rPr>
            </w:pPr>
            <w:r w:rsidRPr="00CF52C4">
              <w:rPr>
                <w:sz w:val="20"/>
                <w:szCs w:val="18"/>
              </w:rPr>
              <w:t>$290,000</w:t>
            </w:r>
          </w:p>
        </w:tc>
        <w:tc>
          <w:tcPr>
            <w:tcW w:w="1633" w:type="dxa"/>
            <w:tcBorders>
              <w:top w:val="single" w:sz="4" w:space="0" w:color="auto"/>
              <w:left w:val="single" w:sz="4" w:space="0" w:color="auto"/>
            </w:tcBorders>
            <w:shd w:val="clear" w:color="auto" w:fill="E2EFD9" w:themeFill="accent6" w:themeFillTint="33"/>
            <w:vAlign w:val="bottom"/>
          </w:tcPr>
          <w:p w14:paraId="73DFF25D" w14:textId="2AEDAF7E" w:rsidR="00A81DAC" w:rsidRPr="004A647F" w:rsidRDefault="00BE7EF9" w:rsidP="000227F6">
            <w:pPr>
              <w:rPr>
                <w:sz w:val="20"/>
                <w:szCs w:val="18"/>
              </w:rPr>
            </w:pPr>
            <w:r w:rsidRPr="00BE7EF9">
              <w:rPr>
                <w:sz w:val="20"/>
                <w:szCs w:val="18"/>
              </w:rPr>
              <w:t>$555,400</w:t>
            </w:r>
          </w:p>
        </w:tc>
      </w:tr>
      <w:tr w:rsidR="00A81DAC" w:rsidRPr="004A647F" w14:paraId="73EF8EC3" w14:textId="77777777" w:rsidTr="005C640D">
        <w:trPr>
          <w:jc w:val="center"/>
        </w:trPr>
        <w:tc>
          <w:tcPr>
            <w:tcW w:w="2700" w:type="dxa"/>
            <w:shd w:val="clear" w:color="auto" w:fill="F2F2F2" w:themeFill="background1" w:themeFillShade="F2"/>
            <w:vAlign w:val="bottom"/>
          </w:tcPr>
          <w:p w14:paraId="5308843E" w14:textId="77777777" w:rsidR="00A81DAC" w:rsidRPr="004A647F" w:rsidRDefault="00A81DAC" w:rsidP="000227F6">
            <w:pPr>
              <w:rPr>
                <w:sz w:val="20"/>
                <w:szCs w:val="18"/>
              </w:rPr>
            </w:pPr>
            <w:r w:rsidRPr="004A647F">
              <w:rPr>
                <w:sz w:val="20"/>
                <w:szCs w:val="18"/>
              </w:rPr>
              <w:t>Contribution Margin</w:t>
            </w:r>
            <w:r w:rsidRPr="004A647F">
              <w:rPr>
                <w:sz w:val="20"/>
                <w:szCs w:val="18"/>
                <w:vertAlign w:val="superscript"/>
              </w:rPr>
              <w:t xml:space="preserve"> 2</w:t>
            </w:r>
          </w:p>
        </w:tc>
        <w:tc>
          <w:tcPr>
            <w:tcW w:w="1710" w:type="dxa"/>
            <w:tcBorders>
              <w:right w:val="single" w:sz="4" w:space="0" w:color="auto"/>
            </w:tcBorders>
            <w:shd w:val="clear" w:color="auto" w:fill="DEEAF6" w:themeFill="accent1" w:themeFillTint="33"/>
            <w:vAlign w:val="bottom"/>
          </w:tcPr>
          <w:p w14:paraId="08C612F9" w14:textId="2A15D064" w:rsidR="00A81DAC" w:rsidRPr="004A647F" w:rsidRDefault="00FD6AFC" w:rsidP="000227F6">
            <w:pPr>
              <w:rPr>
                <w:sz w:val="20"/>
                <w:szCs w:val="18"/>
              </w:rPr>
            </w:pPr>
            <w:r w:rsidRPr="00FD6AFC">
              <w:rPr>
                <w:sz w:val="20"/>
                <w:szCs w:val="18"/>
              </w:rPr>
              <w:t>22.9%</w:t>
            </w:r>
          </w:p>
        </w:tc>
        <w:tc>
          <w:tcPr>
            <w:tcW w:w="1633" w:type="dxa"/>
            <w:tcBorders>
              <w:left w:val="single" w:sz="4" w:space="0" w:color="auto"/>
            </w:tcBorders>
            <w:shd w:val="clear" w:color="auto" w:fill="E2EFD9" w:themeFill="accent6" w:themeFillTint="33"/>
            <w:vAlign w:val="bottom"/>
          </w:tcPr>
          <w:p w14:paraId="31D282C5" w14:textId="405C9EDD" w:rsidR="00A81DAC" w:rsidRPr="004A647F" w:rsidRDefault="00BE7EF9" w:rsidP="000227F6">
            <w:pPr>
              <w:rPr>
                <w:sz w:val="20"/>
                <w:szCs w:val="18"/>
              </w:rPr>
            </w:pPr>
            <w:r>
              <w:rPr>
                <w:sz w:val="20"/>
                <w:szCs w:val="18"/>
              </w:rPr>
              <w:t>22.9%</w:t>
            </w:r>
          </w:p>
        </w:tc>
      </w:tr>
      <w:tr w:rsidR="00A81DAC" w:rsidRPr="004A647F" w14:paraId="2171EE35" w14:textId="77777777" w:rsidTr="005C640D">
        <w:trPr>
          <w:jc w:val="center"/>
        </w:trPr>
        <w:tc>
          <w:tcPr>
            <w:tcW w:w="2700" w:type="dxa"/>
            <w:shd w:val="clear" w:color="auto" w:fill="F2F2F2" w:themeFill="background1" w:themeFillShade="F2"/>
            <w:vAlign w:val="bottom"/>
          </w:tcPr>
          <w:p w14:paraId="4844CED1" w14:textId="77777777" w:rsidR="00A81DAC" w:rsidRPr="004A647F" w:rsidRDefault="00A81DAC" w:rsidP="000227F6">
            <w:pPr>
              <w:rPr>
                <w:sz w:val="20"/>
                <w:szCs w:val="18"/>
              </w:rPr>
            </w:pPr>
            <w:r w:rsidRPr="004A647F">
              <w:rPr>
                <w:sz w:val="20"/>
                <w:szCs w:val="18"/>
              </w:rPr>
              <w:t>Break-Even Dollars</w:t>
            </w:r>
            <w:r w:rsidRPr="004A647F">
              <w:rPr>
                <w:sz w:val="20"/>
                <w:szCs w:val="18"/>
                <w:vertAlign w:val="superscript"/>
              </w:rPr>
              <w:t xml:space="preserve"> 3</w:t>
            </w:r>
          </w:p>
        </w:tc>
        <w:tc>
          <w:tcPr>
            <w:tcW w:w="1710" w:type="dxa"/>
            <w:tcBorders>
              <w:right w:val="single" w:sz="4" w:space="0" w:color="auto"/>
            </w:tcBorders>
            <w:shd w:val="clear" w:color="auto" w:fill="DEEAF6" w:themeFill="accent1" w:themeFillTint="33"/>
            <w:vAlign w:val="bottom"/>
          </w:tcPr>
          <w:p w14:paraId="12BF0B0F" w14:textId="1A6B152C" w:rsidR="00A81DAC" w:rsidRPr="004A647F" w:rsidRDefault="00FD6AFC" w:rsidP="000227F6">
            <w:pPr>
              <w:rPr>
                <w:sz w:val="20"/>
                <w:szCs w:val="18"/>
              </w:rPr>
            </w:pPr>
            <w:r w:rsidRPr="00FD6AFC">
              <w:rPr>
                <w:sz w:val="20"/>
                <w:szCs w:val="18"/>
              </w:rPr>
              <w:t>$1,266,376</w:t>
            </w:r>
          </w:p>
        </w:tc>
        <w:tc>
          <w:tcPr>
            <w:tcW w:w="1633" w:type="dxa"/>
            <w:tcBorders>
              <w:left w:val="single" w:sz="4" w:space="0" w:color="auto"/>
            </w:tcBorders>
            <w:shd w:val="clear" w:color="auto" w:fill="E2EFD9" w:themeFill="accent6" w:themeFillTint="33"/>
            <w:vAlign w:val="bottom"/>
          </w:tcPr>
          <w:p w14:paraId="4617FDD7" w14:textId="7FE3A93B" w:rsidR="00A81DAC" w:rsidRPr="004A647F" w:rsidRDefault="00824990" w:rsidP="000227F6">
            <w:pPr>
              <w:rPr>
                <w:sz w:val="20"/>
                <w:szCs w:val="18"/>
              </w:rPr>
            </w:pPr>
            <w:r w:rsidRPr="00824990">
              <w:rPr>
                <w:sz w:val="20"/>
                <w:szCs w:val="18"/>
              </w:rPr>
              <w:t>$2,425,328</w:t>
            </w:r>
          </w:p>
        </w:tc>
      </w:tr>
      <w:tr w:rsidR="00A81DAC" w:rsidRPr="004A647F" w14:paraId="6ACA87B0" w14:textId="77777777" w:rsidTr="005C640D">
        <w:trPr>
          <w:jc w:val="center"/>
        </w:trPr>
        <w:tc>
          <w:tcPr>
            <w:tcW w:w="2700" w:type="dxa"/>
            <w:shd w:val="clear" w:color="auto" w:fill="F2F2F2" w:themeFill="background1" w:themeFillShade="F2"/>
            <w:vAlign w:val="bottom"/>
          </w:tcPr>
          <w:p w14:paraId="2ACC3D93" w14:textId="77777777" w:rsidR="00A81DAC" w:rsidRPr="004A647F" w:rsidRDefault="00A81DAC" w:rsidP="000227F6">
            <w:pPr>
              <w:rPr>
                <w:sz w:val="20"/>
                <w:szCs w:val="18"/>
              </w:rPr>
            </w:pPr>
            <w:r w:rsidRPr="004A647F">
              <w:rPr>
                <w:sz w:val="20"/>
                <w:szCs w:val="18"/>
              </w:rPr>
              <w:t>Break-Even Gallons</w:t>
            </w:r>
            <w:r w:rsidRPr="004A647F">
              <w:rPr>
                <w:sz w:val="20"/>
                <w:szCs w:val="18"/>
                <w:vertAlign w:val="superscript"/>
              </w:rPr>
              <w:t xml:space="preserve"> 4</w:t>
            </w:r>
          </w:p>
        </w:tc>
        <w:tc>
          <w:tcPr>
            <w:tcW w:w="1710" w:type="dxa"/>
            <w:tcBorders>
              <w:right w:val="single" w:sz="4" w:space="0" w:color="auto"/>
            </w:tcBorders>
            <w:shd w:val="clear" w:color="auto" w:fill="DEEAF6" w:themeFill="accent1" w:themeFillTint="33"/>
            <w:vAlign w:val="bottom"/>
          </w:tcPr>
          <w:p w14:paraId="7862ED77" w14:textId="10BB762A" w:rsidR="00A81DAC" w:rsidRPr="004A647F" w:rsidRDefault="00E25F2A" w:rsidP="000227F6">
            <w:pPr>
              <w:rPr>
                <w:sz w:val="20"/>
                <w:szCs w:val="18"/>
              </w:rPr>
            </w:pPr>
            <w:r w:rsidRPr="00E25F2A">
              <w:rPr>
                <w:sz w:val="20"/>
                <w:szCs w:val="18"/>
              </w:rPr>
              <w:t>252,174</w:t>
            </w:r>
          </w:p>
        </w:tc>
        <w:tc>
          <w:tcPr>
            <w:tcW w:w="1633" w:type="dxa"/>
            <w:tcBorders>
              <w:left w:val="single" w:sz="4" w:space="0" w:color="auto"/>
            </w:tcBorders>
            <w:shd w:val="clear" w:color="auto" w:fill="E2EFD9" w:themeFill="accent6" w:themeFillTint="33"/>
            <w:vAlign w:val="bottom"/>
          </w:tcPr>
          <w:p w14:paraId="063CEFDC" w14:textId="54C819E9" w:rsidR="00A81DAC" w:rsidRPr="004A647F" w:rsidRDefault="00824990" w:rsidP="000227F6">
            <w:pPr>
              <w:rPr>
                <w:sz w:val="20"/>
                <w:szCs w:val="18"/>
              </w:rPr>
            </w:pPr>
            <w:r w:rsidRPr="00824990">
              <w:rPr>
                <w:sz w:val="20"/>
                <w:szCs w:val="18"/>
              </w:rPr>
              <w:t>503,431</w:t>
            </w:r>
          </w:p>
        </w:tc>
      </w:tr>
      <w:tr w:rsidR="00A81DAC" w:rsidRPr="004A647F" w14:paraId="6AB88F60" w14:textId="77777777" w:rsidTr="00C93516">
        <w:trPr>
          <w:jc w:val="center"/>
        </w:trPr>
        <w:tc>
          <w:tcPr>
            <w:tcW w:w="2700" w:type="dxa"/>
            <w:shd w:val="clear" w:color="auto" w:fill="F2F2F2" w:themeFill="background1" w:themeFillShade="F2"/>
            <w:vAlign w:val="bottom"/>
          </w:tcPr>
          <w:p w14:paraId="76C450B0" w14:textId="77777777" w:rsidR="00A81DAC" w:rsidRPr="004A647F" w:rsidRDefault="00A81DAC" w:rsidP="000227F6">
            <w:pPr>
              <w:rPr>
                <w:sz w:val="20"/>
                <w:szCs w:val="18"/>
              </w:rPr>
            </w:pPr>
            <w:r w:rsidRPr="004A647F">
              <w:rPr>
                <w:sz w:val="20"/>
                <w:szCs w:val="18"/>
              </w:rPr>
              <w:t>Break-Even Market Share</w:t>
            </w:r>
            <w:r w:rsidRPr="004A647F">
              <w:rPr>
                <w:sz w:val="20"/>
                <w:szCs w:val="18"/>
                <w:vertAlign w:val="superscript"/>
              </w:rPr>
              <w:t xml:space="preserve"> 5</w:t>
            </w:r>
          </w:p>
        </w:tc>
        <w:tc>
          <w:tcPr>
            <w:tcW w:w="1710" w:type="dxa"/>
            <w:tcBorders>
              <w:right w:val="single" w:sz="4" w:space="0" w:color="auto"/>
            </w:tcBorders>
            <w:shd w:val="clear" w:color="auto" w:fill="DEEAF6" w:themeFill="accent1" w:themeFillTint="33"/>
            <w:vAlign w:val="bottom"/>
          </w:tcPr>
          <w:p w14:paraId="6458638D" w14:textId="1B96E89F" w:rsidR="00A81DAC" w:rsidRPr="004A647F" w:rsidRDefault="00E25F2A" w:rsidP="000227F6">
            <w:pPr>
              <w:rPr>
                <w:sz w:val="20"/>
                <w:szCs w:val="18"/>
              </w:rPr>
            </w:pPr>
            <w:r>
              <w:rPr>
                <w:sz w:val="20"/>
                <w:szCs w:val="18"/>
              </w:rPr>
              <w:t>3.71</w:t>
            </w:r>
            <w:r w:rsidR="00824990">
              <w:rPr>
                <w:sz w:val="20"/>
                <w:szCs w:val="18"/>
              </w:rPr>
              <w:t>%</w:t>
            </w:r>
          </w:p>
        </w:tc>
        <w:tc>
          <w:tcPr>
            <w:tcW w:w="1633" w:type="dxa"/>
            <w:tcBorders>
              <w:left w:val="single" w:sz="4" w:space="0" w:color="auto"/>
            </w:tcBorders>
            <w:shd w:val="clear" w:color="auto" w:fill="E2EFD9" w:themeFill="accent6" w:themeFillTint="33"/>
            <w:vAlign w:val="bottom"/>
          </w:tcPr>
          <w:p w14:paraId="2DEFFC8E" w14:textId="353306F6" w:rsidR="00A81DAC" w:rsidRPr="004A647F" w:rsidRDefault="009A4754" w:rsidP="000227F6">
            <w:pPr>
              <w:rPr>
                <w:sz w:val="20"/>
                <w:szCs w:val="18"/>
              </w:rPr>
            </w:pPr>
            <w:r w:rsidRPr="009A4754">
              <w:rPr>
                <w:sz w:val="20"/>
                <w:szCs w:val="18"/>
              </w:rPr>
              <w:t>8.83%</w:t>
            </w:r>
          </w:p>
        </w:tc>
      </w:tr>
      <w:tr w:rsidR="00A81DAC" w:rsidRPr="004A647F" w14:paraId="490F64B8" w14:textId="77777777" w:rsidTr="00C93516">
        <w:trPr>
          <w:jc w:val="center"/>
        </w:trPr>
        <w:tc>
          <w:tcPr>
            <w:tcW w:w="2700" w:type="dxa"/>
            <w:shd w:val="clear" w:color="auto" w:fill="F2F2F2" w:themeFill="background1" w:themeFillShade="F2"/>
            <w:vAlign w:val="bottom"/>
          </w:tcPr>
          <w:p w14:paraId="45615421" w14:textId="77777777" w:rsidR="00A81DAC" w:rsidRPr="004A647F" w:rsidRDefault="00A81DAC" w:rsidP="000227F6">
            <w:pPr>
              <w:rPr>
                <w:sz w:val="20"/>
                <w:szCs w:val="18"/>
              </w:rPr>
            </w:pPr>
            <w:r w:rsidRPr="004A647F">
              <w:rPr>
                <w:sz w:val="20"/>
                <w:szCs w:val="18"/>
              </w:rPr>
              <w:t>Estimated Market Share</w:t>
            </w:r>
            <w:r w:rsidRPr="004A647F">
              <w:rPr>
                <w:sz w:val="20"/>
                <w:szCs w:val="18"/>
                <w:vertAlign w:val="superscript"/>
              </w:rPr>
              <w:t xml:space="preserve"> 6</w:t>
            </w:r>
          </w:p>
        </w:tc>
        <w:tc>
          <w:tcPr>
            <w:tcW w:w="1710" w:type="dxa"/>
            <w:tcBorders>
              <w:bottom w:val="single" w:sz="4" w:space="0" w:color="auto"/>
              <w:right w:val="single" w:sz="4" w:space="0" w:color="auto"/>
            </w:tcBorders>
            <w:shd w:val="clear" w:color="auto" w:fill="DEEAF6" w:themeFill="accent1" w:themeFillTint="33"/>
            <w:vAlign w:val="bottom"/>
          </w:tcPr>
          <w:p w14:paraId="41E5524D" w14:textId="0766E199" w:rsidR="00A81DAC" w:rsidRPr="004A647F" w:rsidRDefault="00BE7EF9" w:rsidP="000227F6">
            <w:pPr>
              <w:rPr>
                <w:sz w:val="20"/>
                <w:szCs w:val="18"/>
              </w:rPr>
            </w:pPr>
            <w:r>
              <w:rPr>
                <w:sz w:val="20"/>
                <w:szCs w:val="18"/>
              </w:rPr>
              <w:t>8.70</w:t>
            </w:r>
            <w:r w:rsidR="00824990">
              <w:rPr>
                <w:sz w:val="20"/>
                <w:szCs w:val="18"/>
              </w:rPr>
              <w:t>%</w:t>
            </w:r>
          </w:p>
        </w:tc>
        <w:tc>
          <w:tcPr>
            <w:tcW w:w="1633" w:type="dxa"/>
            <w:tcBorders>
              <w:left w:val="single" w:sz="4" w:space="0" w:color="auto"/>
              <w:bottom w:val="single" w:sz="4" w:space="0" w:color="auto"/>
            </w:tcBorders>
            <w:shd w:val="clear" w:color="auto" w:fill="E2EFD9" w:themeFill="accent6" w:themeFillTint="33"/>
            <w:vAlign w:val="bottom"/>
          </w:tcPr>
          <w:p w14:paraId="1593256C" w14:textId="0483ACB0" w:rsidR="00A81DAC" w:rsidRPr="004A647F" w:rsidRDefault="009A4754" w:rsidP="000227F6">
            <w:pPr>
              <w:rPr>
                <w:sz w:val="20"/>
                <w:szCs w:val="18"/>
              </w:rPr>
            </w:pPr>
            <w:r w:rsidRPr="009A4754">
              <w:rPr>
                <w:sz w:val="20"/>
                <w:szCs w:val="18"/>
              </w:rPr>
              <w:t>8.70%</w:t>
            </w:r>
          </w:p>
        </w:tc>
      </w:tr>
    </w:tbl>
    <w:p w14:paraId="6E97C16E" w14:textId="77777777" w:rsidR="00A81DAC" w:rsidRPr="004A647F" w:rsidRDefault="00A81DAC" w:rsidP="000227F6">
      <w:pPr>
        <w:rPr>
          <w:sz w:val="20"/>
          <w:szCs w:val="18"/>
        </w:rPr>
      </w:pPr>
    </w:p>
    <w:p w14:paraId="308D2C2F" w14:textId="71DDAEFA" w:rsidR="00A81DAC" w:rsidRPr="004A647F" w:rsidRDefault="00A81DAC" w:rsidP="004A647F">
      <w:pPr>
        <w:ind w:left="1800" w:right="1530"/>
        <w:rPr>
          <w:sz w:val="18"/>
          <w:szCs w:val="18"/>
        </w:rPr>
      </w:pPr>
      <w:r w:rsidRPr="004A647F">
        <w:rPr>
          <w:sz w:val="18"/>
          <w:szCs w:val="18"/>
          <w:vertAlign w:val="superscript"/>
        </w:rPr>
        <w:t xml:space="preserve">1 </w:t>
      </w:r>
      <w:r w:rsidR="00C27D06" w:rsidRPr="00C27D06">
        <w:rPr>
          <w:sz w:val="18"/>
          <w:szCs w:val="18"/>
        </w:rPr>
        <w:t xml:space="preserve">The fixed costs include all operating expenses and other expenses listed in Table 7 of the pro forma income </w:t>
      </w:r>
      <w:proofErr w:type="gramStart"/>
      <w:r w:rsidR="00C27D06" w:rsidRPr="00C27D06">
        <w:rPr>
          <w:sz w:val="18"/>
          <w:szCs w:val="18"/>
        </w:rPr>
        <w:t>statement</w:t>
      </w:r>
      <w:proofErr w:type="gramEnd"/>
    </w:p>
    <w:p w14:paraId="71D64600" w14:textId="77777777" w:rsidR="00C27D06" w:rsidRDefault="00A81DAC" w:rsidP="004A647F">
      <w:pPr>
        <w:ind w:left="1800" w:right="1530"/>
        <w:rPr>
          <w:sz w:val="18"/>
          <w:szCs w:val="18"/>
        </w:rPr>
      </w:pPr>
      <w:r w:rsidRPr="004A647F">
        <w:rPr>
          <w:sz w:val="18"/>
          <w:szCs w:val="18"/>
          <w:vertAlign w:val="superscript"/>
        </w:rPr>
        <w:t xml:space="preserve">2 </w:t>
      </w:r>
      <w:r w:rsidR="00C27D06" w:rsidRPr="00C27D06">
        <w:rPr>
          <w:sz w:val="18"/>
          <w:szCs w:val="18"/>
        </w:rPr>
        <w:t>The contribution margin is derived from the price and contribution projections presented in Table 3.</w:t>
      </w:r>
    </w:p>
    <w:p w14:paraId="10677043" w14:textId="7CB61F28" w:rsidR="00A81DAC" w:rsidRPr="004A647F" w:rsidRDefault="00A81DAC" w:rsidP="004A647F">
      <w:pPr>
        <w:ind w:left="1800" w:right="1530"/>
        <w:rPr>
          <w:sz w:val="18"/>
          <w:szCs w:val="18"/>
        </w:rPr>
      </w:pPr>
      <w:r w:rsidRPr="004A647F">
        <w:rPr>
          <w:sz w:val="18"/>
          <w:szCs w:val="18"/>
          <w:vertAlign w:val="superscript"/>
        </w:rPr>
        <w:t xml:space="preserve">3 </w:t>
      </w:r>
      <w:r w:rsidRPr="004A647F">
        <w:rPr>
          <w:sz w:val="18"/>
          <w:szCs w:val="18"/>
        </w:rPr>
        <w:t>The break-even dollars are fixed costs/contribution margin</w:t>
      </w:r>
      <w:r w:rsidR="00973C28">
        <w:rPr>
          <w:sz w:val="18"/>
          <w:szCs w:val="18"/>
        </w:rPr>
        <w:t>.</w:t>
      </w:r>
    </w:p>
    <w:p w14:paraId="6B4A7814" w14:textId="03446C59" w:rsidR="00A81DAC" w:rsidRPr="004A647F" w:rsidRDefault="00A81DAC" w:rsidP="004A647F">
      <w:pPr>
        <w:ind w:left="1800" w:right="1530"/>
        <w:rPr>
          <w:sz w:val="18"/>
          <w:szCs w:val="18"/>
        </w:rPr>
      </w:pPr>
      <w:r w:rsidRPr="004A647F">
        <w:rPr>
          <w:sz w:val="18"/>
          <w:szCs w:val="18"/>
          <w:vertAlign w:val="superscript"/>
        </w:rPr>
        <w:t xml:space="preserve">4 </w:t>
      </w:r>
      <w:r w:rsidRPr="004A647F">
        <w:rPr>
          <w:sz w:val="18"/>
          <w:szCs w:val="18"/>
        </w:rPr>
        <w:t>The break-even gallons are fixed costs / weighted average contribution</w:t>
      </w:r>
      <w:r w:rsidR="003C6D1F">
        <w:rPr>
          <w:sz w:val="18"/>
          <w:szCs w:val="18"/>
        </w:rPr>
        <w:t>.</w:t>
      </w:r>
    </w:p>
    <w:p w14:paraId="22ED8AE2" w14:textId="7A0E9F06" w:rsidR="00A81DAC" w:rsidRPr="004A647F" w:rsidRDefault="00A81DAC" w:rsidP="004A647F">
      <w:pPr>
        <w:ind w:left="1800" w:right="1530"/>
        <w:rPr>
          <w:sz w:val="18"/>
          <w:szCs w:val="18"/>
        </w:rPr>
      </w:pPr>
      <w:r w:rsidRPr="004A647F">
        <w:rPr>
          <w:sz w:val="18"/>
          <w:szCs w:val="18"/>
          <w:vertAlign w:val="superscript"/>
        </w:rPr>
        <w:t xml:space="preserve">5 </w:t>
      </w:r>
      <w:r w:rsidRPr="004A647F">
        <w:rPr>
          <w:sz w:val="18"/>
          <w:szCs w:val="18"/>
        </w:rPr>
        <w:t>The market potential</w:t>
      </w:r>
      <w:r w:rsidR="007B7628">
        <w:rPr>
          <w:sz w:val="18"/>
          <w:szCs w:val="18"/>
        </w:rPr>
        <w:t xml:space="preserve"> ma</w:t>
      </w:r>
      <w:r w:rsidR="00C350E9">
        <w:rPr>
          <w:sz w:val="18"/>
          <w:szCs w:val="18"/>
        </w:rPr>
        <w:t>rket potential is given by break even gallons/</w:t>
      </w:r>
      <w:r w:rsidR="005E6B15">
        <w:rPr>
          <w:sz w:val="18"/>
          <w:szCs w:val="18"/>
        </w:rPr>
        <w:t xml:space="preserve">Total market </w:t>
      </w:r>
      <w:r w:rsidR="00215E09">
        <w:rPr>
          <w:sz w:val="18"/>
          <w:szCs w:val="18"/>
        </w:rPr>
        <w:t>potential.</w:t>
      </w:r>
    </w:p>
    <w:p w14:paraId="0DF5BE12" w14:textId="66A6396B" w:rsidR="00A81DAC" w:rsidRPr="004A647F" w:rsidRDefault="00A81DAC" w:rsidP="004A647F">
      <w:pPr>
        <w:ind w:left="1800" w:right="1530"/>
        <w:rPr>
          <w:sz w:val="18"/>
          <w:szCs w:val="18"/>
        </w:rPr>
      </w:pPr>
      <w:r w:rsidRPr="004A647F">
        <w:rPr>
          <w:sz w:val="18"/>
          <w:szCs w:val="18"/>
          <w:vertAlign w:val="superscript"/>
        </w:rPr>
        <w:t xml:space="preserve">6 </w:t>
      </w:r>
      <w:r w:rsidRPr="004A647F">
        <w:rPr>
          <w:sz w:val="18"/>
          <w:szCs w:val="18"/>
        </w:rPr>
        <w:t xml:space="preserve">For estimated market share sales potential </w:t>
      </w:r>
      <w:r w:rsidR="00C034C7">
        <w:rPr>
          <w:sz w:val="18"/>
          <w:szCs w:val="18"/>
        </w:rPr>
        <w:t>is given in case study</w:t>
      </w:r>
      <w:r w:rsidRPr="004A647F">
        <w:rPr>
          <w:sz w:val="18"/>
          <w:szCs w:val="18"/>
        </w:rPr>
        <w:t>.</w:t>
      </w:r>
    </w:p>
    <w:p w14:paraId="27897455" w14:textId="77777777" w:rsidR="00A81DAC" w:rsidRPr="004A647F" w:rsidRDefault="00A81DAC" w:rsidP="004A647F">
      <w:pPr>
        <w:ind w:left="1800" w:right="1530"/>
        <w:rPr>
          <w:sz w:val="18"/>
          <w:szCs w:val="18"/>
        </w:rPr>
      </w:pPr>
      <w:r w:rsidRPr="004A647F">
        <w:rPr>
          <w:sz w:val="18"/>
          <w:szCs w:val="18"/>
        </w:rPr>
        <w:br w:type="page"/>
      </w:r>
    </w:p>
    <w:p w14:paraId="33385EFD" w14:textId="47F08DC5" w:rsidR="00011E9A" w:rsidRDefault="00011E9A" w:rsidP="00FE2C74">
      <w:pPr>
        <w:jc w:val="center"/>
      </w:pPr>
      <w:r>
        <w:lastRenderedPageBreak/>
        <w:t xml:space="preserve">Table </w:t>
      </w:r>
      <w:r w:rsidR="000A7E3F">
        <w:t>9</w:t>
      </w:r>
      <w:r w:rsidR="00FE2C74">
        <w:t xml:space="preserve">. </w:t>
      </w:r>
      <w:r>
        <w:t>Summary of Studies</w:t>
      </w:r>
    </w:p>
    <w:p w14:paraId="08B7437D" w14:textId="77777777" w:rsidR="00011E9A" w:rsidRDefault="00011E9A" w:rsidP="000227F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3240"/>
        <w:gridCol w:w="3600"/>
      </w:tblGrid>
      <w:tr w:rsidR="0089200E" w:rsidRPr="00570BE3" w14:paraId="0EE95477" w14:textId="77777777" w:rsidTr="00C44E4C">
        <w:trPr>
          <w:trHeight w:val="552"/>
          <w:jc w:val="center"/>
        </w:trPr>
        <w:tc>
          <w:tcPr>
            <w:tcW w:w="2700" w:type="dxa"/>
            <w:shd w:val="clear" w:color="auto" w:fill="F2F2F2" w:themeFill="background1" w:themeFillShade="F2"/>
            <w:vAlign w:val="bottom"/>
          </w:tcPr>
          <w:p w14:paraId="14A0D512" w14:textId="77777777" w:rsidR="0089200E" w:rsidRPr="00570BE3" w:rsidRDefault="0089200E" w:rsidP="000227F6"/>
        </w:tc>
        <w:tc>
          <w:tcPr>
            <w:tcW w:w="3240" w:type="dxa"/>
            <w:tcBorders>
              <w:right w:val="single" w:sz="4" w:space="0" w:color="auto"/>
            </w:tcBorders>
            <w:shd w:val="clear" w:color="auto" w:fill="1F4E79" w:themeFill="accent1" w:themeFillShade="80"/>
            <w:vAlign w:val="center"/>
          </w:tcPr>
          <w:p w14:paraId="791AE01D" w14:textId="17BB39F8" w:rsidR="0089200E" w:rsidRPr="00F472EA" w:rsidRDefault="0089200E" w:rsidP="00C44E4C">
            <w:pPr>
              <w:jc w:val="center"/>
              <w:rPr>
                <w:color w:val="FFFFFF" w:themeColor="background1"/>
              </w:rPr>
            </w:pPr>
            <w:r w:rsidRPr="00F472EA">
              <w:rPr>
                <w:color w:val="FFFFFF" w:themeColor="background1"/>
              </w:rPr>
              <w:t>Study’s Description</w:t>
            </w:r>
          </w:p>
        </w:tc>
        <w:tc>
          <w:tcPr>
            <w:tcW w:w="3600" w:type="dxa"/>
            <w:tcBorders>
              <w:left w:val="single" w:sz="4" w:space="0" w:color="auto"/>
            </w:tcBorders>
            <w:shd w:val="clear" w:color="auto" w:fill="385623" w:themeFill="accent6" w:themeFillShade="80"/>
            <w:vAlign w:val="center"/>
          </w:tcPr>
          <w:p w14:paraId="1714AACE" w14:textId="304B5288" w:rsidR="0089200E" w:rsidRPr="00F472EA" w:rsidRDefault="0089200E" w:rsidP="00C44E4C">
            <w:pPr>
              <w:jc w:val="center"/>
              <w:rPr>
                <w:color w:val="FFFFFF" w:themeColor="background1"/>
              </w:rPr>
            </w:pPr>
            <w:r w:rsidRPr="00F472EA">
              <w:rPr>
                <w:color w:val="FFFFFF" w:themeColor="background1"/>
              </w:rPr>
              <w:t>Use and Limit</w:t>
            </w:r>
            <w:r w:rsidR="00C44E4C">
              <w:rPr>
                <w:color w:val="FFFFFF" w:themeColor="background1"/>
              </w:rPr>
              <w:t>at</w:t>
            </w:r>
            <w:r w:rsidRPr="00F472EA">
              <w:rPr>
                <w:color w:val="FFFFFF" w:themeColor="background1"/>
              </w:rPr>
              <w:t>ions</w:t>
            </w:r>
          </w:p>
        </w:tc>
      </w:tr>
      <w:tr w:rsidR="00A303AA" w14:paraId="5E761655" w14:textId="77777777" w:rsidTr="00F472EA">
        <w:trPr>
          <w:jc w:val="center"/>
        </w:trPr>
        <w:tc>
          <w:tcPr>
            <w:tcW w:w="27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47648E2" w14:textId="52AB01E2" w:rsidR="00A303AA" w:rsidRPr="00B001B9" w:rsidRDefault="00A303AA" w:rsidP="000227F6">
            <w:pPr>
              <w:rPr>
                <w:sz w:val="20"/>
                <w:szCs w:val="18"/>
              </w:rPr>
            </w:pPr>
            <w:r w:rsidRPr="00B001B9">
              <w:rPr>
                <w:sz w:val="20"/>
                <w:szCs w:val="18"/>
              </w:rPr>
              <w:t xml:space="preserve">Study </w:t>
            </w:r>
            <w:proofErr w:type="gramStart"/>
            <w:r w:rsidRPr="00B001B9">
              <w:rPr>
                <w:sz w:val="20"/>
                <w:szCs w:val="18"/>
              </w:rPr>
              <w:t>A</w:t>
            </w:r>
            <w:proofErr w:type="gramEnd"/>
            <w:r w:rsidRPr="00B001B9">
              <w:rPr>
                <w:sz w:val="20"/>
                <w:szCs w:val="18"/>
              </w:rPr>
              <w:t xml:space="preserve"> Annual Beer Consumption</w:t>
            </w:r>
          </w:p>
        </w:tc>
        <w:tc>
          <w:tcPr>
            <w:tcW w:w="32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ACB5F48" w14:textId="77777777" w:rsidR="00AA4010" w:rsidRPr="00B001B9" w:rsidRDefault="00AA4010" w:rsidP="000227F6">
            <w:pPr>
              <w:rPr>
                <w:sz w:val="18"/>
                <w:szCs w:val="18"/>
              </w:rPr>
            </w:pPr>
            <w:r w:rsidRPr="00B001B9">
              <w:rPr>
                <w:sz w:val="18"/>
                <w:szCs w:val="18"/>
              </w:rPr>
              <w:t>National and Delaware Per Capita Beer Consumption for 1998-2002.</w:t>
            </w:r>
          </w:p>
          <w:p w14:paraId="24AC37BC" w14:textId="584043B2" w:rsidR="00AA4010" w:rsidRPr="00B001B9" w:rsidRDefault="00AA4010" w:rsidP="000227F6">
            <w:pPr>
              <w:rPr>
                <w:sz w:val="18"/>
                <w:szCs w:val="18"/>
              </w:rPr>
            </w:pPr>
            <w:r w:rsidRPr="00B001B9">
              <w:rPr>
                <w:rFonts w:ascii="*Times New Roman-BoldItalic-674" w:hAnsi="*Times New Roman-BoldItalic-674" w:cs="*Times New Roman-BoldItalic-674"/>
                <w:b/>
                <w:bCs/>
                <w:i/>
                <w:iCs/>
                <w:sz w:val="18"/>
                <w:szCs w:val="18"/>
              </w:rPr>
              <w:t xml:space="preserve">Description: </w:t>
            </w:r>
            <w:r w:rsidRPr="00B001B9">
              <w:rPr>
                <w:sz w:val="18"/>
                <w:szCs w:val="18"/>
              </w:rPr>
              <w:t>Per capita annual consumption of beer for the total population and</w:t>
            </w:r>
            <w:r w:rsidR="00F70C90" w:rsidRPr="00B001B9">
              <w:rPr>
                <w:sz w:val="18"/>
                <w:szCs w:val="18"/>
              </w:rPr>
              <w:t xml:space="preserve"> </w:t>
            </w:r>
            <w:r w:rsidRPr="00B001B9">
              <w:rPr>
                <w:sz w:val="18"/>
                <w:szCs w:val="18"/>
              </w:rPr>
              <w:t>population age 21 and over in gallons is provided.</w:t>
            </w:r>
          </w:p>
          <w:p w14:paraId="7DE2E14A" w14:textId="77777777" w:rsidR="00AA4010" w:rsidRPr="00B001B9" w:rsidRDefault="00AA4010" w:rsidP="000227F6">
            <w:pPr>
              <w:rPr>
                <w:sz w:val="18"/>
                <w:szCs w:val="18"/>
              </w:rPr>
            </w:pPr>
            <w:r w:rsidRPr="00B001B9">
              <w:rPr>
                <w:rFonts w:ascii="*Times New Roman-BoldItalic-674" w:hAnsi="*Times New Roman-BoldItalic-674" w:cs="*Times New Roman-BoldItalic-674"/>
                <w:b/>
                <w:bCs/>
                <w:i/>
                <w:iCs/>
                <w:sz w:val="18"/>
                <w:szCs w:val="18"/>
              </w:rPr>
              <w:t xml:space="preserve">Source: </w:t>
            </w:r>
            <w:r w:rsidRPr="00B001B9">
              <w:rPr>
                <w:sz w:val="18"/>
                <w:szCs w:val="18"/>
              </w:rPr>
              <w:t>Various publications, Manson computer model</w:t>
            </w:r>
          </w:p>
          <w:p w14:paraId="38D6C45E" w14:textId="03E9C45B" w:rsidR="00A303AA" w:rsidRPr="00B001B9" w:rsidRDefault="00AA4010" w:rsidP="000227F6">
            <w:pPr>
              <w:rPr>
                <w:sz w:val="18"/>
                <w:szCs w:val="18"/>
              </w:rPr>
            </w:pPr>
            <w:r w:rsidRPr="00B001B9">
              <w:rPr>
                <w:b/>
                <w:bCs/>
                <w:i/>
                <w:iCs/>
                <w:sz w:val="18"/>
                <w:szCs w:val="18"/>
              </w:rPr>
              <w:t xml:space="preserve">Cost: </w:t>
            </w:r>
            <w:r w:rsidRPr="00B001B9">
              <w:rPr>
                <w:rFonts w:ascii="*Courier-6742-Identity-H" w:hAnsi="*Courier-6742-Identity-H" w:cs="*Courier-6742-Identity-H"/>
                <w:sz w:val="18"/>
                <w:szCs w:val="18"/>
              </w:rPr>
              <w:t>$1,000</w:t>
            </w:r>
          </w:p>
        </w:tc>
        <w:tc>
          <w:tcPr>
            <w:tcW w:w="3600"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23821D1" w14:textId="115BF126" w:rsidR="00A303AA" w:rsidRPr="00B001B9" w:rsidRDefault="00C27D06" w:rsidP="000227F6">
            <w:pPr>
              <w:rPr>
                <w:sz w:val="18"/>
                <w:szCs w:val="18"/>
              </w:rPr>
            </w:pPr>
            <w:r w:rsidRPr="00C27D06">
              <w:rPr>
                <w:sz w:val="18"/>
                <w:szCs w:val="18"/>
              </w:rPr>
              <w:t>The study used to estimate market and sales potentials did not identify sources of data or the accuracy of computer models used for projections. Nonetheless, the study provides helpful information on per capita beer consumption for total population and those over 21 years in gallons for 1998-2002. This data, along with other sources, can aid in developing a better understanding of the beer market potential in Delaware. Limitations of the study include insufficient information on data sources and potential inaccuracies in computer models used for projections.</w:t>
            </w:r>
          </w:p>
        </w:tc>
      </w:tr>
      <w:tr w:rsidR="00A303AA" w14:paraId="45265DD0" w14:textId="77777777" w:rsidTr="00F472EA">
        <w:trPr>
          <w:jc w:val="center"/>
        </w:trPr>
        <w:tc>
          <w:tcPr>
            <w:tcW w:w="27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4398B0" w14:textId="225A43F1" w:rsidR="00A303AA" w:rsidRPr="00B001B9" w:rsidRDefault="00886A6A" w:rsidP="000227F6">
            <w:pPr>
              <w:rPr>
                <w:sz w:val="20"/>
                <w:szCs w:val="18"/>
              </w:rPr>
            </w:pPr>
            <w:r w:rsidRPr="00B001B9">
              <w:rPr>
                <w:sz w:val="20"/>
                <w:szCs w:val="18"/>
              </w:rPr>
              <w:t>Study B</w:t>
            </w:r>
            <w:r w:rsidR="00683EEC" w:rsidRPr="00B001B9">
              <w:rPr>
                <w:sz w:val="20"/>
                <w:szCs w:val="18"/>
              </w:rPr>
              <w:t xml:space="preserve"> Population Estimate</w:t>
            </w:r>
          </w:p>
        </w:tc>
        <w:tc>
          <w:tcPr>
            <w:tcW w:w="32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4F2F58D" w14:textId="77777777" w:rsidR="00683EEC" w:rsidRPr="00B001B9" w:rsidRDefault="00683EEC" w:rsidP="000227F6">
            <w:pPr>
              <w:rPr>
                <w:sz w:val="18"/>
                <w:szCs w:val="18"/>
              </w:rPr>
            </w:pPr>
            <w:r w:rsidRPr="00B001B9">
              <w:rPr>
                <w:sz w:val="18"/>
                <w:szCs w:val="18"/>
              </w:rPr>
              <w:t>Population Estimates for 1996--2006 for Two Delaware Counties in Market Area.</w:t>
            </w:r>
          </w:p>
          <w:p w14:paraId="77C2D2C6" w14:textId="77777777" w:rsidR="00683EEC" w:rsidRPr="00B001B9" w:rsidRDefault="00683EEC" w:rsidP="000227F6">
            <w:pPr>
              <w:rPr>
                <w:sz w:val="18"/>
                <w:szCs w:val="18"/>
              </w:rPr>
            </w:pPr>
            <w:r w:rsidRPr="00B001B9">
              <w:rPr>
                <w:rFonts w:ascii="*Times New Roman-BoldItalic-674" w:hAnsi="*Times New Roman-BoldItalic-674" w:cs="*Times New Roman-BoldItalic-674"/>
                <w:b/>
                <w:bCs/>
                <w:i/>
                <w:iCs/>
                <w:sz w:val="18"/>
                <w:szCs w:val="18"/>
              </w:rPr>
              <w:t xml:space="preserve">Description: </w:t>
            </w:r>
            <w:r w:rsidRPr="00B001B9">
              <w:rPr>
                <w:sz w:val="18"/>
                <w:szCs w:val="18"/>
              </w:rPr>
              <w:t>Annual estimates of total population and population age 21</w:t>
            </w:r>
          </w:p>
          <w:p w14:paraId="081CEABF" w14:textId="77777777" w:rsidR="00683EEC" w:rsidRPr="00B001B9" w:rsidRDefault="00683EEC" w:rsidP="000227F6">
            <w:pPr>
              <w:rPr>
                <w:sz w:val="18"/>
                <w:szCs w:val="18"/>
              </w:rPr>
            </w:pPr>
            <w:r w:rsidRPr="00B001B9">
              <w:rPr>
                <w:sz w:val="18"/>
                <w:szCs w:val="18"/>
              </w:rPr>
              <w:t>and over are provided for the period 1996-2006.</w:t>
            </w:r>
          </w:p>
          <w:p w14:paraId="58665BC1" w14:textId="77777777" w:rsidR="00683EEC" w:rsidRPr="00B001B9" w:rsidRDefault="00683EEC" w:rsidP="000227F6">
            <w:pPr>
              <w:rPr>
                <w:sz w:val="18"/>
                <w:szCs w:val="18"/>
              </w:rPr>
            </w:pPr>
            <w:r w:rsidRPr="00B001B9">
              <w:rPr>
                <w:sz w:val="18"/>
                <w:szCs w:val="18"/>
              </w:rPr>
              <w:t xml:space="preserve">Source: </w:t>
            </w:r>
            <w:r w:rsidRPr="00B001B9">
              <w:rPr>
                <w:rFonts w:ascii="*Courier-6742-Identity-H" w:hAnsi="*Courier-6742-Identity-H" w:cs="*Courier-6742-Identity-H"/>
                <w:sz w:val="18"/>
                <w:szCs w:val="18"/>
              </w:rPr>
              <w:t xml:space="preserve">U.S. Bureau of Census, </w:t>
            </w:r>
            <w:r w:rsidRPr="00B001B9">
              <w:rPr>
                <w:sz w:val="18"/>
                <w:szCs w:val="18"/>
              </w:rPr>
              <w:t>Sales Management Annual Survey of</w:t>
            </w:r>
          </w:p>
          <w:p w14:paraId="69DAE80F" w14:textId="77777777" w:rsidR="00683EEC" w:rsidRPr="00B001B9" w:rsidRDefault="00683EEC" w:rsidP="000227F6">
            <w:pPr>
              <w:rPr>
                <w:sz w:val="18"/>
                <w:szCs w:val="18"/>
              </w:rPr>
            </w:pPr>
            <w:r w:rsidRPr="00B001B9">
              <w:rPr>
                <w:rFonts w:ascii="*Times New Roman-BoldItalic-674" w:hAnsi="*Times New Roman-BoldItalic-674" w:cs="*Times New Roman-BoldItalic-674"/>
                <w:b/>
                <w:bCs/>
                <w:i/>
                <w:iCs/>
                <w:sz w:val="18"/>
                <w:szCs w:val="18"/>
              </w:rPr>
              <w:t xml:space="preserve">Buying Power, </w:t>
            </w:r>
            <w:r w:rsidRPr="00B001B9">
              <w:rPr>
                <w:sz w:val="18"/>
                <w:szCs w:val="18"/>
              </w:rPr>
              <w:t>Manson computer model</w:t>
            </w:r>
          </w:p>
          <w:p w14:paraId="034581AA" w14:textId="0E056556" w:rsidR="00A303AA" w:rsidRPr="00B001B9" w:rsidRDefault="00683EEC" w:rsidP="000227F6">
            <w:pPr>
              <w:rPr>
                <w:sz w:val="18"/>
                <w:szCs w:val="18"/>
              </w:rPr>
            </w:pPr>
            <w:r w:rsidRPr="00B001B9">
              <w:rPr>
                <w:b/>
                <w:bCs/>
                <w:i/>
                <w:iCs/>
                <w:sz w:val="18"/>
                <w:szCs w:val="18"/>
              </w:rPr>
              <w:t xml:space="preserve">Cost: </w:t>
            </w:r>
            <w:r w:rsidRPr="00B001B9">
              <w:rPr>
                <w:rFonts w:ascii="*Courier-6742-Identity-H" w:hAnsi="*Courier-6742-Identity-H" w:cs="*Courier-6742-Identity-H"/>
                <w:sz w:val="18"/>
                <w:szCs w:val="18"/>
              </w:rPr>
              <w:t>$1,500</w:t>
            </w:r>
          </w:p>
        </w:tc>
        <w:tc>
          <w:tcPr>
            <w:tcW w:w="3600"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C8C15A0" w14:textId="43B9FF45" w:rsidR="00A303AA" w:rsidRPr="00B001B9" w:rsidRDefault="00C27D06" w:rsidP="000227F6">
            <w:pPr>
              <w:rPr>
                <w:sz w:val="18"/>
                <w:szCs w:val="18"/>
              </w:rPr>
            </w:pPr>
            <w:r w:rsidRPr="00C27D06">
              <w:rPr>
                <w:sz w:val="18"/>
                <w:szCs w:val="18"/>
              </w:rPr>
              <w:t>The study offers population estimates for two Delaware counties, useful for gauging market size and sales potential. However, the data sources from the U.S. Bureau of Census and Sales Management Annual Survey of Buying Power may not be reliable, and the computer model projections may not reflect actual population trends. The cost of $1,500 may also limit access to the study.</w:t>
            </w:r>
          </w:p>
        </w:tc>
      </w:tr>
      <w:tr w:rsidR="00A303AA" w14:paraId="448C4673" w14:textId="77777777" w:rsidTr="00F472EA">
        <w:trPr>
          <w:jc w:val="center"/>
        </w:trPr>
        <w:tc>
          <w:tcPr>
            <w:tcW w:w="27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E9D85D" w14:textId="717DCACD" w:rsidR="00A303AA" w:rsidRPr="00B001B9" w:rsidRDefault="00FE2C74" w:rsidP="000227F6">
            <w:pPr>
              <w:rPr>
                <w:sz w:val="20"/>
                <w:szCs w:val="18"/>
              </w:rPr>
            </w:pPr>
            <w:r w:rsidRPr="00B001B9">
              <w:rPr>
                <w:sz w:val="20"/>
                <w:szCs w:val="18"/>
              </w:rPr>
              <w:t>Study C</w:t>
            </w:r>
            <w:r w:rsidR="00BA0C91" w:rsidRPr="00646ED6">
              <w:rPr>
                <w:sz w:val="18"/>
                <w:szCs w:val="18"/>
              </w:rPr>
              <w:t xml:space="preserve"> </w:t>
            </w:r>
            <w:r w:rsidR="00BA0C91" w:rsidRPr="00BA0C91">
              <w:rPr>
                <w:sz w:val="20"/>
                <w:szCs w:val="20"/>
              </w:rPr>
              <w:t>Market Share Estimate</w:t>
            </w:r>
          </w:p>
        </w:tc>
        <w:tc>
          <w:tcPr>
            <w:tcW w:w="32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AC264A2" w14:textId="77777777" w:rsidR="00646ED6" w:rsidRPr="00646ED6" w:rsidRDefault="00646ED6" w:rsidP="00646ED6">
            <w:pPr>
              <w:rPr>
                <w:sz w:val="18"/>
                <w:szCs w:val="18"/>
              </w:rPr>
            </w:pPr>
            <w:r w:rsidRPr="00646ED6">
              <w:rPr>
                <w:sz w:val="18"/>
                <w:szCs w:val="18"/>
              </w:rPr>
              <w:t>Coors Market Share Estimates for 2000—2005.</w:t>
            </w:r>
          </w:p>
          <w:p w14:paraId="5E9B494E" w14:textId="77777777" w:rsidR="00646ED6" w:rsidRPr="00646ED6" w:rsidRDefault="00646ED6" w:rsidP="00646ED6">
            <w:pPr>
              <w:rPr>
                <w:sz w:val="18"/>
                <w:szCs w:val="18"/>
              </w:rPr>
            </w:pPr>
            <w:r w:rsidRPr="00862240">
              <w:rPr>
                <w:b/>
                <w:bCs/>
                <w:i/>
                <w:iCs/>
                <w:sz w:val="18"/>
                <w:szCs w:val="18"/>
              </w:rPr>
              <w:t>Description:</w:t>
            </w:r>
            <w:r w:rsidRPr="00646ED6">
              <w:rPr>
                <w:sz w:val="18"/>
                <w:szCs w:val="18"/>
              </w:rPr>
              <w:t xml:space="preserve"> Coors market share for the two-county market area based on total gallons consumed is estimated for each year in the period 2000—2005.</w:t>
            </w:r>
          </w:p>
          <w:p w14:paraId="065826DB" w14:textId="77777777" w:rsidR="00646ED6" w:rsidRPr="00646ED6" w:rsidRDefault="00646ED6" w:rsidP="00646ED6">
            <w:pPr>
              <w:rPr>
                <w:sz w:val="18"/>
                <w:szCs w:val="18"/>
              </w:rPr>
            </w:pPr>
            <w:r w:rsidRPr="00646ED6">
              <w:rPr>
                <w:sz w:val="18"/>
                <w:szCs w:val="18"/>
              </w:rPr>
              <w:t xml:space="preserve">This data will be projected from Coors' nationwide experience.  </w:t>
            </w:r>
            <w:r w:rsidRPr="00646ED6">
              <w:rPr>
                <w:sz w:val="18"/>
                <w:szCs w:val="18"/>
              </w:rPr>
              <w:tab/>
              <w:t xml:space="preserve">  </w:t>
            </w:r>
          </w:p>
          <w:p w14:paraId="24016212" w14:textId="77777777" w:rsidR="00862240" w:rsidRDefault="00646ED6" w:rsidP="00646ED6">
            <w:pPr>
              <w:rPr>
                <w:sz w:val="18"/>
                <w:szCs w:val="18"/>
              </w:rPr>
            </w:pPr>
            <w:r w:rsidRPr="00862240">
              <w:rPr>
                <w:b/>
                <w:bCs/>
                <w:i/>
                <w:iCs/>
                <w:sz w:val="18"/>
                <w:szCs w:val="18"/>
              </w:rPr>
              <w:t>Source:</w:t>
            </w:r>
            <w:r w:rsidRPr="00646ED6">
              <w:rPr>
                <w:sz w:val="18"/>
                <w:szCs w:val="18"/>
              </w:rPr>
              <w:t xml:space="preserve"> Various publications. Manson computer model </w:t>
            </w:r>
          </w:p>
          <w:p w14:paraId="051E65E5" w14:textId="233E3198" w:rsidR="00A303AA" w:rsidRPr="00B001B9" w:rsidRDefault="00646ED6" w:rsidP="00646ED6">
            <w:pPr>
              <w:rPr>
                <w:sz w:val="18"/>
                <w:szCs w:val="18"/>
              </w:rPr>
            </w:pPr>
            <w:r w:rsidRPr="00862240">
              <w:rPr>
                <w:b/>
                <w:bCs/>
                <w:i/>
                <w:iCs/>
                <w:sz w:val="18"/>
                <w:szCs w:val="18"/>
              </w:rPr>
              <w:t>Cost:</w:t>
            </w:r>
            <w:r w:rsidRPr="00646ED6">
              <w:rPr>
                <w:sz w:val="18"/>
                <w:szCs w:val="18"/>
              </w:rPr>
              <w:t xml:space="preserve"> $2,000</w:t>
            </w:r>
          </w:p>
        </w:tc>
        <w:tc>
          <w:tcPr>
            <w:tcW w:w="3600"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A37AA46" w14:textId="530642CC" w:rsidR="00A303AA" w:rsidRPr="00B001B9" w:rsidRDefault="00C27D06" w:rsidP="000227F6">
            <w:pPr>
              <w:rPr>
                <w:sz w:val="18"/>
                <w:szCs w:val="18"/>
              </w:rPr>
            </w:pPr>
            <w:r w:rsidRPr="00C27D06">
              <w:rPr>
                <w:sz w:val="18"/>
                <w:szCs w:val="18"/>
              </w:rPr>
              <w:t>The objective is to estimate Coors' market share in the two-county market area by using nationwide projections of total gallons consumed from 2000 to 2005. The accuracy of these estimates is dependent on the reliability and validity of the sources used and the Manson computer model. However, this method may not consider local factors that could affect Coors' market share.</w:t>
            </w:r>
          </w:p>
        </w:tc>
      </w:tr>
      <w:tr w:rsidR="00A303AA" w14:paraId="5B739EF0" w14:textId="77777777" w:rsidTr="00F472EA">
        <w:trPr>
          <w:jc w:val="center"/>
        </w:trPr>
        <w:tc>
          <w:tcPr>
            <w:tcW w:w="27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778FE7" w14:textId="24A88758" w:rsidR="00A303AA" w:rsidRPr="00B001B9" w:rsidRDefault="00FE2C74" w:rsidP="000227F6">
            <w:pPr>
              <w:rPr>
                <w:sz w:val="20"/>
                <w:szCs w:val="18"/>
              </w:rPr>
            </w:pPr>
            <w:r w:rsidRPr="00B001B9">
              <w:rPr>
                <w:sz w:val="20"/>
                <w:szCs w:val="18"/>
              </w:rPr>
              <w:t>Study D</w:t>
            </w:r>
            <w:r w:rsidR="009458BB">
              <w:rPr>
                <w:sz w:val="20"/>
                <w:szCs w:val="18"/>
              </w:rPr>
              <w:t xml:space="preserve"> </w:t>
            </w:r>
            <w:r w:rsidR="009458BB" w:rsidRPr="009458BB">
              <w:rPr>
                <w:sz w:val="20"/>
                <w:szCs w:val="20"/>
              </w:rPr>
              <w:t>Liquor and Beer Licenses Estimates</w:t>
            </w:r>
          </w:p>
        </w:tc>
        <w:tc>
          <w:tcPr>
            <w:tcW w:w="32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CEA4376" w14:textId="77777777" w:rsidR="009458BB" w:rsidRPr="009458BB" w:rsidRDefault="009458BB" w:rsidP="009458BB">
            <w:pPr>
              <w:rPr>
                <w:sz w:val="18"/>
                <w:szCs w:val="18"/>
              </w:rPr>
            </w:pPr>
            <w:r w:rsidRPr="009458BB">
              <w:rPr>
                <w:sz w:val="18"/>
                <w:szCs w:val="18"/>
              </w:rPr>
              <w:t>Estimates Liquor and Beer Licenses for the Market Area, 2000—2005.</w:t>
            </w:r>
          </w:p>
          <w:p w14:paraId="222AE4CE" w14:textId="471D3D8C" w:rsidR="009458BB" w:rsidRPr="009458BB" w:rsidRDefault="009458BB" w:rsidP="009458BB">
            <w:pPr>
              <w:rPr>
                <w:sz w:val="18"/>
                <w:szCs w:val="18"/>
              </w:rPr>
            </w:pPr>
            <w:r w:rsidRPr="009458BB">
              <w:rPr>
                <w:b/>
                <w:bCs/>
                <w:i/>
                <w:iCs/>
                <w:sz w:val="18"/>
                <w:szCs w:val="18"/>
              </w:rPr>
              <w:t>Description</w:t>
            </w:r>
            <w:r w:rsidRPr="009458BB">
              <w:rPr>
                <w:i/>
                <w:iCs/>
                <w:sz w:val="18"/>
                <w:szCs w:val="18"/>
              </w:rPr>
              <w:t>:</w:t>
            </w:r>
            <w:r w:rsidRPr="009458BB">
              <w:rPr>
                <w:sz w:val="18"/>
                <w:szCs w:val="18"/>
              </w:rPr>
              <w:t xml:space="preserve"> Projections of the number of on-premises sale operations and off-</w:t>
            </w:r>
            <w:proofErr w:type="gramStart"/>
            <w:r w:rsidRPr="009458BB">
              <w:rPr>
                <w:sz w:val="18"/>
                <w:szCs w:val="18"/>
              </w:rPr>
              <w:t>premise</w:t>
            </w:r>
            <w:proofErr w:type="gramEnd"/>
            <w:r w:rsidRPr="009458BB">
              <w:rPr>
                <w:sz w:val="18"/>
                <w:szCs w:val="18"/>
              </w:rPr>
              <w:t xml:space="preserve"> sale operations is provided.   </w:t>
            </w:r>
          </w:p>
          <w:p w14:paraId="4168B72C" w14:textId="77777777" w:rsidR="009458BB" w:rsidRDefault="009458BB" w:rsidP="009458BB">
            <w:pPr>
              <w:rPr>
                <w:sz w:val="18"/>
                <w:szCs w:val="18"/>
              </w:rPr>
            </w:pPr>
            <w:r w:rsidRPr="009458BB">
              <w:rPr>
                <w:b/>
                <w:bCs/>
                <w:i/>
                <w:iCs/>
                <w:sz w:val="18"/>
                <w:szCs w:val="18"/>
              </w:rPr>
              <w:t>Source:</w:t>
            </w:r>
            <w:r w:rsidRPr="009458BB">
              <w:rPr>
                <w:sz w:val="18"/>
                <w:szCs w:val="18"/>
              </w:rPr>
              <w:t xml:space="preserve"> Delaware Department of Revenue, Manson computer model</w:t>
            </w:r>
            <w:r>
              <w:rPr>
                <w:sz w:val="18"/>
                <w:szCs w:val="18"/>
              </w:rPr>
              <w:t>.</w:t>
            </w:r>
            <w:r w:rsidRPr="009458BB">
              <w:rPr>
                <w:sz w:val="18"/>
                <w:szCs w:val="18"/>
              </w:rPr>
              <w:t xml:space="preserve"> </w:t>
            </w:r>
          </w:p>
          <w:p w14:paraId="09D880DD" w14:textId="0162ABE2" w:rsidR="00A303AA" w:rsidRPr="00B001B9" w:rsidRDefault="009458BB" w:rsidP="009458BB">
            <w:pPr>
              <w:rPr>
                <w:sz w:val="18"/>
                <w:szCs w:val="18"/>
              </w:rPr>
            </w:pPr>
            <w:r w:rsidRPr="009458BB">
              <w:rPr>
                <w:b/>
                <w:bCs/>
                <w:i/>
                <w:iCs/>
                <w:sz w:val="18"/>
                <w:szCs w:val="18"/>
              </w:rPr>
              <w:t>Cost:</w:t>
            </w:r>
            <w:r w:rsidRPr="009458BB">
              <w:rPr>
                <w:sz w:val="18"/>
                <w:szCs w:val="18"/>
              </w:rPr>
              <w:t xml:space="preserve"> $1,000</w:t>
            </w:r>
          </w:p>
        </w:tc>
        <w:tc>
          <w:tcPr>
            <w:tcW w:w="3600"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1D45FFF" w14:textId="10C1FE18" w:rsidR="00A303AA" w:rsidRPr="00B001B9" w:rsidRDefault="00C27D06" w:rsidP="000227F6">
            <w:pPr>
              <w:rPr>
                <w:sz w:val="18"/>
                <w:szCs w:val="18"/>
              </w:rPr>
            </w:pPr>
            <w:r w:rsidRPr="00C27D06">
              <w:rPr>
                <w:sz w:val="18"/>
                <w:szCs w:val="18"/>
              </w:rPr>
              <w:t>The study offers insights into the number of on-premises and off-premises liquor and beer licenses in the market area, which can aid in estimating market share and potential sales. The accuracy of the projections is subject to the quality of the data obtained from the Delaware Department of Revenue and the assumptions made by the Manson computer model.</w:t>
            </w:r>
          </w:p>
        </w:tc>
      </w:tr>
      <w:tr w:rsidR="00A303AA" w14:paraId="5C6C427F" w14:textId="77777777" w:rsidTr="00F472EA">
        <w:trPr>
          <w:jc w:val="center"/>
        </w:trPr>
        <w:tc>
          <w:tcPr>
            <w:tcW w:w="27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3B8A47" w14:textId="7EA2021A" w:rsidR="0004091F" w:rsidRDefault="00FE2C74" w:rsidP="0004091F">
            <w:pPr>
              <w:spacing w:line="237" w:lineRule="auto"/>
              <w:ind w:left="5" w:right="62" w:firstLine="10"/>
              <w:jc w:val="both"/>
              <w:rPr>
                <w:sz w:val="20"/>
              </w:rPr>
            </w:pPr>
            <w:r w:rsidRPr="00B001B9">
              <w:rPr>
                <w:sz w:val="20"/>
                <w:szCs w:val="18"/>
              </w:rPr>
              <w:t>Study E</w:t>
            </w:r>
            <w:r w:rsidR="0004091F">
              <w:rPr>
                <w:sz w:val="20"/>
              </w:rPr>
              <w:t xml:space="preserve"> Beer Taxes Paid by Delaware Wholesalers for 1997 and 1998 in Market Area.</w:t>
            </w:r>
          </w:p>
          <w:p w14:paraId="7DA54D34" w14:textId="4D34D37B" w:rsidR="00A303AA" w:rsidRPr="00B001B9" w:rsidRDefault="00A303AA" w:rsidP="000227F6">
            <w:pPr>
              <w:rPr>
                <w:sz w:val="20"/>
                <w:szCs w:val="18"/>
              </w:rPr>
            </w:pPr>
          </w:p>
        </w:tc>
        <w:tc>
          <w:tcPr>
            <w:tcW w:w="32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2D061DA" w14:textId="77777777" w:rsidR="00C6267F" w:rsidRPr="00714FC0" w:rsidRDefault="00C6267F" w:rsidP="00714FC0">
            <w:pPr>
              <w:spacing w:line="237" w:lineRule="auto"/>
              <w:ind w:left="5" w:right="62" w:firstLine="10"/>
              <w:rPr>
                <w:sz w:val="18"/>
                <w:szCs w:val="18"/>
              </w:rPr>
            </w:pPr>
            <w:r w:rsidRPr="00714FC0">
              <w:rPr>
                <w:sz w:val="18"/>
                <w:szCs w:val="18"/>
              </w:rPr>
              <w:t>Beer Taxes Paid by Delaware Wholesalers for 1997 and 1998 in Market Area.</w:t>
            </w:r>
          </w:p>
          <w:p w14:paraId="68DCB32E" w14:textId="4F46B43F" w:rsidR="00C6267F" w:rsidRPr="00714FC0" w:rsidRDefault="00C6267F" w:rsidP="00714FC0">
            <w:pPr>
              <w:spacing w:line="237" w:lineRule="auto"/>
              <w:ind w:left="5" w:right="62"/>
              <w:rPr>
                <w:rFonts w:cs="Times New Roman"/>
                <w:sz w:val="18"/>
                <w:szCs w:val="18"/>
              </w:rPr>
            </w:pPr>
            <w:r w:rsidRPr="00714FC0">
              <w:rPr>
                <w:b/>
                <w:bCs/>
                <w:i/>
                <w:iCs/>
                <w:sz w:val="18"/>
                <w:szCs w:val="18"/>
              </w:rPr>
              <w:t>Description:</w:t>
            </w:r>
            <w:r w:rsidRPr="00714FC0">
              <w:rPr>
                <w:sz w:val="18"/>
                <w:szCs w:val="18"/>
              </w:rPr>
              <w:t xml:space="preserve"> Beer taxes paid by each of the six presently operating competing beer wholesalers are provided. This can be converted to gallons</w:t>
            </w:r>
            <w:r w:rsidRPr="00714FC0">
              <w:rPr>
                <w:noProof/>
                <w:sz w:val="18"/>
                <w:szCs w:val="18"/>
              </w:rPr>
              <w:drawing>
                <wp:inline distT="0" distB="0" distL="0" distR="0" wp14:anchorId="14B220DC" wp14:editId="332836A1">
                  <wp:extent cx="9525" cy="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14FC0">
              <w:rPr>
                <w:noProof/>
                <w:sz w:val="18"/>
                <w:szCs w:val="18"/>
              </w:rPr>
              <w:drawing>
                <wp:inline distT="0" distB="0" distL="0" distR="0" wp14:anchorId="10A3500C" wp14:editId="3597020B">
                  <wp:extent cx="9525" cy="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14FC0">
              <w:rPr>
                <w:sz w:val="18"/>
                <w:szCs w:val="18"/>
              </w:rPr>
              <w:t xml:space="preserve"> sold by applying the state gallonage tax rate ($.06 per gallon).</w:t>
            </w:r>
          </w:p>
          <w:p w14:paraId="5F7B1BC5" w14:textId="77777777" w:rsidR="00C6267F" w:rsidRPr="00714FC0" w:rsidRDefault="00C6267F" w:rsidP="00714FC0">
            <w:pPr>
              <w:rPr>
                <w:sz w:val="18"/>
                <w:szCs w:val="18"/>
              </w:rPr>
            </w:pPr>
            <w:r w:rsidRPr="00714FC0">
              <w:rPr>
                <w:b/>
                <w:bCs/>
                <w:i/>
                <w:iCs/>
                <w:sz w:val="18"/>
                <w:szCs w:val="18"/>
              </w:rPr>
              <w:t>Source:</w:t>
            </w:r>
            <w:r w:rsidRPr="00714FC0">
              <w:rPr>
                <w:sz w:val="18"/>
                <w:szCs w:val="18"/>
              </w:rPr>
              <w:t xml:space="preserve"> Delaware Department of Revenue </w:t>
            </w:r>
            <w:r w:rsidRPr="00714FC0">
              <w:rPr>
                <w:noProof/>
                <w:sz w:val="18"/>
                <w:szCs w:val="18"/>
              </w:rPr>
              <w:drawing>
                <wp:inline distT="0" distB="0" distL="0" distR="0" wp14:anchorId="644291B5" wp14:editId="00C97BF6">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98FB2EF" w14:textId="15E724CA" w:rsidR="00A303AA" w:rsidRPr="00B001B9" w:rsidRDefault="00C6267F" w:rsidP="00714FC0">
            <w:pPr>
              <w:rPr>
                <w:sz w:val="18"/>
                <w:szCs w:val="18"/>
              </w:rPr>
            </w:pPr>
            <w:r w:rsidRPr="00714FC0">
              <w:rPr>
                <w:b/>
                <w:bCs/>
                <w:i/>
                <w:iCs/>
                <w:sz w:val="18"/>
                <w:szCs w:val="18"/>
              </w:rPr>
              <w:t>Cost:</w:t>
            </w:r>
            <w:r w:rsidRPr="00714FC0">
              <w:rPr>
                <w:sz w:val="18"/>
                <w:szCs w:val="18"/>
              </w:rPr>
              <w:t xml:space="preserve"> $200</w:t>
            </w:r>
          </w:p>
        </w:tc>
        <w:tc>
          <w:tcPr>
            <w:tcW w:w="3600"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8D05C28" w14:textId="7CA0DC75" w:rsidR="00A303AA" w:rsidRPr="00B001B9" w:rsidRDefault="00C27D06" w:rsidP="000227F6">
            <w:pPr>
              <w:rPr>
                <w:sz w:val="18"/>
                <w:szCs w:val="18"/>
              </w:rPr>
            </w:pPr>
            <w:r w:rsidRPr="00C27D06">
              <w:rPr>
                <w:sz w:val="18"/>
                <w:szCs w:val="18"/>
              </w:rPr>
              <w:t>The provided data allows for the estimation of sales volume for each beer wholesaler in the market area by utilizing the tax paid and the state gallonage tax rate. However, the data is limited to a two-year period and is only representative of taxes paid by six competing beer wholesalers, potentially not encompassing the entire market.</w:t>
            </w:r>
          </w:p>
        </w:tc>
      </w:tr>
      <w:tr w:rsidR="00A303AA" w14:paraId="21E5511C" w14:textId="77777777" w:rsidTr="00F472EA">
        <w:trPr>
          <w:jc w:val="center"/>
        </w:trPr>
        <w:tc>
          <w:tcPr>
            <w:tcW w:w="27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3FE56B" w14:textId="37DD0B3F" w:rsidR="00A303AA" w:rsidRPr="00B001B9" w:rsidRDefault="00FE2C74" w:rsidP="000227F6">
            <w:pPr>
              <w:rPr>
                <w:sz w:val="20"/>
                <w:szCs w:val="18"/>
              </w:rPr>
            </w:pPr>
            <w:r w:rsidRPr="00B001B9">
              <w:rPr>
                <w:sz w:val="20"/>
                <w:szCs w:val="18"/>
              </w:rPr>
              <w:lastRenderedPageBreak/>
              <w:t>Study F</w:t>
            </w:r>
            <w:r w:rsidR="0004091F">
              <w:rPr>
                <w:sz w:val="20"/>
                <w:szCs w:val="18"/>
              </w:rPr>
              <w:t xml:space="preserve"> </w:t>
            </w:r>
            <w:r w:rsidR="0004091F" w:rsidRPr="0004091F">
              <w:rPr>
                <w:sz w:val="20"/>
                <w:szCs w:val="20"/>
              </w:rPr>
              <w:t>Financial Statement Summary of Wine, Liquor, and Beer Wholesalers for 1999</w:t>
            </w:r>
          </w:p>
        </w:tc>
        <w:tc>
          <w:tcPr>
            <w:tcW w:w="32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D9CEB5F" w14:textId="77777777" w:rsidR="00153B47" w:rsidRPr="00153B47" w:rsidRDefault="00153B47" w:rsidP="00C71879">
            <w:pPr>
              <w:jc w:val="both"/>
              <w:rPr>
                <w:sz w:val="18"/>
                <w:szCs w:val="18"/>
              </w:rPr>
            </w:pPr>
            <w:r w:rsidRPr="00153B47">
              <w:rPr>
                <w:sz w:val="18"/>
                <w:szCs w:val="18"/>
              </w:rPr>
              <w:t xml:space="preserve">Financial Statement Summary of Wine, Liquor, and Beer Wholesalers for 1999. </w:t>
            </w:r>
            <w:r w:rsidRPr="00096AFF">
              <w:rPr>
                <w:b/>
                <w:bCs/>
                <w:i/>
                <w:iCs/>
                <w:sz w:val="18"/>
                <w:szCs w:val="18"/>
              </w:rPr>
              <w:t>Description</w:t>
            </w:r>
            <w:r w:rsidRPr="00153B47">
              <w:rPr>
                <w:sz w:val="18"/>
                <w:szCs w:val="18"/>
              </w:rPr>
              <w:t>: Composite balance sheets, income statements, and relevant measures of performance provided for 510 similar wholesaling operations in the United States.</w:t>
            </w:r>
          </w:p>
          <w:p w14:paraId="2F13BE49" w14:textId="77777777" w:rsidR="00C71879" w:rsidRDefault="00153B47" w:rsidP="00C71879">
            <w:pPr>
              <w:jc w:val="both"/>
              <w:rPr>
                <w:sz w:val="18"/>
                <w:szCs w:val="18"/>
              </w:rPr>
            </w:pPr>
            <w:r w:rsidRPr="00096AFF">
              <w:rPr>
                <w:b/>
                <w:bCs/>
                <w:i/>
                <w:iCs/>
                <w:sz w:val="18"/>
                <w:szCs w:val="18"/>
              </w:rPr>
              <w:t>Source:</w:t>
            </w:r>
            <w:r w:rsidRPr="00153B47">
              <w:rPr>
                <w:sz w:val="18"/>
                <w:szCs w:val="18"/>
              </w:rPr>
              <w:t xml:space="preserve"> Robert Morris Associates Annual Statement Studies, 2000 ed </w:t>
            </w:r>
            <w:r w:rsidR="00096AFF" w:rsidRPr="00153B47">
              <w:rPr>
                <w:sz w:val="18"/>
                <w:szCs w:val="18"/>
              </w:rPr>
              <w:tab/>
              <w:t xml:space="preserve"> </w:t>
            </w:r>
          </w:p>
          <w:p w14:paraId="6E510732" w14:textId="023E6776" w:rsidR="00A303AA" w:rsidRPr="00B001B9" w:rsidRDefault="00153B47" w:rsidP="00C71879">
            <w:pPr>
              <w:jc w:val="both"/>
              <w:rPr>
                <w:sz w:val="18"/>
                <w:szCs w:val="18"/>
              </w:rPr>
            </w:pPr>
            <w:r w:rsidRPr="00096AFF">
              <w:rPr>
                <w:b/>
                <w:bCs/>
                <w:i/>
                <w:iCs/>
                <w:sz w:val="18"/>
                <w:szCs w:val="18"/>
              </w:rPr>
              <w:t>Cost:</w:t>
            </w:r>
            <w:r w:rsidRPr="00153B47">
              <w:rPr>
                <w:sz w:val="18"/>
                <w:szCs w:val="18"/>
              </w:rPr>
              <w:t xml:space="preserve"> $49.50</w:t>
            </w:r>
          </w:p>
        </w:tc>
        <w:tc>
          <w:tcPr>
            <w:tcW w:w="3600"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58DF463" w14:textId="56873674" w:rsidR="00A303AA" w:rsidRPr="00B001B9" w:rsidRDefault="00C27D06" w:rsidP="000227F6">
            <w:pPr>
              <w:rPr>
                <w:sz w:val="18"/>
                <w:szCs w:val="18"/>
              </w:rPr>
            </w:pPr>
            <w:r w:rsidRPr="00C27D06">
              <w:rPr>
                <w:sz w:val="18"/>
                <w:szCs w:val="18"/>
              </w:rPr>
              <w:t>This study offers a financial overview of wine, liquor, and beer wholesalers in the United States, serving as a benchmark for comparing and assessing the financial performance of similar businesses. However, the data is based on a composite of 510 operations, and therefore may not accurately represent the financial situation of individual wholesalers.</w:t>
            </w:r>
          </w:p>
        </w:tc>
      </w:tr>
      <w:tr w:rsidR="00D76528" w14:paraId="352C7B22" w14:textId="77777777" w:rsidTr="00F472EA">
        <w:trPr>
          <w:jc w:val="center"/>
        </w:trPr>
        <w:tc>
          <w:tcPr>
            <w:tcW w:w="27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B7D88D" w14:textId="77777777" w:rsidR="0004091F" w:rsidRPr="00350AB9" w:rsidRDefault="00D76528" w:rsidP="0004091F">
            <w:pPr>
              <w:rPr>
                <w:sz w:val="18"/>
                <w:szCs w:val="18"/>
              </w:rPr>
            </w:pPr>
            <w:r w:rsidRPr="00B001B9">
              <w:rPr>
                <w:sz w:val="20"/>
                <w:szCs w:val="18"/>
              </w:rPr>
              <w:t>Study G</w:t>
            </w:r>
            <w:r w:rsidR="0004091F">
              <w:rPr>
                <w:sz w:val="20"/>
                <w:szCs w:val="18"/>
              </w:rPr>
              <w:t xml:space="preserve"> </w:t>
            </w:r>
            <w:r w:rsidR="0004091F" w:rsidRPr="0004091F">
              <w:rPr>
                <w:sz w:val="20"/>
                <w:szCs w:val="20"/>
              </w:rPr>
              <w:t>Consumer Study</w:t>
            </w:r>
          </w:p>
          <w:p w14:paraId="0D5143C5" w14:textId="50FB5BAF" w:rsidR="00D76528" w:rsidRPr="00B001B9" w:rsidRDefault="00D76528" w:rsidP="000227F6">
            <w:pPr>
              <w:rPr>
                <w:sz w:val="20"/>
                <w:szCs w:val="18"/>
              </w:rPr>
            </w:pPr>
          </w:p>
        </w:tc>
        <w:tc>
          <w:tcPr>
            <w:tcW w:w="32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D6E28CF" w14:textId="77777777" w:rsidR="00350AB9" w:rsidRPr="00350AB9" w:rsidRDefault="00350AB9" w:rsidP="00350AB9">
            <w:pPr>
              <w:rPr>
                <w:sz w:val="18"/>
                <w:szCs w:val="18"/>
              </w:rPr>
            </w:pPr>
            <w:r w:rsidRPr="00350AB9">
              <w:rPr>
                <w:sz w:val="18"/>
                <w:szCs w:val="18"/>
              </w:rPr>
              <w:t>Consumer Study</w:t>
            </w:r>
          </w:p>
          <w:p w14:paraId="76205906" w14:textId="77777777" w:rsidR="00350AB9" w:rsidRPr="00350AB9" w:rsidRDefault="00350AB9" w:rsidP="00350AB9">
            <w:pPr>
              <w:jc w:val="both"/>
              <w:rPr>
                <w:sz w:val="18"/>
                <w:szCs w:val="18"/>
              </w:rPr>
            </w:pPr>
            <w:r w:rsidRPr="00350AB9">
              <w:rPr>
                <w:b/>
                <w:bCs/>
                <w:i/>
                <w:iCs/>
                <w:sz w:val="18"/>
                <w:szCs w:val="18"/>
              </w:rPr>
              <w:t>Description:</w:t>
            </w:r>
            <w:r w:rsidRPr="00350AB9">
              <w:rPr>
                <w:sz w:val="18"/>
                <w:szCs w:val="18"/>
              </w:rPr>
              <w:t xml:space="preserve"> Study G involves focus group interviews and a mail questionnaire to determine consumers' </w:t>
            </w:r>
            <w:proofErr w:type="gramStart"/>
            <w:r w:rsidRPr="00350AB9">
              <w:rPr>
                <w:sz w:val="18"/>
                <w:szCs w:val="18"/>
              </w:rPr>
              <w:t>past experience</w:t>
            </w:r>
            <w:proofErr w:type="gramEnd"/>
            <w:r w:rsidRPr="00350AB9">
              <w:rPr>
                <w:sz w:val="18"/>
                <w:szCs w:val="18"/>
              </w:rPr>
              <w:t xml:space="preserve">, acceptance, and intention to buy Coors beers Three focus group interviews would be conducted in the two counties in the market area. From these data, a questionnaire would be developed and sent to 300 adult residents in the market area, utilizing direct questions and a semantic differential scale to measure </w:t>
            </w:r>
            <w:proofErr w:type="spellStart"/>
            <w:r w:rsidRPr="00350AB9">
              <w:rPr>
                <w:sz w:val="18"/>
                <w:szCs w:val="18"/>
              </w:rPr>
              <w:t>atti-tudes</w:t>
            </w:r>
            <w:proofErr w:type="spellEnd"/>
            <w:r w:rsidRPr="00350AB9">
              <w:rPr>
                <w:sz w:val="18"/>
                <w:szCs w:val="18"/>
              </w:rPr>
              <w:t xml:space="preserve"> toward Coors beer, competing beers, and an ideal beer.</w:t>
            </w:r>
          </w:p>
          <w:p w14:paraId="71D158BF" w14:textId="77777777" w:rsidR="00350AB9" w:rsidRDefault="00350AB9" w:rsidP="00350AB9">
            <w:pPr>
              <w:jc w:val="both"/>
              <w:rPr>
                <w:sz w:val="18"/>
                <w:szCs w:val="18"/>
              </w:rPr>
            </w:pPr>
            <w:r w:rsidRPr="00350AB9">
              <w:rPr>
                <w:b/>
                <w:bCs/>
                <w:i/>
                <w:iCs/>
                <w:sz w:val="18"/>
                <w:szCs w:val="18"/>
              </w:rPr>
              <w:t>Source:</w:t>
            </w:r>
            <w:r w:rsidRPr="00350AB9">
              <w:rPr>
                <w:sz w:val="18"/>
                <w:szCs w:val="18"/>
              </w:rPr>
              <w:t xml:space="preserve"> Manson and Associates </w:t>
            </w:r>
          </w:p>
          <w:p w14:paraId="01A1A58D" w14:textId="065E7C40" w:rsidR="00D76528" w:rsidRPr="00B001B9" w:rsidRDefault="00350AB9" w:rsidP="00350AB9">
            <w:pPr>
              <w:jc w:val="both"/>
              <w:rPr>
                <w:sz w:val="18"/>
                <w:szCs w:val="18"/>
              </w:rPr>
            </w:pPr>
            <w:r w:rsidRPr="00350AB9">
              <w:rPr>
                <w:b/>
                <w:bCs/>
                <w:i/>
                <w:iCs/>
                <w:sz w:val="18"/>
                <w:szCs w:val="18"/>
              </w:rPr>
              <w:t>cost:</w:t>
            </w:r>
            <w:r w:rsidRPr="00350AB9">
              <w:rPr>
                <w:sz w:val="18"/>
                <w:szCs w:val="18"/>
              </w:rPr>
              <w:t xml:space="preserve"> $6,000</w:t>
            </w:r>
          </w:p>
        </w:tc>
        <w:tc>
          <w:tcPr>
            <w:tcW w:w="3600"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158C28D" w14:textId="02039B1D" w:rsidR="00D76528" w:rsidRPr="00B001B9" w:rsidRDefault="00C27D06" w:rsidP="000227F6">
            <w:pPr>
              <w:rPr>
                <w:sz w:val="18"/>
                <w:szCs w:val="18"/>
              </w:rPr>
            </w:pPr>
            <w:r w:rsidRPr="00C27D06">
              <w:rPr>
                <w:sz w:val="18"/>
                <w:szCs w:val="18"/>
              </w:rPr>
              <w:t xml:space="preserve">The purpose of this study is to gather information on consumer attitudes and behavior towards Coors beers in the market area, including </w:t>
            </w:r>
            <w:proofErr w:type="gramStart"/>
            <w:r w:rsidRPr="00C27D06">
              <w:rPr>
                <w:sz w:val="18"/>
                <w:szCs w:val="18"/>
              </w:rPr>
              <w:t>past experience</w:t>
            </w:r>
            <w:proofErr w:type="gramEnd"/>
            <w:r w:rsidRPr="00C27D06">
              <w:rPr>
                <w:sz w:val="18"/>
                <w:szCs w:val="18"/>
              </w:rPr>
              <w:t>, acceptance, and purchase intentions. However, the study is based on self-reported data, which may be biased, and the sample size of 300 adult residents may not be representative of the entire population. Additionally, the results may not be generalizable beyond the specific market area.</w:t>
            </w:r>
          </w:p>
        </w:tc>
      </w:tr>
      <w:tr w:rsidR="00D76528" w14:paraId="5C0196CC" w14:textId="77777777" w:rsidTr="00F472EA">
        <w:trPr>
          <w:jc w:val="center"/>
        </w:trPr>
        <w:tc>
          <w:tcPr>
            <w:tcW w:w="27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E293BA6" w14:textId="77777777" w:rsidR="0004091F" w:rsidRDefault="00D76528" w:rsidP="0004091F">
            <w:pPr>
              <w:ind w:left="14"/>
            </w:pPr>
            <w:r w:rsidRPr="00B001B9">
              <w:rPr>
                <w:sz w:val="20"/>
                <w:szCs w:val="18"/>
              </w:rPr>
              <w:t>Study H</w:t>
            </w:r>
            <w:r w:rsidR="0004091F">
              <w:rPr>
                <w:sz w:val="20"/>
                <w:szCs w:val="18"/>
              </w:rPr>
              <w:t xml:space="preserve"> </w:t>
            </w:r>
            <w:r w:rsidR="0004091F" w:rsidRPr="0004091F">
              <w:rPr>
                <w:rFonts w:eastAsia="Times New Roman" w:cs="Times New Roman"/>
                <w:sz w:val="20"/>
                <w:szCs w:val="20"/>
              </w:rPr>
              <w:t>Retailer Study</w:t>
            </w:r>
          </w:p>
          <w:p w14:paraId="69DF8CE2" w14:textId="3EE233A2" w:rsidR="00D76528" w:rsidRPr="00B001B9" w:rsidRDefault="00D76528" w:rsidP="000227F6">
            <w:pPr>
              <w:rPr>
                <w:sz w:val="20"/>
                <w:szCs w:val="18"/>
              </w:rPr>
            </w:pPr>
          </w:p>
        </w:tc>
        <w:tc>
          <w:tcPr>
            <w:tcW w:w="32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84509F7" w14:textId="77777777" w:rsidR="00682D13" w:rsidRPr="00714FC0" w:rsidRDefault="00682D13" w:rsidP="00682D13">
            <w:pPr>
              <w:ind w:left="14"/>
              <w:rPr>
                <w:sz w:val="18"/>
                <w:szCs w:val="18"/>
              </w:rPr>
            </w:pPr>
            <w:r w:rsidRPr="00714FC0">
              <w:rPr>
                <w:rFonts w:eastAsia="Times New Roman" w:cs="Times New Roman"/>
                <w:sz w:val="18"/>
                <w:szCs w:val="18"/>
              </w:rPr>
              <w:t>Retailer Study</w:t>
            </w:r>
          </w:p>
          <w:p w14:paraId="16CFA4D8" w14:textId="77777777" w:rsidR="00682D13" w:rsidRPr="00714FC0" w:rsidRDefault="00682D13" w:rsidP="00682D13">
            <w:pPr>
              <w:spacing w:line="232" w:lineRule="auto"/>
              <w:ind w:left="5"/>
              <w:jc w:val="both"/>
              <w:rPr>
                <w:rFonts w:eastAsia="Times New Roman" w:cs="Times New Roman"/>
                <w:sz w:val="18"/>
                <w:szCs w:val="18"/>
              </w:rPr>
            </w:pPr>
            <w:r w:rsidRPr="00714FC0">
              <w:rPr>
                <w:rFonts w:eastAsia="Times New Roman" w:cs="Times New Roman"/>
                <w:b/>
                <w:bCs/>
                <w:i/>
                <w:iCs/>
                <w:sz w:val="18"/>
                <w:szCs w:val="18"/>
              </w:rPr>
              <w:t>Description:</w:t>
            </w:r>
            <w:r w:rsidRPr="00714FC0">
              <w:rPr>
                <w:rFonts w:eastAsia="Times New Roman" w:cs="Times New Roman"/>
                <w:sz w:val="18"/>
                <w:szCs w:val="18"/>
              </w:rPr>
              <w:t xml:space="preserve"> Group interviews would be conducted with six potential retailers of Coors beer in one county in the market area to determine their past beer sales and experience and their intention to stock and sell Coors. From these data, a personal interview questionnaire would be developed and exe</w:t>
            </w:r>
            <w:r w:rsidRPr="00714FC0">
              <w:rPr>
                <w:noProof/>
                <w:sz w:val="18"/>
                <w:szCs w:val="18"/>
              </w:rPr>
              <w:drawing>
                <wp:inline distT="0" distB="0" distL="0" distR="0" wp14:anchorId="51A2171E" wp14:editId="525DACB2">
                  <wp:extent cx="3048" cy="3049"/>
                  <wp:effectExtent l="0" t="0" r="0" b="0"/>
                  <wp:docPr id="16256" name="Picture 16256"/>
                  <wp:cNvGraphicFramePr/>
                  <a:graphic xmlns:a="http://schemas.openxmlformats.org/drawingml/2006/main">
                    <a:graphicData uri="http://schemas.openxmlformats.org/drawingml/2006/picture">
                      <pic:pic xmlns:pic="http://schemas.openxmlformats.org/drawingml/2006/picture">
                        <pic:nvPicPr>
                          <pic:cNvPr id="16256" name="Picture 16256"/>
                          <pic:cNvPicPr/>
                        </pic:nvPicPr>
                        <pic:blipFill>
                          <a:blip r:embed="rId19"/>
                          <a:stretch>
                            <a:fillRect/>
                          </a:stretch>
                        </pic:blipFill>
                        <pic:spPr>
                          <a:xfrm>
                            <a:off x="0" y="0"/>
                            <a:ext cx="3048" cy="3049"/>
                          </a:xfrm>
                          <a:prstGeom prst="rect">
                            <a:avLst/>
                          </a:prstGeom>
                        </pic:spPr>
                      </pic:pic>
                    </a:graphicData>
                  </a:graphic>
                </wp:inline>
              </w:drawing>
            </w:r>
            <w:proofErr w:type="spellStart"/>
            <w:r w:rsidRPr="00714FC0">
              <w:rPr>
                <w:rFonts w:eastAsia="Times New Roman" w:cs="Times New Roman"/>
                <w:sz w:val="18"/>
                <w:szCs w:val="18"/>
              </w:rPr>
              <w:t>cuted</w:t>
            </w:r>
            <w:proofErr w:type="spellEnd"/>
            <w:r w:rsidRPr="00714FC0">
              <w:rPr>
                <w:rFonts w:eastAsia="Times New Roman" w:cs="Times New Roman"/>
                <w:sz w:val="18"/>
                <w:szCs w:val="18"/>
              </w:rPr>
              <w:t xml:space="preserve"> at all appropriate retailers in the market area to determine similar data, </w:t>
            </w:r>
          </w:p>
          <w:p w14:paraId="0B9C347B" w14:textId="66639ECA" w:rsidR="00682D13" w:rsidRPr="00714FC0" w:rsidRDefault="00682D13" w:rsidP="00682D13">
            <w:pPr>
              <w:spacing w:line="232" w:lineRule="auto"/>
              <w:ind w:left="5"/>
              <w:jc w:val="both"/>
              <w:rPr>
                <w:sz w:val="18"/>
                <w:szCs w:val="18"/>
              </w:rPr>
            </w:pPr>
            <w:r w:rsidRPr="00714FC0">
              <w:rPr>
                <w:rFonts w:eastAsia="Times New Roman" w:cs="Times New Roman"/>
                <w:b/>
                <w:bCs/>
                <w:i/>
                <w:iCs/>
                <w:sz w:val="18"/>
                <w:szCs w:val="18"/>
              </w:rPr>
              <w:t>Source:</w:t>
            </w:r>
            <w:r w:rsidRPr="00714FC0">
              <w:rPr>
                <w:rFonts w:eastAsia="Times New Roman" w:cs="Times New Roman"/>
                <w:sz w:val="18"/>
                <w:szCs w:val="18"/>
              </w:rPr>
              <w:t xml:space="preserve"> Manson and Associates</w:t>
            </w:r>
          </w:p>
          <w:p w14:paraId="402CB330" w14:textId="02960DF5" w:rsidR="00D76528" w:rsidRPr="00B001B9" w:rsidRDefault="00682D13" w:rsidP="00682D13">
            <w:pPr>
              <w:rPr>
                <w:sz w:val="18"/>
                <w:szCs w:val="18"/>
              </w:rPr>
            </w:pPr>
            <w:r w:rsidRPr="00714FC0">
              <w:rPr>
                <w:rFonts w:eastAsia="Times New Roman" w:cs="Times New Roman"/>
                <w:b/>
                <w:bCs/>
                <w:i/>
                <w:iCs/>
                <w:sz w:val="18"/>
                <w:szCs w:val="18"/>
              </w:rPr>
              <w:t>Cost:</w:t>
            </w:r>
            <w:r w:rsidRPr="00714FC0">
              <w:rPr>
                <w:rFonts w:eastAsia="Times New Roman" w:cs="Times New Roman"/>
                <w:sz w:val="18"/>
                <w:szCs w:val="18"/>
              </w:rPr>
              <w:t xml:space="preserve"> $4,800</w:t>
            </w:r>
          </w:p>
        </w:tc>
        <w:tc>
          <w:tcPr>
            <w:tcW w:w="3600"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DE3174D" w14:textId="78B1EEE3" w:rsidR="00D76528" w:rsidRPr="00B001B9" w:rsidRDefault="00C27D06" w:rsidP="000227F6">
            <w:pPr>
              <w:rPr>
                <w:sz w:val="18"/>
                <w:szCs w:val="18"/>
              </w:rPr>
            </w:pPr>
            <w:r w:rsidRPr="00C27D06">
              <w:rPr>
                <w:sz w:val="18"/>
                <w:szCs w:val="18"/>
              </w:rPr>
              <w:t>The study provides valuable insights into the sales experience and likelihood of stocking Coors beer among potential retailers in one county of the market area. However, the small sample size of only six potential retailers may limit its generalizability to other retailers in the area. Additionally, the potential for response bias and interviewer bias in the personal interview questionnaire should be considered. Overall, the study can provide useful information for developing a targeted marketing strategy, but should be interpreted with caution</w:t>
            </w:r>
          </w:p>
        </w:tc>
      </w:tr>
      <w:tr w:rsidR="00D76528" w14:paraId="15444F89" w14:textId="77777777" w:rsidTr="00F472EA">
        <w:trPr>
          <w:jc w:val="center"/>
        </w:trPr>
        <w:tc>
          <w:tcPr>
            <w:tcW w:w="27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3E379A" w14:textId="77777777" w:rsidR="0004091F" w:rsidRDefault="00D76528" w:rsidP="0004091F">
            <w:pPr>
              <w:ind w:left="24"/>
            </w:pPr>
            <w:r w:rsidRPr="00B001B9">
              <w:rPr>
                <w:sz w:val="20"/>
                <w:szCs w:val="18"/>
              </w:rPr>
              <w:t>Study I</w:t>
            </w:r>
            <w:r w:rsidR="0004091F">
              <w:rPr>
                <w:sz w:val="20"/>
                <w:szCs w:val="18"/>
              </w:rPr>
              <w:t xml:space="preserve"> </w:t>
            </w:r>
            <w:r w:rsidR="0004091F">
              <w:rPr>
                <w:rFonts w:eastAsia="Times New Roman" w:cs="Times New Roman"/>
                <w:sz w:val="20"/>
              </w:rPr>
              <w:t>Survey of Retail and Wholesale Beer Prices</w:t>
            </w:r>
          </w:p>
          <w:p w14:paraId="60058777" w14:textId="47E7E0C4" w:rsidR="00D76528" w:rsidRPr="00B001B9" w:rsidRDefault="00D76528" w:rsidP="000227F6">
            <w:pPr>
              <w:rPr>
                <w:sz w:val="20"/>
                <w:szCs w:val="18"/>
              </w:rPr>
            </w:pPr>
          </w:p>
        </w:tc>
        <w:tc>
          <w:tcPr>
            <w:tcW w:w="324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6AE851E" w14:textId="77777777" w:rsidR="00411873" w:rsidRPr="00714FC0" w:rsidRDefault="00411873" w:rsidP="00411873">
            <w:pPr>
              <w:ind w:left="24"/>
              <w:rPr>
                <w:sz w:val="18"/>
                <w:szCs w:val="18"/>
              </w:rPr>
            </w:pPr>
            <w:r w:rsidRPr="00714FC0">
              <w:rPr>
                <w:rFonts w:eastAsia="Times New Roman" w:cs="Times New Roman"/>
                <w:sz w:val="18"/>
                <w:szCs w:val="18"/>
              </w:rPr>
              <w:t>Survey of Retail and Wholesale Beer Prices</w:t>
            </w:r>
          </w:p>
          <w:p w14:paraId="13EF1F19" w14:textId="77777777" w:rsidR="001911B8" w:rsidRPr="00714FC0" w:rsidRDefault="00411873" w:rsidP="001911B8">
            <w:pPr>
              <w:jc w:val="both"/>
              <w:rPr>
                <w:rFonts w:eastAsia="Times New Roman" w:cs="Times New Roman"/>
                <w:sz w:val="18"/>
                <w:szCs w:val="18"/>
              </w:rPr>
            </w:pPr>
            <w:r w:rsidRPr="00714FC0">
              <w:rPr>
                <w:rFonts w:eastAsia="Times New Roman" w:cs="Times New Roman"/>
                <w:b/>
                <w:bCs/>
                <w:i/>
                <w:iCs/>
                <w:sz w:val="18"/>
                <w:szCs w:val="18"/>
              </w:rPr>
              <w:t>Description:</w:t>
            </w:r>
            <w:r w:rsidRPr="00714FC0">
              <w:rPr>
                <w:rFonts w:eastAsia="Times New Roman" w:cs="Times New Roman"/>
                <w:sz w:val="18"/>
                <w:szCs w:val="18"/>
              </w:rPr>
              <w:t xml:space="preserve"> In-store interviews with a representative sample of 50 retailers in the market area to estimate retail and wholesale prices for Budweiser, Miller Lite, Miller, Busch, Bud Light, Old Milwaukee, and Michelob.</w:t>
            </w:r>
          </w:p>
          <w:p w14:paraId="361D66C7" w14:textId="5788CF68" w:rsidR="00D76528" w:rsidRPr="00714FC0" w:rsidRDefault="00411873" w:rsidP="001911B8">
            <w:pPr>
              <w:jc w:val="both"/>
              <w:rPr>
                <w:rFonts w:eastAsia="Times New Roman" w:cs="Times New Roman"/>
                <w:sz w:val="18"/>
                <w:szCs w:val="18"/>
              </w:rPr>
            </w:pPr>
            <w:r w:rsidRPr="00714FC0">
              <w:rPr>
                <w:rFonts w:eastAsia="Times New Roman" w:cs="Times New Roman"/>
                <w:b/>
                <w:bCs/>
                <w:i/>
                <w:iCs/>
                <w:sz w:val="18"/>
                <w:szCs w:val="18"/>
              </w:rPr>
              <w:t>Source:</w:t>
            </w:r>
            <w:r w:rsidRPr="00714FC0">
              <w:rPr>
                <w:rFonts w:eastAsia="Times New Roman" w:cs="Times New Roman"/>
                <w:sz w:val="18"/>
                <w:szCs w:val="18"/>
              </w:rPr>
              <w:t xml:space="preserve"> Manson and Associates</w:t>
            </w:r>
          </w:p>
          <w:p w14:paraId="4F2ACB87" w14:textId="5D7B0766" w:rsidR="00411873" w:rsidRPr="00B001B9" w:rsidRDefault="001911B8" w:rsidP="001911B8">
            <w:pPr>
              <w:jc w:val="both"/>
              <w:rPr>
                <w:sz w:val="18"/>
                <w:szCs w:val="18"/>
              </w:rPr>
            </w:pPr>
            <w:r w:rsidRPr="00714FC0">
              <w:rPr>
                <w:b/>
                <w:bCs/>
                <w:i/>
                <w:iCs/>
                <w:sz w:val="18"/>
                <w:szCs w:val="18"/>
              </w:rPr>
              <w:t>Cost:</w:t>
            </w:r>
            <w:r w:rsidRPr="00714FC0">
              <w:rPr>
                <w:sz w:val="18"/>
                <w:szCs w:val="18"/>
              </w:rPr>
              <w:t xml:space="preserve"> $2,000</w:t>
            </w:r>
          </w:p>
        </w:tc>
        <w:tc>
          <w:tcPr>
            <w:tcW w:w="3600"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7CED814" w14:textId="395D4AC1" w:rsidR="00D76528" w:rsidRPr="00B001B9" w:rsidRDefault="00C27D06" w:rsidP="000227F6">
            <w:pPr>
              <w:rPr>
                <w:sz w:val="18"/>
                <w:szCs w:val="18"/>
              </w:rPr>
            </w:pPr>
            <w:r w:rsidRPr="00C27D06">
              <w:rPr>
                <w:sz w:val="18"/>
                <w:szCs w:val="18"/>
              </w:rPr>
              <w:t>This study can offer valuable insights into the retail and wholesale prices of various beer brands in the market area, aiding in pricing decisions for Coors beer and competition analysis. However, its limited sample size of only 50 retailers in the market area may not provide a comprehensive view of the entire market. Moreover, the study does not include sales volume data, which is essential to understand the market share of each brand</w:t>
            </w:r>
          </w:p>
        </w:tc>
      </w:tr>
    </w:tbl>
    <w:p w14:paraId="30973F4E" w14:textId="5F40B8C5" w:rsidR="00A81DAC" w:rsidRDefault="00A81DAC" w:rsidP="000227F6"/>
    <w:p w14:paraId="4B41DC04" w14:textId="201AE7D7" w:rsidR="00797C21" w:rsidRPr="005F7852" w:rsidRDefault="00797C21" w:rsidP="000227F6"/>
    <w:sectPr w:rsidR="00797C21" w:rsidRPr="005F7852" w:rsidSect="00E817C4">
      <w:pgSz w:w="12240" w:h="15840" w:code="1"/>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92275" w14:textId="77777777" w:rsidR="00577303" w:rsidRDefault="00577303" w:rsidP="000227F6">
      <w:r>
        <w:separator/>
      </w:r>
    </w:p>
  </w:endnote>
  <w:endnote w:type="continuationSeparator" w:id="0">
    <w:p w14:paraId="178B6468" w14:textId="77777777" w:rsidR="00577303" w:rsidRDefault="00577303" w:rsidP="00022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imes New Roman-BoldItalic-674">
    <w:altName w:val="Calibri"/>
    <w:panose1 w:val="020B0604020202020204"/>
    <w:charset w:val="00"/>
    <w:family w:val="auto"/>
    <w:notTrueType/>
    <w:pitch w:val="default"/>
    <w:sig w:usb0="00000003" w:usb1="00000000" w:usb2="00000000" w:usb3="00000000" w:csb0="00000001" w:csb1="00000000"/>
  </w:font>
  <w:font w:name="*Courier-6742-Identity-H">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F5374" w14:textId="77777777" w:rsidR="00896EE4" w:rsidRDefault="00896EE4" w:rsidP="000227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228783"/>
      <w:docPartObj>
        <w:docPartGallery w:val="Page Numbers (Bottom of Page)"/>
        <w:docPartUnique/>
      </w:docPartObj>
    </w:sdtPr>
    <w:sdtEndPr>
      <w:rPr>
        <w:noProof/>
      </w:rPr>
    </w:sdtEndPr>
    <w:sdtContent>
      <w:p w14:paraId="152654E4" w14:textId="3043925D" w:rsidR="00896EE4" w:rsidRDefault="00896EE4" w:rsidP="000227F6">
        <w:pPr>
          <w:pStyle w:val="Footer"/>
        </w:pPr>
        <w:r>
          <w:fldChar w:fldCharType="begin"/>
        </w:r>
        <w:r>
          <w:instrText xml:space="preserve"> PAGE   \* MERGEFORMAT </w:instrText>
        </w:r>
        <w:r>
          <w:fldChar w:fldCharType="separate"/>
        </w:r>
        <w:r w:rsidR="005B71AF">
          <w:rPr>
            <w:noProof/>
          </w:rPr>
          <w:t>3</w:t>
        </w:r>
        <w:r>
          <w:rPr>
            <w:noProof/>
          </w:rPr>
          <w:fldChar w:fldCharType="end"/>
        </w:r>
      </w:p>
    </w:sdtContent>
  </w:sdt>
  <w:p w14:paraId="7A9368F8" w14:textId="77777777" w:rsidR="00896EE4" w:rsidRDefault="00896EE4" w:rsidP="000227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6BD0" w14:textId="77777777" w:rsidR="00896EE4" w:rsidRDefault="00896EE4" w:rsidP="00022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77910" w14:textId="77777777" w:rsidR="00577303" w:rsidRDefault="00577303" w:rsidP="000227F6">
      <w:r>
        <w:separator/>
      </w:r>
    </w:p>
  </w:footnote>
  <w:footnote w:type="continuationSeparator" w:id="0">
    <w:p w14:paraId="3A4774BA" w14:textId="77777777" w:rsidR="00577303" w:rsidRDefault="00577303" w:rsidP="00022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74C4A" w14:textId="77777777" w:rsidR="00896EE4" w:rsidRDefault="00896EE4" w:rsidP="000227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A7252" w14:textId="77777777" w:rsidR="00896EE4" w:rsidRDefault="00896EE4" w:rsidP="000227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7F0B0" w14:textId="77777777" w:rsidR="00896EE4" w:rsidRDefault="00896EE4" w:rsidP="00022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7C2"/>
    <w:multiLevelType w:val="hybridMultilevel"/>
    <w:tmpl w:val="CFC68CA4"/>
    <w:lvl w:ilvl="0" w:tplc="0409000F">
      <w:start w:val="1"/>
      <w:numFmt w:val="decimal"/>
      <w:lvlText w:val="%1."/>
      <w:lvlJc w:val="left"/>
      <w:pPr>
        <w:ind w:left="1080" w:hanging="360"/>
      </w:pPr>
      <w:rPr>
        <w:rFonts w:hint="default"/>
      </w:rPr>
    </w:lvl>
    <w:lvl w:ilvl="1" w:tplc="6E10C88A">
      <w:start w:val="1"/>
      <w:numFmt w:val="lowerLetter"/>
      <w:lvlText w:val="%2."/>
      <w:lvlJc w:val="left"/>
      <w:pPr>
        <w:ind w:left="144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B024C"/>
    <w:multiLevelType w:val="hybridMultilevel"/>
    <w:tmpl w:val="E144814E"/>
    <w:lvl w:ilvl="0" w:tplc="46CC8362">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84F60"/>
    <w:multiLevelType w:val="hybridMultilevel"/>
    <w:tmpl w:val="67A0B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10A94"/>
    <w:multiLevelType w:val="multilevel"/>
    <w:tmpl w:val="27B47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857AE"/>
    <w:multiLevelType w:val="multilevel"/>
    <w:tmpl w:val="0E123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C19E6"/>
    <w:multiLevelType w:val="hybridMultilevel"/>
    <w:tmpl w:val="FB14C84C"/>
    <w:lvl w:ilvl="0" w:tplc="E4BEDC70">
      <w:start w:val="1"/>
      <w:numFmt w:val="upperRoman"/>
      <w:lvlText w:val="%1."/>
      <w:lvlJc w:val="left"/>
      <w:pPr>
        <w:ind w:left="1080" w:hanging="720"/>
      </w:pPr>
      <w:rPr>
        <w:rFonts w:hint="default"/>
      </w:rPr>
    </w:lvl>
    <w:lvl w:ilvl="1" w:tplc="C1962640">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56B1F"/>
    <w:multiLevelType w:val="hybridMultilevel"/>
    <w:tmpl w:val="8E18B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E202E"/>
    <w:multiLevelType w:val="multilevel"/>
    <w:tmpl w:val="5B646310"/>
    <w:lvl w:ilvl="0">
      <w:start w:val="1"/>
      <w:numFmt w:val="upperLetter"/>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440" w:hanging="144"/>
      </w:pPr>
      <w:rPr>
        <w:rFonts w:hint="default"/>
      </w:rPr>
    </w:lvl>
    <w:lvl w:ilvl="3">
      <w:start w:val="1"/>
      <w:numFmt w:val="bullet"/>
      <w:lvlText w:val=""/>
      <w:lvlJc w:val="left"/>
      <w:pPr>
        <w:ind w:left="2880" w:hanging="360"/>
      </w:pPr>
      <w:rPr>
        <w:rFonts w:ascii="Symbol" w:hAnsi="Symbol"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DCF21C3"/>
    <w:multiLevelType w:val="hybridMultilevel"/>
    <w:tmpl w:val="AD5AE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C773A"/>
    <w:multiLevelType w:val="hybridMultilevel"/>
    <w:tmpl w:val="8E18B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8B559C"/>
    <w:multiLevelType w:val="multilevel"/>
    <w:tmpl w:val="6EF649C6"/>
    <w:styleLink w:val="Style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color w:val="auto"/>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54E0B97"/>
    <w:multiLevelType w:val="multilevel"/>
    <w:tmpl w:val="B35C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65ABF"/>
    <w:multiLevelType w:val="hybridMultilevel"/>
    <w:tmpl w:val="CFC68CA4"/>
    <w:lvl w:ilvl="0" w:tplc="0409000F">
      <w:start w:val="1"/>
      <w:numFmt w:val="decimal"/>
      <w:lvlText w:val="%1."/>
      <w:lvlJc w:val="left"/>
      <w:pPr>
        <w:ind w:left="1080" w:hanging="360"/>
      </w:pPr>
      <w:rPr>
        <w:rFonts w:hint="default"/>
      </w:rPr>
    </w:lvl>
    <w:lvl w:ilvl="1" w:tplc="6E10C88A">
      <w:start w:val="1"/>
      <w:numFmt w:val="lowerLetter"/>
      <w:lvlText w:val="%2."/>
      <w:lvlJc w:val="left"/>
      <w:pPr>
        <w:ind w:left="144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BB2159"/>
    <w:multiLevelType w:val="hybridMultilevel"/>
    <w:tmpl w:val="8E18B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8E4DAD"/>
    <w:multiLevelType w:val="multilevel"/>
    <w:tmpl w:val="51D49E9A"/>
    <w:lvl w:ilvl="0">
      <w:start w:val="1"/>
      <w:numFmt w:val="decimal"/>
      <w:lvlText w:val="%1"/>
      <w:lvlJc w:val="left"/>
      <w:pPr>
        <w:tabs>
          <w:tab w:val="num" w:pos="720"/>
        </w:tabs>
        <w:ind w:left="720" w:hanging="360"/>
      </w:pPr>
      <w:rPr>
        <w:rFonts w:ascii="Times New Roman" w:eastAsiaTheme="minorHAnsi" w:hAnsi="Times New Roman" w:cs="Arial"/>
        <w:vertAlign w:val="superscrip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F37A6F"/>
    <w:multiLevelType w:val="hybridMultilevel"/>
    <w:tmpl w:val="61740880"/>
    <w:lvl w:ilvl="0" w:tplc="BF8C182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426CC1"/>
    <w:multiLevelType w:val="multilevel"/>
    <w:tmpl w:val="5B646310"/>
    <w:lvl w:ilvl="0">
      <w:start w:val="1"/>
      <w:numFmt w:val="upperLetter"/>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440" w:hanging="144"/>
      </w:pPr>
      <w:rPr>
        <w:rFonts w:hint="default"/>
      </w:rPr>
    </w:lvl>
    <w:lvl w:ilvl="3">
      <w:start w:val="1"/>
      <w:numFmt w:val="bullet"/>
      <w:lvlText w:val=""/>
      <w:lvlJc w:val="left"/>
      <w:pPr>
        <w:ind w:left="2880" w:hanging="360"/>
      </w:pPr>
      <w:rPr>
        <w:rFonts w:ascii="Symbol" w:hAnsi="Symbol"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71659524">
    <w:abstractNumId w:val="1"/>
  </w:num>
  <w:num w:numId="2" w16cid:durableId="2132361034">
    <w:abstractNumId w:val="2"/>
  </w:num>
  <w:num w:numId="3" w16cid:durableId="1485076283">
    <w:abstractNumId w:val="12"/>
  </w:num>
  <w:num w:numId="4" w16cid:durableId="1338315071">
    <w:abstractNumId w:val="8"/>
  </w:num>
  <w:num w:numId="5" w16cid:durableId="210462273">
    <w:abstractNumId w:val="7"/>
  </w:num>
  <w:num w:numId="6" w16cid:durableId="1704477675">
    <w:abstractNumId w:val="10"/>
  </w:num>
  <w:num w:numId="7" w16cid:durableId="1981885921">
    <w:abstractNumId w:val="0"/>
  </w:num>
  <w:num w:numId="8" w16cid:durableId="2038577818">
    <w:abstractNumId w:val="16"/>
  </w:num>
  <w:num w:numId="9" w16cid:durableId="1049572924">
    <w:abstractNumId w:val="9"/>
  </w:num>
  <w:num w:numId="10" w16cid:durableId="439767033">
    <w:abstractNumId w:val="5"/>
  </w:num>
  <w:num w:numId="11" w16cid:durableId="2111121137">
    <w:abstractNumId w:val="6"/>
  </w:num>
  <w:num w:numId="12" w16cid:durableId="1585607930">
    <w:abstractNumId w:val="13"/>
  </w:num>
  <w:num w:numId="13" w16cid:durableId="228997342">
    <w:abstractNumId w:val="15"/>
  </w:num>
  <w:num w:numId="14" w16cid:durableId="862017079">
    <w:abstractNumId w:val="3"/>
  </w:num>
  <w:num w:numId="15" w16cid:durableId="851337830">
    <w:abstractNumId w:val="14"/>
  </w:num>
  <w:num w:numId="16" w16cid:durableId="21247954">
    <w:abstractNumId w:val="4"/>
  </w:num>
  <w:num w:numId="17" w16cid:durableId="3550854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wtzAyNTE1MzKzMLFQ0lEKTi0uzszPAymwqAUAEjBaNSwAAAA="/>
  </w:docVars>
  <w:rsids>
    <w:rsidRoot w:val="00C45FB6"/>
    <w:rsid w:val="0000450D"/>
    <w:rsid w:val="00005D27"/>
    <w:rsid w:val="00007AD3"/>
    <w:rsid w:val="0001047C"/>
    <w:rsid w:val="00011E9A"/>
    <w:rsid w:val="00015850"/>
    <w:rsid w:val="00016B7F"/>
    <w:rsid w:val="000171F4"/>
    <w:rsid w:val="00020937"/>
    <w:rsid w:val="000227F6"/>
    <w:rsid w:val="00023FB4"/>
    <w:rsid w:val="00024C47"/>
    <w:rsid w:val="00026D00"/>
    <w:rsid w:val="00030850"/>
    <w:rsid w:val="00031414"/>
    <w:rsid w:val="00031A83"/>
    <w:rsid w:val="00036FB2"/>
    <w:rsid w:val="0004091F"/>
    <w:rsid w:val="000421A8"/>
    <w:rsid w:val="00051314"/>
    <w:rsid w:val="00054BA9"/>
    <w:rsid w:val="000565C3"/>
    <w:rsid w:val="00060081"/>
    <w:rsid w:val="00063A6B"/>
    <w:rsid w:val="00071CCD"/>
    <w:rsid w:val="00075DCA"/>
    <w:rsid w:val="00075E22"/>
    <w:rsid w:val="000828A3"/>
    <w:rsid w:val="000852E0"/>
    <w:rsid w:val="000866D0"/>
    <w:rsid w:val="0009283B"/>
    <w:rsid w:val="000932D2"/>
    <w:rsid w:val="00095969"/>
    <w:rsid w:val="00096AFF"/>
    <w:rsid w:val="000A139B"/>
    <w:rsid w:val="000A4DEC"/>
    <w:rsid w:val="000A56DA"/>
    <w:rsid w:val="000A6637"/>
    <w:rsid w:val="000A6B39"/>
    <w:rsid w:val="000A7E3F"/>
    <w:rsid w:val="000B013F"/>
    <w:rsid w:val="000B0ED7"/>
    <w:rsid w:val="000B447E"/>
    <w:rsid w:val="000B55B1"/>
    <w:rsid w:val="000B7AC4"/>
    <w:rsid w:val="000B7FBA"/>
    <w:rsid w:val="000C1C1A"/>
    <w:rsid w:val="000C5AC6"/>
    <w:rsid w:val="000C711C"/>
    <w:rsid w:val="000D2F2E"/>
    <w:rsid w:val="000D74A1"/>
    <w:rsid w:val="000E112A"/>
    <w:rsid w:val="000E1AF9"/>
    <w:rsid w:val="000F3421"/>
    <w:rsid w:val="000F7D24"/>
    <w:rsid w:val="00106706"/>
    <w:rsid w:val="00106DB5"/>
    <w:rsid w:val="0010725D"/>
    <w:rsid w:val="001072EF"/>
    <w:rsid w:val="00110792"/>
    <w:rsid w:val="00111E2A"/>
    <w:rsid w:val="0011320F"/>
    <w:rsid w:val="00114829"/>
    <w:rsid w:val="00122363"/>
    <w:rsid w:val="00122A6D"/>
    <w:rsid w:val="00130235"/>
    <w:rsid w:val="00130B19"/>
    <w:rsid w:val="00130E96"/>
    <w:rsid w:val="00131D71"/>
    <w:rsid w:val="001329D5"/>
    <w:rsid w:val="00145492"/>
    <w:rsid w:val="00147172"/>
    <w:rsid w:val="00147F24"/>
    <w:rsid w:val="00151444"/>
    <w:rsid w:val="00153B47"/>
    <w:rsid w:val="001616D1"/>
    <w:rsid w:val="00166094"/>
    <w:rsid w:val="001676A2"/>
    <w:rsid w:val="001751F2"/>
    <w:rsid w:val="00177FAA"/>
    <w:rsid w:val="001851CD"/>
    <w:rsid w:val="00190F65"/>
    <w:rsid w:val="001911B8"/>
    <w:rsid w:val="001933EE"/>
    <w:rsid w:val="001941B8"/>
    <w:rsid w:val="00197C8C"/>
    <w:rsid w:val="001A1C49"/>
    <w:rsid w:val="001A1C8D"/>
    <w:rsid w:val="001A60B6"/>
    <w:rsid w:val="001A6397"/>
    <w:rsid w:val="001A6B47"/>
    <w:rsid w:val="001A7773"/>
    <w:rsid w:val="001A7787"/>
    <w:rsid w:val="001B0EB1"/>
    <w:rsid w:val="001B2266"/>
    <w:rsid w:val="001B2C23"/>
    <w:rsid w:val="001B322B"/>
    <w:rsid w:val="001B40B1"/>
    <w:rsid w:val="001B6370"/>
    <w:rsid w:val="001C433F"/>
    <w:rsid w:val="001C77CF"/>
    <w:rsid w:val="001E2A39"/>
    <w:rsid w:val="001E2B99"/>
    <w:rsid w:val="001E3BCA"/>
    <w:rsid w:val="001E507E"/>
    <w:rsid w:val="001E5AC8"/>
    <w:rsid w:val="001E60C1"/>
    <w:rsid w:val="001F23CE"/>
    <w:rsid w:val="001F4A26"/>
    <w:rsid w:val="001F7A32"/>
    <w:rsid w:val="0020323D"/>
    <w:rsid w:val="002039E6"/>
    <w:rsid w:val="002044CA"/>
    <w:rsid w:val="00211296"/>
    <w:rsid w:val="00213E00"/>
    <w:rsid w:val="00214043"/>
    <w:rsid w:val="00215E09"/>
    <w:rsid w:val="002170B3"/>
    <w:rsid w:val="00220FEA"/>
    <w:rsid w:val="00221248"/>
    <w:rsid w:val="002376B9"/>
    <w:rsid w:val="0024100C"/>
    <w:rsid w:val="002411F9"/>
    <w:rsid w:val="00241991"/>
    <w:rsid w:val="002426D2"/>
    <w:rsid w:val="00242740"/>
    <w:rsid w:val="0024396B"/>
    <w:rsid w:val="002439CE"/>
    <w:rsid w:val="00243B0B"/>
    <w:rsid w:val="002554F1"/>
    <w:rsid w:val="00264045"/>
    <w:rsid w:val="002640A0"/>
    <w:rsid w:val="0026412F"/>
    <w:rsid w:val="0026660E"/>
    <w:rsid w:val="00267766"/>
    <w:rsid w:val="00271CB4"/>
    <w:rsid w:val="0027205A"/>
    <w:rsid w:val="0028203F"/>
    <w:rsid w:val="00283E04"/>
    <w:rsid w:val="00291549"/>
    <w:rsid w:val="00292418"/>
    <w:rsid w:val="00292653"/>
    <w:rsid w:val="0029344D"/>
    <w:rsid w:val="00293B82"/>
    <w:rsid w:val="0029468A"/>
    <w:rsid w:val="00295AED"/>
    <w:rsid w:val="00297872"/>
    <w:rsid w:val="002A097E"/>
    <w:rsid w:val="002A0B4E"/>
    <w:rsid w:val="002A22CC"/>
    <w:rsid w:val="002A4B34"/>
    <w:rsid w:val="002A596A"/>
    <w:rsid w:val="002A67EC"/>
    <w:rsid w:val="002A6BDD"/>
    <w:rsid w:val="002A71D5"/>
    <w:rsid w:val="002B00C2"/>
    <w:rsid w:val="002C3A22"/>
    <w:rsid w:val="002C7900"/>
    <w:rsid w:val="002D0D47"/>
    <w:rsid w:val="002D16AD"/>
    <w:rsid w:val="002D3EB6"/>
    <w:rsid w:val="002D6D0C"/>
    <w:rsid w:val="002D79B3"/>
    <w:rsid w:val="002E0B34"/>
    <w:rsid w:val="002E1635"/>
    <w:rsid w:val="002E2DF5"/>
    <w:rsid w:val="002E3C48"/>
    <w:rsid w:val="002E3C83"/>
    <w:rsid w:val="002E4EA1"/>
    <w:rsid w:val="002E67D3"/>
    <w:rsid w:val="002E708C"/>
    <w:rsid w:val="002E7B7F"/>
    <w:rsid w:val="002F3E15"/>
    <w:rsid w:val="002F5EFE"/>
    <w:rsid w:val="0030314B"/>
    <w:rsid w:val="00304057"/>
    <w:rsid w:val="00306347"/>
    <w:rsid w:val="00306361"/>
    <w:rsid w:val="00306F67"/>
    <w:rsid w:val="00312763"/>
    <w:rsid w:val="0031294E"/>
    <w:rsid w:val="0031574B"/>
    <w:rsid w:val="003171EA"/>
    <w:rsid w:val="00324E9A"/>
    <w:rsid w:val="00325DFB"/>
    <w:rsid w:val="00326751"/>
    <w:rsid w:val="00331A1B"/>
    <w:rsid w:val="00334BC4"/>
    <w:rsid w:val="00337970"/>
    <w:rsid w:val="00340CF7"/>
    <w:rsid w:val="00345652"/>
    <w:rsid w:val="003456B7"/>
    <w:rsid w:val="00345923"/>
    <w:rsid w:val="00346F29"/>
    <w:rsid w:val="00350AB9"/>
    <w:rsid w:val="00352150"/>
    <w:rsid w:val="00356AE8"/>
    <w:rsid w:val="00356E77"/>
    <w:rsid w:val="00360427"/>
    <w:rsid w:val="003621F8"/>
    <w:rsid w:val="00362F51"/>
    <w:rsid w:val="00366BA5"/>
    <w:rsid w:val="00367BAB"/>
    <w:rsid w:val="003701B7"/>
    <w:rsid w:val="00376289"/>
    <w:rsid w:val="003858E8"/>
    <w:rsid w:val="00392A5B"/>
    <w:rsid w:val="00394497"/>
    <w:rsid w:val="003A1B52"/>
    <w:rsid w:val="003A2205"/>
    <w:rsid w:val="003A2F2E"/>
    <w:rsid w:val="003A4647"/>
    <w:rsid w:val="003A53C0"/>
    <w:rsid w:val="003B0DE3"/>
    <w:rsid w:val="003B35C6"/>
    <w:rsid w:val="003B6098"/>
    <w:rsid w:val="003B631B"/>
    <w:rsid w:val="003C1E8A"/>
    <w:rsid w:val="003C4522"/>
    <w:rsid w:val="003C4FAC"/>
    <w:rsid w:val="003C5C0C"/>
    <w:rsid w:val="003C6D1F"/>
    <w:rsid w:val="003C7F0C"/>
    <w:rsid w:val="003D1524"/>
    <w:rsid w:val="003D3955"/>
    <w:rsid w:val="003D5393"/>
    <w:rsid w:val="003E549F"/>
    <w:rsid w:val="003E6222"/>
    <w:rsid w:val="003E6233"/>
    <w:rsid w:val="003F20B1"/>
    <w:rsid w:val="003F4846"/>
    <w:rsid w:val="003F4B48"/>
    <w:rsid w:val="003F51D7"/>
    <w:rsid w:val="003F59F1"/>
    <w:rsid w:val="003F6094"/>
    <w:rsid w:val="003F6D36"/>
    <w:rsid w:val="0040301A"/>
    <w:rsid w:val="0040608C"/>
    <w:rsid w:val="004076B9"/>
    <w:rsid w:val="0041168E"/>
    <w:rsid w:val="00411873"/>
    <w:rsid w:val="0041255B"/>
    <w:rsid w:val="004216AF"/>
    <w:rsid w:val="0042232C"/>
    <w:rsid w:val="00422938"/>
    <w:rsid w:val="00426B0B"/>
    <w:rsid w:val="00427541"/>
    <w:rsid w:val="0043308E"/>
    <w:rsid w:val="004337FB"/>
    <w:rsid w:val="00433FDA"/>
    <w:rsid w:val="00435360"/>
    <w:rsid w:val="00450079"/>
    <w:rsid w:val="00451285"/>
    <w:rsid w:val="00451960"/>
    <w:rsid w:val="00455769"/>
    <w:rsid w:val="00456EC0"/>
    <w:rsid w:val="00457AD9"/>
    <w:rsid w:val="00463F53"/>
    <w:rsid w:val="00470989"/>
    <w:rsid w:val="00472943"/>
    <w:rsid w:val="00475C83"/>
    <w:rsid w:val="004804FB"/>
    <w:rsid w:val="004829C4"/>
    <w:rsid w:val="00484ECF"/>
    <w:rsid w:val="00484F7D"/>
    <w:rsid w:val="00485CB0"/>
    <w:rsid w:val="004936DD"/>
    <w:rsid w:val="00494A1F"/>
    <w:rsid w:val="004A244A"/>
    <w:rsid w:val="004A56CE"/>
    <w:rsid w:val="004A647F"/>
    <w:rsid w:val="004B2CCF"/>
    <w:rsid w:val="004B417E"/>
    <w:rsid w:val="004B44FA"/>
    <w:rsid w:val="004B547E"/>
    <w:rsid w:val="004B7580"/>
    <w:rsid w:val="004C0B6A"/>
    <w:rsid w:val="004C47A3"/>
    <w:rsid w:val="004C7067"/>
    <w:rsid w:val="004D09EE"/>
    <w:rsid w:val="004D7596"/>
    <w:rsid w:val="004D7E4E"/>
    <w:rsid w:val="004E4060"/>
    <w:rsid w:val="004E6728"/>
    <w:rsid w:val="004F342E"/>
    <w:rsid w:val="004F5BAA"/>
    <w:rsid w:val="00502BD4"/>
    <w:rsid w:val="00503D43"/>
    <w:rsid w:val="00505F0E"/>
    <w:rsid w:val="0050643E"/>
    <w:rsid w:val="00506934"/>
    <w:rsid w:val="005107D4"/>
    <w:rsid w:val="005173EA"/>
    <w:rsid w:val="00520EB4"/>
    <w:rsid w:val="00523D35"/>
    <w:rsid w:val="0052422B"/>
    <w:rsid w:val="00525BE0"/>
    <w:rsid w:val="00525FD0"/>
    <w:rsid w:val="00526BA8"/>
    <w:rsid w:val="00527E0F"/>
    <w:rsid w:val="0054029B"/>
    <w:rsid w:val="00546B0C"/>
    <w:rsid w:val="005504C1"/>
    <w:rsid w:val="00551B21"/>
    <w:rsid w:val="00561F16"/>
    <w:rsid w:val="005648BB"/>
    <w:rsid w:val="00567C5C"/>
    <w:rsid w:val="00567FE2"/>
    <w:rsid w:val="00570BE3"/>
    <w:rsid w:val="005724DE"/>
    <w:rsid w:val="00577303"/>
    <w:rsid w:val="00577328"/>
    <w:rsid w:val="00577D4C"/>
    <w:rsid w:val="00580668"/>
    <w:rsid w:val="00581A65"/>
    <w:rsid w:val="005862E5"/>
    <w:rsid w:val="00590D5A"/>
    <w:rsid w:val="005A167C"/>
    <w:rsid w:val="005A2484"/>
    <w:rsid w:val="005A6E52"/>
    <w:rsid w:val="005A78BB"/>
    <w:rsid w:val="005B36EF"/>
    <w:rsid w:val="005B5B9A"/>
    <w:rsid w:val="005B5F31"/>
    <w:rsid w:val="005B6132"/>
    <w:rsid w:val="005B71AF"/>
    <w:rsid w:val="005C56D5"/>
    <w:rsid w:val="005C7E79"/>
    <w:rsid w:val="005D1CE2"/>
    <w:rsid w:val="005D66C2"/>
    <w:rsid w:val="005D6C6A"/>
    <w:rsid w:val="005D7E14"/>
    <w:rsid w:val="005E015D"/>
    <w:rsid w:val="005E6B15"/>
    <w:rsid w:val="005E7742"/>
    <w:rsid w:val="005E78A9"/>
    <w:rsid w:val="005F1512"/>
    <w:rsid w:val="005F6A73"/>
    <w:rsid w:val="005F7589"/>
    <w:rsid w:val="005F7852"/>
    <w:rsid w:val="00603DE9"/>
    <w:rsid w:val="00614480"/>
    <w:rsid w:val="00621C19"/>
    <w:rsid w:val="00622A9E"/>
    <w:rsid w:val="00623287"/>
    <w:rsid w:val="00626D8C"/>
    <w:rsid w:val="00630A9B"/>
    <w:rsid w:val="00636710"/>
    <w:rsid w:val="0064024B"/>
    <w:rsid w:val="00642E54"/>
    <w:rsid w:val="00646ED6"/>
    <w:rsid w:val="006501EC"/>
    <w:rsid w:val="00653CD9"/>
    <w:rsid w:val="00657E5E"/>
    <w:rsid w:val="00676FC7"/>
    <w:rsid w:val="00677935"/>
    <w:rsid w:val="00682D13"/>
    <w:rsid w:val="00683EEC"/>
    <w:rsid w:val="00684A4D"/>
    <w:rsid w:val="00685B7A"/>
    <w:rsid w:val="00691DEE"/>
    <w:rsid w:val="006A3971"/>
    <w:rsid w:val="006A7FAD"/>
    <w:rsid w:val="006B32ED"/>
    <w:rsid w:val="006C3715"/>
    <w:rsid w:val="006C379B"/>
    <w:rsid w:val="006C3F2D"/>
    <w:rsid w:val="006D1D7B"/>
    <w:rsid w:val="006D398D"/>
    <w:rsid w:val="006D46D8"/>
    <w:rsid w:val="006D74C0"/>
    <w:rsid w:val="006F4C69"/>
    <w:rsid w:val="006F60F5"/>
    <w:rsid w:val="00700DFD"/>
    <w:rsid w:val="00704275"/>
    <w:rsid w:val="0070447E"/>
    <w:rsid w:val="007044BE"/>
    <w:rsid w:val="00705F30"/>
    <w:rsid w:val="00710917"/>
    <w:rsid w:val="00711B76"/>
    <w:rsid w:val="00712D5D"/>
    <w:rsid w:val="00714657"/>
    <w:rsid w:val="00714FC0"/>
    <w:rsid w:val="0071506D"/>
    <w:rsid w:val="007162CB"/>
    <w:rsid w:val="007222C8"/>
    <w:rsid w:val="00722CF0"/>
    <w:rsid w:val="00722E59"/>
    <w:rsid w:val="007262AD"/>
    <w:rsid w:val="007302FA"/>
    <w:rsid w:val="00730BA8"/>
    <w:rsid w:val="00731CD1"/>
    <w:rsid w:val="00732074"/>
    <w:rsid w:val="007434D8"/>
    <w:rsid w:val="00743D6F"/>
    <w:rsid w:val="00745DF9"/>
    <w:rsid w:val="00752662"/>
    <w:rsid w:val="0075414C"/>
    <w:rsid w:val="00760350"/>
    <w:rsid w:val="00762A2E"/>
    <w:rsid w:val="0076575B"/>
    <w:rsid w:val="00766E14"/>
    <w:rsid w:val="007671FD"/>
    <w:rsid w:val="00770019"/>
    <w:rsid w:val="00774604"/>
    <w:rsid w:val="007747B2"/>
    <w:rsid w:val="007809F8"/>
    <w:rsid w:val="00782ABD"/>
    <w:rsid w:val="00783133"/>
    <w:rsid w:val="00784A84"/>
    <w:rsid w:val="00784D65"/>
    <w:rsid w:val="00786F61"/>
    <w:rsid w:val="00787107"/>
    <w:rsid w:val="0079054F"/>
    <w:rsid w:val="0079234D"/>
    <w:rsid w:val="00797C21"/>
    <w:rsid w:val="007A4C37"/>
    <w:rsid w:val="007B6B04"/>
    <w:rsid w:val="007B7628"/>
    <w:rsid w:val="007C1F9E"/>
    <w:rsid w:val="007C3D26"/>
    <w:rsid w:val="007C6FCB"/>
    <w:rsid w:val="007D2A9C"/>
    <w:rsid w:val="007D2C54"/>
    <w:rsid w:val="007D3F8C"/>
    <w:rsid w:val="007D4476"/>
    <w:rsid w:val="007D794C"/>
    <w:rsid w:val="007E1EC0"/>
    <w:rsid w:val="007E47B3"/>
    <w:rsid w:val="007E6771"/>
    <w:rsid w:val="007E6F7C"/>
    <w:rsid w:val="007E7637"/>
    <w:rsid w:val="007F3F13"/>
    <w:rsid w:val="007F77BE"/>
    <w:rsid w:val="007F7FE8"/>
    <w:rsid w:val="00800A14"/>
    <w:rsid w:val="00805A24"/>
    <w:rsid w:val="00807BCD"/>
    <w:rsid w:val="008112D9"/>
    <w:rsid w:val="00811671"/>
    <w:rsid w:val="0081255D"/>
    <w:rsid w:val="00817A74"/>
    <w:rsid w:val="00821E86"/>
    <w:rsid w:val="00822D14"/>
    <w:rsid w:val="00823473"/>
    <w:rsid w:val="00824990"/>
    <w:rsid w:val="00825E8E"/>
    <w:rsid w:val="00827BB6"/>
    <w:rsid w:val="00830147"/>
    <w:rsid w:val="00831F6E"/>
    <w:rsid w:val="00834617"/>
    <w:rsid w:val="00834FDE"/>
    <w:rsid w:val="008424DD"/>
    <w:rsid w:val="00845ACB"/>
    <w:rsid w:val="00846450"/>
    <w:rsid w:val="008506A7"/>
    <w:rsid w:val="00862240"/>
    <w:rsid w:val="00864CA1"/>
    <w:rsid w:val="0086717D"/>
    <w:rsid w:val="008733EB"/>
    <w:rsid w:val="00873ADB"/>
    <w:rsid w:val="00875B71"/>
    <w:rsid w:val="0088104F"/>
    <w:rsid w:val="0088127D"/>
    <w:rsid w:val="00882AA9"/>
    <w:rsid w:val="00886A6A"/>
    <w:rsid w:val="00891D3F"/>
    <w:rsid w:val="0089200E"/>
    <w:rsid w:val="00892E74"/>
    <w:rsid w:val="00895088"/>
    <w:rsid w:val="00896EE4"/>
    <w:rsid w:val="008A0207"/>
    <w:rsid w:val="008A0FC6"/>
    <w:rsid w:val="008A532E"/>
    <w:rsid w:val="008A755D"/>
    <w:rsid w:val="008A798D"/>
    <w:rsid w:val="008B4791"/>
    <w:rsid w:val="008B525C"/>
    <w:rsid w:val="008B7715"/>
    <w:rsid w:val="008C1798"/>
    <w:rsid w:val="008D009C"/>
    <w:rsid w:val="008D0137"/>
    <w:rsid w:val="008D060F"/>
    <w:rsid w:val="008D0ECD"/>
    <w:rsid w:val="008D0F79"/>
    <w:rsid w:val="008D1241"/>
    <w:rsid w:val="008D5D26"/>
    <w:rsid w:val="008E2FE3"/>
    <w:rsid w:val="008E7D9A"/>
    <w:rsid w:val="008F506E"/>
    <w:rsid w:val="008F6536"/>
    <w:rsid w:val="008F687F"/>
    <w:rsid w:val="00902EAB"/>
    <w:rsid w:val="009074AF"/>
    <w:rsid w:val="00910440"/>
    <w:rsid w:val="0091275B"/>
    <w:rsid w:val="009137DD"/>
    <w:rsid w:val="00914B2C"/>
    <w:rsid w:val="00916F46"/>
    <w:rsid w:val="00917F7E"/>
    <w:rsid w:val="0092115D"/>
    <w:rsid w:val="00930AF3"/>
    <w:rsid w:val="00930F8A"/>
    <w:rsid w:val="0093291A"/>
    <w:rsid w:val="009329FF"/>
    <w:rsid w:val="009335D3"/>
    <w:rsid w:val="00933A7B"/>
    <w:rsid w:val="009356D7"/>
    <w:rsid w:val="00945825"/>
    <w:rsid w:val="009458BB"/>
    <w:rsid w:val="009510B5"/>
    <w:rsid w:val="009517A5"/>
    <w:rsid w:val="00954CAA"/>
    <w:rsid w:val="009551F3"/>
    <w:rsid w:val="00962000"/>
    <w:rsid w:val="00965F3F"/>
    <w:rsid w:val="00967EE2"/>
    <w:rsid w:val="00972227"/>
    <w:rsid w:val="00973C28"/>
    <w:rsid w:val="00975630"/>
    <w:rsid w:val="00976BED"/>
    <w:rsid w:val="00977CC3"/>
    <w:rsid w:val="0098267A"/>
    <w:rsid w:val="00982B43"/>
    <w:rsid w:val="00985019"/>
    <w:rsid w:val="00985DBE"/>
    <w:rsid w:val="00987C5C"/>
    <w:rsid w:val="00991F5F"/>
    <w:rsid w:val="009A03DE"/>
    <w:rsid w:val="009A4754"/>
    <w:rsid w:val="009A55D3"/>
    <w:rsid w:val="009A7E9D"/>
    <w:rsid w:val="009B019B"/>
    <w:rsid w:val="009B58BB"/>
    <w:rsid w:val="009C3776"/>
    <w:rsid w:val="009C3A2C"/>
    <w:rsid w:val="009C47FC"/>
    <w:rsid w:val="009D16C1"/>
    <w:rsid w:val="009D6C85"/>
    <w:rsid w:val="009E14CC"/>
    <w:rsid w:val="009F0B13"/>
    <w:rsid w:val="009F1B2D"/>
    <w:rsid w:val="009F2C78"/>
    <w:rsid w:val="009F4EEA"/>
    <w:rsid w:val="009F5897"/>
    <w:rsid w:val="00A0460D"/>
    <w:rsid w:val="00A075EC"/>
    <w:rsid w:val="00A129E5"/>
    <w:rsid w:val="00A13247"/>
    <w:rsid w:val="00A13490"/>
    <w:rsid w:val="00A16700"/>
    <w:rsid w:val="00A1683F"/>
    <w:rsid w:val="00A21C84"/>
    <w:rsid w:val="00A3027C"/>
    <w:rsid w:val="00A303AA"/>
    <w:rsid w:val="00A317F0"/>
    <w:rsid w:val="00A32693"/>
    <w:rsid w:val="00A34A44"/>
    <w:rsid w:val="00A34A5B"/>
    <w:rsid w:val="00A35890"/>
    <w:rsid w:val="00A360D9"/>
    <w:rsid w:val="00A41399"/>
    <w:rsid w:val="00A42B03"/>
    <w:rsid w:val="00A451A7"/>
    <w:rsid w:val="00A5717E"/>
    <w:rsid w:val="00A628EB"/>
    <w:rsid w:val="00A6373B"/>
    <w:rsid w:val="00A66D12"/>
    <w:rsid w:val="00A66D57"/>
    <w:rsid w:val="00A67ADC"/>
    <w:rsid w:val="00A737E0"/>
    <w:rsid w:val="00A77CC0"/>
    <w:rsid w:val="00A81DAC"/>
    <w:rsid w:val="00A82D9B"/>
    <w:rsid w:val="00A83BE9"/>
    <w:rsid w:val="00A840AB"/>
    <w:rsid w:val="00A87D16"/>
    <w:rsid w:val="00A92B00"/>
    <w:rsid w:val="00A95CB4"/>
    <w:rsid w:val="00A96C41"/>
    <w:rsid w:val="00AA0643"/>
    <w:rsid w:val="00AA353E"/>
    <w:rsid w:val="00AA4010"/>
    <w:rsid w:val="00AB5F5F"/>
    <w:rsid w:val="00AC017C"/>
    <w:rsid w:val="00AC1CC3"/>
    <w:rsid w:val="00AC211D"/>
    <w:rsid w:val="00AC24AD"/>
    <w:rsid w:val="00AC4B1A"/>
    <w:rsid w:val="00AC5CBA"/>
    <w:rsid w:val="00AD1C9F"/>
    <w:rsid w:val="00AD4F27"/>
    <w:rsid w:val="00AD6D20"/>
    <w:rsid w:val="00AD77B6"/>
    <w:rsid w:val="00AE7ECC"/>
    <w:rsid w:val="00B00050"/>
    <w:rsid w:val="00B001B9"/>
    <w:rsid w:val="00B0171C"/>
    <w:rsid w:val="00B01FCB"/>
    <w:rsid w:val="00B02AB1"/>
    <w:rsid w:val="00B065EE"/>
    <w:rsid w:val="00B07506"/>
    <w:rsid w:val="00B1135B"/>
    <w:rsid w:val="00B3407F"/>
    <w:rsid w:val="00B42C1C"/>
    <w:rsid w:val="00B4778F"/>
    <w:rsid w:val="00B52046"/>
    <w:rsid w:val="00B528C4"/>
    <w:rsid w:val="00B6000E"/>
    <w:rsid w:val="00B6031A"/>
    <w:rsid w:val="00B62298"/>
    <w:rsid w:val="00B6399E"/>
    <w:rsid w:val="00B63A49"/>
    <w:rsid w:val="00B6788B"/>
    <w:rsid w:val="00B73DB4"/>
    <w:rsid w:val="00B761AC"/>
    <w:rsid w:val="00B764EE"/>
    <w:rsid w:val="00B8051A"/>
    <w:rsid w:val="00B82D6C"/>
    <w:rsid w:val="00B83169"/>
    <w:rsid w:val="00B83C15"/>
    <w:rsid w:val="00B84E31"/>
    <w:rsid w:val="00B87DAB"/>
    <w:rsid w:val="00B942ED"/>
    <w:rsid w:val="00B973A7"/>
    <w:rsid w:val="00BA037F"/>
    <w:rsid w:val="00BA0C91"/>
    <w:rsid w:val="00BA33CE"/>
    <w:rsid w:val="00BB3782"/>
    <w:rsid w:val="00BC1376"/>
    <w:rsid w:val="00BC1891"/>
    <w:rsid w:val="00BC497F"/>
    <w:rsid w:val="00BC4CCF"/>
    <w:rsid w:val="00BC4D57"/>
    <w:rsid w:val="00BD1AB8"/>
    <w:rsid w:val="00BD212D"/>
    <w:rsid w:val="00BD27BF"/>
    <w:rsid w:val="00BD453C"/>
    <w:rsid w:val="00BE0A2A"/>
    <w:rsid w:val="00BE31DD"/>
    <w:rsid w:val="00BE55FD"/>
    <w:rsid w:val="00BE6B23"/>
    <w:rsid w:val="00BE7937"/>
    <w:rsid w:val="00BE7EF9"/>
    <w:rsid w:val="00BF3826"/>
    <w:rsid w:val="00C0340E"/>
    <w:rsid w:val="00C034C7"/>
    <w:rsid w:val="00C034E0"/>
    <w:rsid w:val="00C05B83"/>
    <w:rsid w:val="00C06195"/>
    <w:rsid w:val="00C07BD2"/>
    <w:rsid w:val="00C11669"/>
    <w:rsid w:val="00C20E4E"/>
    <w:rsid w:val="00C22145"/>
    <w:rsid w:val="00C26DF1"/>
    <w:rsid w:val="00C27B9F"/>
    <w:rsid w:val="00C27D06"/>
    <w:rsid w:val="00C30F88"/>
    <w:rsid w:val="00C33548"/>
    <w:rsid w:val="00C3507C"/>
    <w:rsid w:val="00C350E9"/>
    <w:rsid w:val="00C3722D"/>
    <w:rsid w:val="00C40580"/>
    <w:rsid w:val="00C44E4C"/>
    <w:rsid w:val="00C45FB6"/>
    <w:rsid w:val="00C469D1"/>
    <w:rsid w:val="00C46C10"/>
    <w:rsid w:val="00C521A9"/>
    <w:rsid w:val="00C54681"/>
    <w:rsid w:val="00C56857"/>
    <w:rsid w:val="00C57737"/>
    <w:rsid w:val="00C61240"/>
    <w:rsid w:val="00C6182B"/>
    <w:rsid w:val="00C6267F"/>
    <w:rsid w:val="00C66A8D"/>
    <w:rsid w:val="00C71879"/>
    <w:rsid w:val="00C71A45"/>
    <w:rsid w:val="00C737C5"/>
    <w:rsid w:val="00C832D0"/>
    <w:rsid w:val="00C84330"/>
    <w:rsid w:val="00C846CB"/>
    <w:rsid w:val="00C85776"/>
    <w:rsid w:val="00C87100"/>
    <w:rsid w:val="00C93516"/>
    <w:rsid w:val="00C959A0"/>
    <w:rsid w:val="00C97F13"/>
    <w:rsid w:val="00C97FE5"/>
    <w:rsid w:val="00CA1689"/>
    <w:rsid w:val="00CA2A00"/>
    <w:rsid w:val="00CA2D50"/>
    <w:rsid w:val="00CA4DD2"/>
    <w:rsid w:val="00CA6E46"/>
    <w:rsid w:val="00CB06F6"/>
    <w:rsid w:val="00CB56B4"/>
    <w:rsid w:val="00CB6070"/>
    <w:rsid w:val="00CC0636"/>
    <w:rsid w:val="00CC0A46"/>
    <w:rsid w:val="00CC1E42"/>
    <w:rsid w:val="00CC62CB"/>
    <w:rsid w:val="00CC65DF"/>
    <w:rsid w:val="00CD18B9"/>
    <w:rsid w:val="00CD3AC8"/>
    <w:rsid w:val="00CD3CBE"/>
    <w:rsid w:val="00CF0B58"/>
    <w:rsid w:val="00CF1C6D"/>
    <w:rsid w:val="00CF2B10"/>
    <w:rsid w:val="00CF52C4"/>
    <w:rsid w:val="00D0049C"/>
    <w:rsid w:val="00D02E85"/>
    <w:rsid w:val="00D10D32"/>
    <w:rsid w:val="00D13032"/>
    <w:rsid w:val="00D13407"/>
    <w:rsid w:val="00D13FCB"/>
    <w:rsid w:val="00D147A8"/>
    <w:rsid w:val="00D15326"/>
    <w:rsid w:val="00D15818"/>
    <w:rsid w:val="00D167AC"/>
    <w:rsid w:val="00D1706B"/>
    <w:rsid w:val="00D21651"/>
    <w:rsid w:val="00D21FB7"/>
    <w:rsid w:val="00D23853"/>
    <w:rsid w:val="00D24D6E"/>
    <w:rsid w:val="00D33C0D"/>
    <w:rsid w:val="00D35BFF"/>
    <w:rsid w:val="00D37432"/>
    <w:rsid w:val="00D412D5"/>
    <w:rsid w:val="00D44FA7"/>
    <w:rsid w:val="00D46372"/>
    <w:rsid w:val="00D5053D"/>
    <w:rsid w:val="00D54692"/>
    <w:rsid w:val="00D62AE7"/>
    <w:rsid w:val="00D64D40"/>
    <w:rsid w:val="00D6681A"/>
    <w:rsid w:val="00D70A5A"/>
    <w:rsid w:val="00D71C6E"/>
    <w:rsid w:val="00D71C84"/>
    <w:rsid w:val="00D72437"/>
    <w:rsid w:val="00D731DF"/>
    <w:rsid w:val="00D73EF0"/>
    <w:rsid w:val="00D74E36"/>
    <w:rsid w:val="00D76528"/>
    <w:rsid w:val="00D84096"/>
    <w:rsid w:val="00D840B4"/>
    <w:rsid w:val="00D843A7"/>
    <w:rsid w:val="00D86CBE"/>
    <w:rsid w:val="00D90307"/>
    <w:rsid w:val="00D903A4"/>
    <w:rsid w:val="00D93D01"/>
    <w:rsid w:val="00D95975"/>
    <w:rsid w:val="00D9654C"/>
    <w:rsid w:val="00DA2884"/>
    <w:rsid w:val="00DA7A07"/>
    <w:rsid w:val="00DB0093"/>
    <w:rsid w:val="00DB211E"/>
    <w:rsid w:val="00DB3280"/>
    <w:rsid w:val="00DB393F"/>
    <w:rsid w:val="00DB3FED"/>
    <w:rsid w:val="00DB488E"/>
    <w:rsid w:val="00DB49FF"/>
    <w:rsid w:val="00DB5CBB"/>
    <w:rsid w:val="00DB62FA"/>
    <w:rsid w:val="00DC38B0"/>
    <w:rsid w:val="00DC50F8"/>
    <w:rsid w:val="00DC5E98"/>
    <w:rsid w:val="00DD319B"/>
    <w:rsid w:val="00DD51F5"/>
    <w:rsid w:val="00DD5B4C"/>
    <w:rsid w:val="00DD6FA5"/>
    <w:rsid w:val="00DE35ED"/>
    <w:rsid w:val="00DE3F06"/>
    <w:rsid w:val="00DF21D6"/>
    <w:rsid w:val="00DF5423"/>
    <w:rsid w:val="00DF6224"/>
    <w:rsid w:val="00DF77C6"/>
    <w:rsid w:val="00E00A69"/>
    <w:rsid w:val="00E00E72"/>
    <w:rsid w:val="00E1096A"/>
    <w:rsid w:val="00E12F7B"/>
    <w:rsid w:val="00E177E4"/>
    <w:rsid w:val="00E242AB"/>
    <w:rsid w:val="00E25E6E"/>
    <w:rsid w:val="00E25F2A"/>
    <w:rsid w:val="00E2604D"/>
    <w:rsid w:val="00E26772"/>
    <w:rsid w:val="00E27624"/>
    <w:rsid w:val="00E315D6"/>
    <w:rsid w:val="00E320A7"/>
    <w:rsid w:val="00E36CBB"/>
    <w:rsid w:val="00E37DE2"/>
    <w:rsid w:val="00E40166"/>
    <w:rsid w:val="00E40AC7"/>
    <w:rsid w:val="00E44119"/>
    <w:rsid w:val="00E471CE"/>
    <w:rsid w:val="00E47B00"/>
    <w:rsid w:val="00E61110"/>
    <w:rsid w:val="00E61F18"/>
    <w:rsid w:val="00E62830"/>
    <w:rsid w:val="00E64AB0"/>
    <w:rsid w:val="00E67725"/>
    <w:rsid w:val="00E7229E"/>
    <w:rsid w:val="00E75798"/>
    <w:rsid w:val="00E76DA7"/>
    <w:rsid w:val="00E80FF2"/>
    <w:rsid w:val="00E817C4"/>
    <w:rsid w:val="00E81D77"/>
    <w:rsid w:val="00E838D9"/>
    <w:rsid w:val="00E87100"/>
    <w:rsid w:val="00E92941"/>
    <w:rsid w:val="00E92A47"/>
    <w:rsid w:val="00E939CD"/>
    <w:rsid w:val="00E96224"/>
    <w:rsid w:val="00E97FF1"/>
    <w:rsid w:val="00EA479D"/>
    <w:rsid w:val="00EA65D8"/>
    <w:rsid w:val="00EA74BD"/>
    <w:rsid w:val="00EB3D95"/>
    <w:rsid w:val="00EB4623"/>
    <w:rsid w:val="00EB49DF"/>
    <w:rsid w:val="00EC0071"/>
    <w:rsid w:val="00EC04D7"/>
    <w:rsid w:val="00EC2705"/>
    <w:rsid w:val="00ED11D6"/>
    <w:rsid w:val="00ED1F83"/>
    <w:rsid w:val="00ED2612"/>
    <w:rsid w:val="00ED3B22"/>
    <w:rsid w:val="00EE1589"/>
    <w:rsid w:val="00EE3DDD"/>
    <w:rsid w:val="00F1331B"/>
    <w:rsid w:val="00F16CA7"/>
    <w:rsid w:val="00F250B3"/>
    <w:rsid w:val="00F34346"/>
    <w:rsid w:val="00F34568"/>
    <w:rsid w:val="00F41450"/>
    <w:rsid w:val="00F4333D"/>
    <w:rsid w:val="00F4469D"/>
    <w:rsid w:val="00F456DF"/>
    <w:rsid w:val="00F472EA"/>
    <w:rsid w:val="00F50737"/>
    <w:rsid w:val="00F55F03"/>
    <w:rsid w:val="00F61A56"/>
    <w:rsid w:val="00F62239"/>
    <w:rsid w:val="00F62D10"/>
    <w:rsid w:val="00F62D9D"/>
    <w:rsid w:val="00F64D7E"/>
    <w:rsid w:val="00F64D9C"/>
    <w:rsid w:val="00F70113"/>
    <w:rsid w:val="00F70C90"/>
    <w:rsid w:val="00F71D43"/>
    <w:rsid w:val="00F76942"/>
    <w:rsid w:val="00F77AD8"/>
    <w:rsid w:val="00F8365F"/>
    <w:rsid w:val="00F87F54"/>
    <w:rsid w:val="00F952C1"/>
    <w:rsid w:val="00F96586"/>
    <w:rsid w:val="00FA03ED"/>
    <w:rsid w:val="00FA04AF"/>
    <w:rsid w:val="00FA0DC0"/>
    <w:rsid w:val="00FA564D"/>
    <w:rsid w:val="00FA7FC7"/>
    <w:rsid w:val="00FB3151"/>
    <w:rsid w:val="00FB5EA8"/>
    <w:rsid w:val="00FB5F0C"/>
    <w:rsid w:val="00FC0D92"/>
    <w:rsid w:val="00FC3125"/>
    <w:rsid w:val="00FC326A"/>
    <w:rsid w:val="00FD3994"/>
    <w:rsid w:val="00FD3E1D"/>
    <w:rsid w:val="00FD452B"/>
    <w:rsid w:val="00FD6AFC"/>
    <w:rsid w:val="00FD75D5"/>
    <w:rsid w:val="00FE0581"/>
    <w:rsid w:val="00FE2C74"/>
    <w:rsid w:val="00FE7637"/>
    <w:rsid w:val="00FF0446"/>
    <w:rsid w:val="00FF1217"/>
    <w:rsid w:val="00FF34D3"/>
    <w:rsid w:val="00FF461E"/>
    <w:rsid w:val="486191D3"/>
    <w:rsid w:val="6812D87C"/>
    <w:rsid w:val="7B57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C0BCA"/>
  <w15:chartTrackingRefBased/>
  <w15:docId w15:val="{7A2E6B1E-2943-41E9-92AA-15715EA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432"/>
    <w:pPr>
      <w:spacing w:after="0" w:line="240" w:lineRule="auto"/>
    </w:pPr>
    <w:rPr>
      <w:rFonts w:ascii="Times New Roman" w:hAnsi="Times New Roman" w:cs="Arial"/>
      <w:sz w:val="24"/>
    </w:rPr>
  </w:style>
  <w:style w:type="paragraph" w:styleId="Heading1">
    <w:name w:val="heading 1"/>
    <w:basedOn w:val="Normal"/>
    <w:next w:val="Normal"/>
    <w:link w:val="Heading1Char"/>
    <w:uiPriority w:val="9"/>
    <w:qFormat/>
    <w:rsid w:val="00CB6070"/>
    <w:pPr>
      <w:spacing w:before="120" w:after="120"/>
      <w:jc w:val="center"/>
      <w:outlineLvl w:val="0"/>
    </w:pPr>
    <w:rPr>
      <w:b/>
      <w:sz w:val="28"/>
    </w:rPr>
  </w:style>
  <w:style w:type="paragraph" w:styleId="Heading2">
    <w:name w:val="heading 2"/>
    <w:basedOn w:val="Heading1"/>
    <w:next w:val="Normal"/>
    <w:link w:val="Heading2Char"/>
    <w:uiPriority w:val="9"/>
    <w:unhideWhenUsed/>
    <w:qFormat/>
    <w:rsid w:val="007671FD"/>
    <w:pPr>
      <w:jc w:val="left"/>
      <w:outlineLvl w:val="1"/>
    </w:pPr>
  </w:style>
  <w:style w:type="paragraph" w:styleId="Heading3">
    <w:name w:val="heading 3"/>
    <w:basedOn w:val="Normal"/>
    <w:next w:val="Normal"/>
    <w:link w:val="Heading3Char"/>
    <w:uiPriority w:val="9"/>
    <w:unhideWhenUsed/>
    <w:qFormat/>
    <w:rsid w:val="00D37432"/>
    <w:pPr>
      <w:ind w:firstLine="720"/>
      <w:outlineLvl w:val="2"/>
    </w:pPr>
    <w:rPr>
      <w:b/>
    </w:rPr>
  </w:style>
  <w:style w:type="paragraph" w:styleId="Heading4">
    <w:name w:val="heading 4"/>
    <w:basedOn w:val="Normal"/>
    <w:next w:val="Normal"/>
    <w:link w:val="Heading4Char"/>
    <w:uiPriority w:val="9"/>
    <w:unhideWhenUsed/>
    <w:qFormat/>
    <w:rsid w:val="00C27B9F"/>
    <w:pPr>
      <w:ind w:firstLine="720"/>
      <w:outlineLvl w:val="3"/>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1F9"/>
    <w:pPr>
      <w:tabs>
        <w:tab w:val="center" w:pos="4680"/>
        <w:tab w:val="right" w:pos="9360"/>
      </w:tabs>
    </w:pPr>
  </w:style>
  <w:style w:type="character" w:customStyle="1" w:styleId="HeaderChar">
    <w:name w:val="Header Char"/>
    <w:basedOn w:val="DefaultParagraphFont"/>
    <w:link w:val="Header"/>
    <w:uiPriority w:val="99"/>
    <w:rsid w:val="002411F9"/>
  </w:style>
  <w:style w:type="paragraph" w:styleId="Footer">
    <w:name w:val="footer"/>
    <w:basedOn w:val="Normal"/>
    <w:link w:val="FooterChar"/>
    <w:uiPriority w:val="99"/>
    <w:unhideWhenUsed/>
    <w:rsid w:val="002411F9"/>
    <w:pPr>
      <w:tabs>
        <w:tab w:val="center" w:pos="4680"/>
        <w:tab w:val="right" w:pos="9360"/>
      </w:tabs>
    </w:pPr>
  </w:style>
  <w:style w:type="character" w:customStyle="1" w:styleId="FooterChar">
    <w:name w:val="Footer Char"/>
    <w:basedOn w:val="DefaultParagraphFont"/>
    <w:link w:val="Footer"/>
    <w:uiPriority w:val="99"/>
    <w:rsid w:val="002411F9"/>
  </w:style>
  <w:style w:type="table" w:styleId="TableGrid">
    <w:name w:val="Table Grid"/>
    <w:basedOn w:val="TableNormal"/>
    <w:uiPriority w:val="39"/>
    <w:rsid w:val="00933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0A14"/>
    <w:pPr>
      <w:ind w:left="720"/>
      <w:contextualSpacing/>
    </w:pPr>
  </w:style>
  <w:style w:type="numbering" w:customStyle="1" w:styleId="Style1">
    <w:name w:val="Style1"/>
    <w:uiPriority w:val="99"/>
    <w:rsid w:val="00485CB0"/>
    <w:pPr>
      <w:numPr>
        <w:numId w:val="6"/>
      </w:numPr>
    </w:pPr>
  </w:style>
  <w:style w:type="paragraph" w:styleId="NormalWeb">
    <w:name w:val="Normal (Web)"/>
    <w:basedOn w:val="Normal"/>
    <w:uiPriority w:val="99"/>
    <w:unhideWhenUsed/>
    <w:rsid w:val="00526BA8"/>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CB6070"/>
    <w:rPr>
      <w:rFonts w:ascii="Arial" w:hAnsi="Arial" w:cs="Arial"/>
      <w:b/>
      <w:sz w:val="28"/>
    </w:rPr>
  </w:style>
  <w:style w:type="character" w:customStyle="1" w:styleId="Heading2Char">
    <w:name w:val="Heading 2 Char"/>
    <w:basedOn w:val="DefaultParagraphFont"/>
    <w:link w:val="Heading2"/>
    <w:uiPriority w:val="9"/>
    <w:rsid w:val="007671FD"/>
    <w:rPr>
      <w:rFonts w:ascii="Arial" w:hAnsi="Arial" w:cs="Arial"/>
      <w:b/>
      <w:sz w:val="28"/>
    </w:rPr>
  </w:style>
  <w:style w:type="table" w:styleId="GridTable5Dark-Accent1">
    <w:name w:val="Grid Table 5 Dark Accent 1"/>
    <w:basedOn w:val="TableNormal"/>
    <w:uiPriority w:val="50"/>
    <w:rsid w:val="009211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3Char">
    <w:name w:val="Heading 3 Char"/>
    <w:basedOn w:val="DefaultParagraphFont"/>
    <w:link w:val="Heading3"/>
    <w:uiPriority w:val="9"/>
    <w:rsid w:val="00D37432"/>
    <w:rPr>
      <w:rFonts w:ascii="Arial" w:hAnsi="Arial" w:cs="Arial"/>
      <w:b/>
      <w:sz w:val="24"/>
    </w:rPr>
  </w:style>
  <w:style w:type="character" w:customStyle="1" w:styleId="Heading4Char">
    <w:name w:val="Heading 4 Char"/>
    <w:basedOn w:val="DefaultParagraphFont"/>
    <w:link w:val="Heading4"/>
    <w:uiPriority w:val="9"/>
    <w:rsid w:val="00C27B9F"/>
    <w:rPr>
      <w:rFonts w:ascii="Arial" w:hAnsi="Arial" w:cs="Arial"/>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9993">
      <w:bodyDiv w:val="1"/>
      <w:marLeft w:val="0"/>
      <w:marRight w:val="0"/>
      <w:marTop w:val="0"/>
      <w:marBottom w:val="0"/>
      <w:divBdr>
        <w:top w:val="none" w:sz="0" w:space="0" w:color="auto"/>
        <w:left w:val="none" w:sz="0" w:space="0" w:color="auto"/>
        <w:bottom w:val="none" w:sz="0" w:space="0" w:color="auto"/>
        <w:right w:val="none" w:sz="0" w:space="0" w:color="auto"/>
      </w:divBdr>
    </w:div>
    <w:div w:id="363751134">
      <w:bodyDiv w:val="1"/>
      <w:marLeft w:val="0"/>
      <w:marRight w:val="0"/>
      <w:marTop w:val="0"/>
      <w:marBottom w:val="0"/>
      <w:divBdr>
        <w:top w:val="none" w:sz="0" w:space="0" w:color="auto"/>
        <w:left w:val="none" w:sz="0" w:space="0" w:color="auto"/>
        <w:bottom w:val="none" w:sz="0" w:space="0" w:color="auto"/>
        <w:right w:val="none" w:sz="0" w:space="0" w:color="auto"/>
      </w:divBdr>
    </w:div>
    <w:div w:id="652490214">
      <w:bodyDiv w:val="1"/>
      <w:marLeft w:val="0"/>
      <w:marRight w:val="0"/>
      <w:marTop w:val="0"/>
      <w:marBottom w:val="0"/>
      <w:divBdr>
        <w:top w:val="none" w:sz="0" w:space="0" w:color="auto"/>
        <w:left w:val="none" w:sz="0" w:space="0" w:color="auto"/>
        <w:bottom w:val="none" w:sz="0" w:space="0" w:color="auto"/>
        <w:right w:val="none" w:sz="0" w:space="0" w:color="auto"/>
      </w:divBdr>
    </w:div>
    <w:div w:id="793913606">
      <w:bodyDiv w:val="1"/>
      <w:marLeft w:val="0"/>
      <w:marRight w:val="0"/>
      <w:marTop w:val="0"/>
      <w:marBottom w:val="0"/>
      <w:divBdr>
        <w:top w:val="none" w:sz="0" w:space="0" w:color="auto"/>
        <w:left w:val="none" w:sz="0" w:space="0" w:color="auto"/>
        <w:bottom w:val="none" w:sz="0" w:space="0" w:color="auto"/>
        <w:right w:val="none" w:sz="0" w:space="0" w:color="auto"/>
      </w:divBdr>
    </w:div>
    <w:div w:id="926767390">
      <w:bodyDiv w:val="1"/>
      <w:marLeft w:val="0"/>
      <w:marRight w:val="0"/>
      <w:marTop w:val="0"/>
      <w:marBottom w:val="0"/>
      <w:divBdr>
        <w:top w:val="none" w:sz="0" w:space="0" w:color="auto"/>
        <w:left w:val="none" w:sz="0" w:space="0" w:color="auto"/>
        <w:bottom w:val="none" w:sz="0" w:space="0" w:color="auto"/>
        <w:right w:val="none" w:sz="0" w:space="0" w:color="auto"/>
      </w:divBdr>
    </w:div>
    <w:div w:id="1208492298">
      <w:bodyDiv w:val="1"/>
      <w:marLeft w:val="0"/>
      <w:marRight w:val="0"/>
      <w:marTop w:val="0"/>
      <w:marBottom w:val="0"/>
      <w:divBdr>
        <w:top w:val="none" w:sz="0" w:space="0" w:color="auto"/>
        <w:left w:val="none" w:sz="0" w:space="0" w:color="auto"/>
        <w:bottom w:val="none" w:sz="0" w:space="0" w:color="auto"/>
        <w:right w:val="none" w:sz="0" w:space="0" w:color="auto"/>
      </w:divBdr>
    </w:div>
    <w:div w:id="1238130905">
      <w:bodyDiv w:val="1"/>
      <w:marLeft w:val="0"/>
      <w:marRight w:val="0"/>
      <w:marTop w:val="0"/>
      <w:marBottom w:val="0"/>
      <w:divBdr>
        <w:top w:val="none" w:sz="0" w:space="0" w:color="auto"/>
        <w:left w:val="none" w:sz="0" w:space="0" w:color="auto"/>
        <w:bottom w:val="none" w:sz="0" w:space="0" w:color="auto"/>
        <w:right w:val="none" w:sz="0" w:space="0" w:color="auto"/>
      </w:divBdr>
    </w:div>
    <w:div w:id="1441678401">
      <w:bodyDiv w:val="1"/>
      <w:marLeft w:val="0"/>
      <w:marRight w:val="0"/>
      <w:marTop w:val="0"/>
      <w:marBottom w:val="0"/>
      <w:divBdr>
        <w:top w:val="none" w:sz="0" w:space="0" w:color="auto"/>
        <w:left w:val="none" w:sz="0" w:space="0" w:color="auto"/>
        <w:bottom w:val="none" w:sz="0" w:space="0" w:color="auto"/>
        <w:right w:val="none" w:sz="0" w:space="0" w:color="auto"/>
      </w:divBdr>
    </w:div>
    <w:div w:id="1526941128">
      <w:bodyDiv w:val="1"/>
      <w:marLeft w:val="0"/>
      <w:marRight w:val="0"/>
      <w:marTop w:val="0"/>
      <w:marBottom w:val="0"/>
      <w:divBdr>
        <w:top w:val="none" w:sz="0" w:space="0" w:color="auto"/>
        <w:left w:val="none" w:sz="0" w:space="0" w:color="auto"/>
        <w:bottom w:val="none" w:sz="0" w:space="0" w:color="auto"/>
        <w:right w:val="none" w:sz="0" w:space="0" w:color="auto"/>
      </w:divBdr>
    </w:div>
    <w:div w:id="1529492172">
      <w:bodyDiv w:val="1"/>
      <w:marLeft w:val="0"/>
      <w:marRight w:val="0"/>
      <w:marTop w:val="0"/>
      <w:marBottom w:val="0"/>
      <w:divBdr>
        <w:top w:val="none" w:sz="0" w:space="0" w:color="auto"/>
        <w:left w:val="none" w:sz="0" w:space="0" w:color="auto"/>
        <w:bottom w:val="none" w:sz="0" w:space="0" w:color="auto"/>
        <w:right w:val="none" w:sz="0" w:space="0" w:color="auto"/>
      </w:divBdr>
    </w:div>
    <w:div w:id="1548762985">
      <w:bodyDiv w:val="1"/>
      <w:marLeft w:val="0"/>
      <w:marRight w:val="0"/>
      <w:marTop w:val="0"/>
      <w:marBottom w:val="0"/>
      <w:divBdr>
        <w:top w:val="none" w:sz="0" w:space="0" w:color="auto"/>
        <w:left w:val="none" w:sz="0" w:space="0" w:color="auto"/>
        <w:bottom w:val="none" w:sz="0" w:space="0" w:color="auto"/>
        <w:right w:val="none" w:sz="0" w:space="0" w:color="auto"/>
      </w:divBdr>
    </w:div>
    <w:div w:id="1550990307">
      <w:bodyDiv w:val="1"/>
      <w:marLeft w:val="0"/>
      <w:marRight w:val="0"/>
      <w:marTop w:val="0"/>
      <w:marBottom w:val="0"/>
      <w:divBdr>
        <w:top w:val="none" w:sz="0" w:space="0" w:color="auto"/>
        <w:left w:val="none" w:sz="0" w:space="0" w:color="auto"/>
        <w:bottom w:val="none" w:sz="0" w:space="0" w:color="auto"/>
        <w:right w:val="none" w:sz="0" w:space="0" w:color="auto"/>
      </w:divBdr>
    </w:div>
    <w:div w:id="1557735365">
      <w:bodyDiv w:val="1"/>
      <w:marLeft w:val="0"/>
      <w:marRight w:val="0"/>
      <w:marTop w:val="0"/>
      <w:marBottom w:val="0"/>
      <w:divBdr>
        <w:top w:val="none" w:sz="0" w:space="0" w:color="auto"/>
        <w:left w:val="none" w:sz="0" w:space="0" w:color="auto"/>
        <w:bottom w:val="none" w:sz="0" w:space="0" w:color="auto"/>
        <w:right w:val="none" w:sz="0" w:space="0" w:color="auto"/>
      </w:divBdr>
      <w:divsChild>
        <w:div w:id="1624648666">
          <w:marLeft w:val="0"/>
          <w:marRight w:val="0"/>
          <w:marTop w:val="0"/>
          <w:marBottom w:val="0"/>
          <w:divBdr>
            <w:top w:val="none" w:sz="0" w:space="0" w:color="auto"/>
            <w:left w:val="none" w:sz="0" w:space="0" w:color="auto"/>
            <w:bottom w:val="none" w:sz="0" w:space="0" w:color="auto"/>
            <w:right w:val="none" w:sz="0" w:space="0" w:color="auto"/>
          </w:divBdr>
          <w:divsChild>
            <w:div w:id="227419074">
              <w:marLeft w:val="0"/>
              <w:marRight w:val="0"/>
              <w:marTop w:val="0"/>
              <w:marBottom w:val="0"/>
              <w:divBdr>
                <w:top w:val="none" w:sz="0" w:space="0" w:color="auto"/>
                <w:left w:val="none" w:sz="0" w:space="0" w:color="auto"/>
                <w:bottom w:val="none" w:sz="0" w:space="0" w:color="auto"/>
                <w:right w:val="none" w:sz="0" w:space="0" w:color="auto"/>
              </w:divBdr>
              <w:divsChild>
                <w:div w:id="20879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442">
      <w:bodyDiv w:val="1"/>
      <w:marLeft w:val="0"/>
      <w:marRight w:val="0"/>
      <w:marTop w:val="0"/>
      <w:marBottom w:val="0"/>
      <w:divBdr>
        <w:top w:val="none" w:sz="0" w:space="0" w:color="auto"/>
        <w:left w:val="none" w:sz="0" w:space="0" w:color="auto"/>
        <w:bottom w:val="none" w:sz="0" w:space="0" w:color="auto"/>
        <w:right w:val="none" w:sz="0" w:space="0" w:color="auto"/>
      </w:divBdr>
    </w:div>
    <w:div w:id="1641687999">
      <w:bodyDiv w:val="1"/>
      <w:marLeft w:val="0"/>
      <w:marRight w:val="0"/>
      <w:marTop w:val="0"/>
      <w:marBottom w:val="0"/>
      <w:divBdr>
        <w:top w:val="none" w:sz="0" w:space="0" w:color="auto"/>
        <w:left w:val="none" w:sz="0" w:space="0" w:color="auto"/>
        <w:bottom w:val="none" w:sz="0" w:space="0" w:color="auto"/>
        <w:right w:val="none" w:sz="0" w:space="0" w:color="auto"/>
      </w:divBdr>
    </w:div>
    <w:div w:id="1646204389">
      <w:bodyDiv w:val="1"/>
      <w:marLeft w:val="0"/>
      <w:marRight w:val="0"/>
      <w:marTop w:val="0"/>
      <w:marBottom w:val="0"/>
      <w:divBdr>
        <w:top w:val="none" w:sz="0" w:space="0" w:color="auto"/>
        <w:left w:val="none" w:sz="0" w:space="0" w:color="auto"/>
        <w:bottom w:val="none" w:sz="0" w:space="0" w:color="auto"/>
        <w:right w:val="none" w:sz="0" w:space="0" w:color="auto"/>
      </w:divBdr>
    </w:div>
    <w:div w:id="1806779316">
      <w:bodyDiv w:val="1"/>
      <w:marLeft w:val="0"/>
      <w:marRight w:val="0"/>
      <w:marTop w:val="0"/>
      <w:marBottom w:val="0"/>
      <w:divBdr>
        <w:top w:val="none" w:sz="0" w:space="0" w:color="auto"/>
        <w:left w:val="none" w:sz="0" w:space="0" w:color="auto"/>
        <w:bottom w:val="none" w:sz="0" w:space="0" w:color="auto"/>
        <w:right w:val="none" w:sz="0" w:space="0" w:color="auto"/>
      </w:divBdr>
      <w:divsChild>
        <w:div w:id="1592857481">
          <w:marLeft w:val="0"/>
          <w:marRight w:val="0"/>
          <w:marTop w:val="0"/>
          <w:marBottom w:val="0"/>
          <w:divBdr>
            <w:top w:val="none" w:sz="0" w:space="0" w:color="auto"/>
            <w:left w:val="none" w:sz="0" w:space="0" w:color="auto"/>
            <w:bottom w:val="none" w:sz="0" w:space="0" w:color="auto"/>
            <w:right w:val="none" w:sz="0" w:space="0" w:color="auto"/>
          </w:divBdr>
          <w:divsChild>
            <w:div w:id="1513032080">
              <w:marLeft w:val="0"/>
              <w:marRight w:val="0"/>
              <w:marTop w:val="0"/>
              <w:marBottom w:val="0"/>
              <w:divBdr>
                <w:top w:val="none" w:sz="0" w:space="0" w:color="auto"/>
                <w:left w:val="none" w:sz="0" w:space="0" w:color="auto"/>
                <w:bottom w:val="none" w:sz="0" w:space="0" w:color="auto"/>
                <w:right w:val="none" w:sz="0" w:space="0" w:color="auto"/>
              </w:divBdr>
              <w:divsChild>
                <w:div w:id="15493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4060">
      <w:bodyDiv w:val="1"/>
      <w:marLeft w:val="0"/>
      <w:marRight w:val="0"/>
      <w:marTop w:val="0"/>
      <w:marBottom w:val="0"/>
      <w:divBdr>
        <w:top w:val="none" w:sz="0" w:space="0" w:color="auto"/>
        <w:left w:val="none" w:sz="0" w:space="0" w:color="auto"/>
        <w:bottom w:val="none" w:sz="0" w:space="0" w:color="auto"/>
        <w:right w:val="none" w:sz="0" w:space="0" w:color="auto"/>
      </w:divBdr>
    </w:div>
    <w:div w:id="1850673647">
      <w:bodyDiv w:val="1"/>
      <w:marLeft w:val="0"/>
      <w:marRight w:val="0"/>
      <w:marTop w:val="0"/>
      <w:marBottom w:val="0"/>
      <w:divBdr>
        <w:top w:val="none" w:sz="0" w:space="0" w:color="auto"/>
        <w:left w:val="none" w:sz="0" w:space="0" w:color="auto"/>
        <w:bottom w:val="none" w:sz="0" w:space="0" w:color="auto"/>
        <w:right w:val="none" w:sz="0" w:space="0" w:color="auto"/>
      </w:divBdr>
    </w:div>
    <w:div w:id="1862626936">
      <w:bodyDiv w:val="1"/>
      <w:marLeft w:val="0"/>
      <w:marRight w:val="0"/>
      <w:marTop w:val="0"/>
      <w:marBottom w:val="0"/>
      <w:divBdr>
        <w:top w:val="none" w:sz="0" w:space="0" w:color="auto"/>
        <w:left w:val="none" w:sz="0" w:space="0" w:color="auto"/>
        <w:bottom w:val="none" w:sz="0" w:space="0" w:color="auto"/>
        <w:right w:val="none" w:sz="0" w:space="0" w:color="auto"/>
      </w:divBdr>
    </w:div>
    <w:div w:id="202886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4.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89433D90A23D4FB9F77A5CD99D88DE" ma:contentTypeVersion="14" ma:contentTypeDescription="Create a new document." ma:contentTypeScope="" ma:versionID="9a28c0b3e880ab53c7d5a153528adf54">
  <xsd:schema xmlns:xsd="http://www.w3.org/2001/XMLSchema" xmlns:xs="http://www.w3.org/2001/XMLSchema" xmlns:p="http://schemas.microsoft.com/office/2006/metadata/properties" xmlns:ns3="3e9427e9-1a1b-4fd2-83c2-8f4bb576ffe7" xmlns:ns4="148fe87f-5ea9-469a-ae26-b062933e35f4" targetNamespace="http://schemas.microsoft.com/office/2006/metadata/properties" ma:root="true" ma:fieldsID="498543bf2cb15b9b70c7a636f6e1fac8" ns3:_="" ns4:_="">
    <xsd:import namespace="3e9427e9-1a1b-4fd2-83c2-8f4bb576ffe7"/>
    <xsd:import namespace="148fe87f-5ea9-469a-ae26-b062933e35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9427e9-1a1b-4fd2-83c2-8f4bb576ff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8fe87f-5ea9-469a-ae26-b062933e35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0EDF8D-497D-4839-A862-1A42CCB19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9427e9-1a1b-4fd2-83c2-8f4bb576ffe7"/>
    <ds:schemaRef ds:uri="148fe87f-5ea9-469a-ae26-b062933e35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06C41B-0068-4ABE-B5AF-989F485DFA22}">
  <ds:schemaRefs>
    <ds:schemaRef ds:uri="http://schemas.microsoft.com/sharepoint/v3/contenttype/forms"/>
  </ds:schemaRefs>
</ds:datastoreItem>
</file>

<file path=customXml/itemProps3.xml><?xml version="1.0" encoding="utf-8"?>
<ds:datastoreItem xmlns:ds="http://schemas.openxmlformats.org/officeDocument/2006/customXml" ds:itemID="{4606DD95-99BF-46E7-9C7F-FB2808F6EA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4086</Words>
  <Characters>23291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Hardy, Le Roy</dc:creator>
  <cp:keywords/>
  <dc:description/>
  <cp:lastModifiedBy>Buddha, Sriharsha</cp:lastModifiedBy>
  <cp:revision>2</cp:revision>
  <dcterms:created xsi:type="dcterms:W3CDTF">2023-04-24T04:44:00Z</dcterms:created>
  <dcterms:modified xsi:type="dcterms:W3CDTF">2023-04-24T04:44:00Z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0x0101007489433D90A23D4FB9F77A5CD99D88DE</vt:lpwstr>
  </property>
  <property fmtid="{D5CDD505-2E9C-101B-9397-08002B2CF9AE}" pid="3" name="GrammarlyDocumentId">
    <vt:lpwstr>305469096fa737cf8e6eae71bcf7b75fc30aceb2330678841e13d101785fb31a</vt:lpwstr>
  </property>
</Properties>
</file>