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 Materials:</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Laptop to use during experiment </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Instructions of the experiment that is given to the participant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 websites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Timer</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 record software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where experiment is going to take place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Survey (x2)</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Form or Handwritten?</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Consent Forms (Printed)</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 to give to participants after experiment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 Design:</w:t>
      </w:r>
    </w:p>
    <w:p w:rsidR="00000000" w:rsidDel="00000000" w:rsidP="00000000" w:rsidRDefault="00000000" w:rsidRPr="00000000" w14:paraId="0000000E">
      <w:pPr>
        <w:spacing w:after="240" w:line="240" w:lineRule="auto"/>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If you say yes, you will be sat in front of a laptop computer.  You will be asked to look at and interact with a web-based platform.  After a specific amount of time, you will be asked to complete a premade survey asking simple questions about the website you were just interacting with.  After completion of the survey, you will be given a short break before because asked to interact with a second website.  Again, you will interact with the site for set amount of time before taking a second premade survey.  After both surveys are complete, you will be free to go.  The research should take about 30 to 45 minutes.  You may interact with any of the research conductors, who will be around if you have any questions during participation.  You will not be paid for participating in this study.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