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Ajinomoto Philippines – Supplier Onboarding Requirements</w:t>
      </w:r>
    </w:p>
    <w:p>
      <w:pPr/>
      <w:r>
        <w:t xml:space="preserve">Workshop Day 1 · </w:t>
      </w:r>
      <w:r>
        <w:t xml:space="preserve">Oct 26, 2026</w:t>
      </w:r>
      <w:r>
        <w:t xml:space="preserve"> · </w:t>
      </w:r>
      <w:r>
        <w:t xml:space="preserve">@Srini</w:t>
      </w:r>
    </w:p>
    <w:p>
      <w:pPr>
        <w:pStyle w:val="Heading2"/>
      </w:pPr>
      <w:r>
        <w:t xml:space="preserve">1. Workshop context and scope</w:t>
      </w:r>
    </w:p>
    <w:p>
      <w:pPr/>
      <w:r>
        <w:t xml:space="preserve">Ajinomoto Philippines (Project Beacon) needs one system where new raw material and packaging suppliers are accredited, documented and approved end to end, replacing today's email, shared-drive and paper-form process before vendor creation in SAP S/4HANA.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9"/>
        <w:gridCol w:w="6740"/>
      </w:tblGrid>
      <w:tr>
        <w:trPr>
          <w:tblHeader/>
        </w:trPr>
        <w:tc>
          <w:tcPr>
            <w:tcW w:w="2619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74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2619" w:type="dxa"/>
          </w:tcPr>
          <w:p>
            <w:pPr/>
            <w:r>
              <w:t xml:space="preserve">Client</w:t>
            </w:r>
          </w:p>
        </w:tc>
        <w:tc>
          <w:tcPr>
            <w:tcW w:w="6740" w:type="dxa"/>
          </w:tcPr>
          <w:p>
            <w:pPr/>
            <w:r>
              <w:t xml:space="preserve">Ajinomoto Philippines Corporation (APC)</w:t>
            </w:r>
          </w:p>
        </w:tc>
      </w:tr>
      <w:tr>
        <w:tc>
          <w:tcPr>
            <w:tcW w:w="2619" w:type="dxa"/>
          </w:tcPr>
          <w:p>
            <w:pPr/>
            <w:r>
              <w:t xml:space="preserve">Programme</w:t>
            </w:r>
          </w:p>
        </w:tc>
        <w:tc>
          <w:tcPr>
            <w:tcW w:w="6740" w:type="dxa"/>
          </w:tcPr>
          <w:p>
            <w:pPr/>
            <w:r>
              <w:t xml:space="preserve">Project Beacon (Business Excellence through Automation, Collaboration, Optimization Network)</w:t>
            </w:r>
          </w:p>
        </w:tc>
      </w:tr>
      <w:tr>
        <w:tc>
          <w:tcPr>
            <w:tcW w:w="2619" w:type="dxa"/>
          </w:tcPr>
          <w:p>
            <w:pPr/>
            <w:r>
              <w:t xml:space="preserve">Workshop</w:t>
            </w:r>
          </w:p>
        </w:tc>
        <w:tc>
          <w:tcPr>
            <w:tcW w:w="6740" w:type="dxa"/>
          </w:tcPr>
          <w:p>
            <w:pPr/>
            <w:r>
              <w:t xml:space="preserve">Day 1 – Supplier onboarding and accreditation, 26 Oct 2026</w:t>
            </w:r>
          </w:p>
        </w:tc>
      </w:tr>
      <w:tr>
        <w:tc>
          <w:tcPr>
            <w:tcW w:w="2619" w:type="dxa"/>
          </w:tcPr>
          <w:p>
            <w:pPr/>
            <w:r>
              <w:t xml:space="preserve">Durvah team</w:t>
            </w:r>
          </w:p>
        </w:tc>
        <w:tc>
          <w:tcPr>
            <w:tcW w:w="6740" w:type="dxa"/>
          </w:tcPr>
          <w:p>
            <w:pPr/>
            <w:r>
              <w:t xml:space="preserve">Srini, Kishore, Sunit Nighut</w:t>
            </w:r>
          </w:p>
        </w:tc>
      </w:tr>
      <w:tr>
        <w:tc>
          <w:tcPr>
            <w:tcW w:w="2619" w:type="dxa"/>
          </w:tcPr>
          <w:p>
            <w:pPr/>
            <w:r>
              <w:t xml:space="preserve">Ajinomoto team</w:t>
            </w:r>
          </w:p>
        </w:tc>
        <w:tc>
          <w:tcPr>
            <w:tcW w:w="6740" w:type="dxa"/>
          </w:tcPr>
          <w:p>
            <w:pPr/>
            <w:r>
              <w:t xml:space="preserve">Chris Ballesteros (Beacon lead), procurement (Ray, Josh), Sir Jed; IT – Joanna Escanilla, Daryl Ann Malabo, Janine; Joshua Omus</w:t>
            </w:r>
          </w:p>
        </w:tc>
      </w:tr>
      <w:tr>
        <w:tc>
          <w:tcPr>
            <w:tcW w:w="2619" w:type="dxa"/>
          </w:tcPr>
          <w:p>
            <w:pPr/>
            <w:r>
              <w:t xml:space="preserve">Purpose</w:t>
            </w:r>
          </w:p>
        </w:tc>
        <w:tc>
          <w:tcPr>
            <w:tcW w:w="6740" w:type="dxa"/>
          </w:tcPr>
          <w:p>
            <w:pPr/>
            <w:r>
              <w:t xml:space="preserve">Understand the as-is onboarding process to define requirements for selecting a source-to-pay / supplier management platform</w:t>
            </w:r>
          </w:p>
        </w:tc>
      </w:tr>
    </w:tbl>
    <w:p>
      <w:pPr/>
      <w:r>
        <w:rPr>
          <w:b/>
        </w:rPr>
        <w:t xml:space="preserve">In scope (phase 1)</w:t>
      </w:r>
    </w:p>
    <w:p>
      <w:pPr>
        <w:pStyle w:val="ListParagraph"/>
        <w:numPr>
          <w:ilvl w:val="0"/>
          <w:numId w:val="2"/>
        </w:numPr>
      </w:pPr>
      <w:r>
        <w:t xml:space="preserve">Direct procurement only: raw materials (RM) and packaging materials (PM).</w:t>
      </w:r>
    </w:p>
    <w:p>
      <w:pPr>
        <w:pStyle w:val="ListParagraph"/>
        <w:numPr>
          <w:ilvl w:val="0"/>
          <w:numId w:val="2"/>
        </w:numPr>
      </w:pPr>
      <w:r>
        <w:t xml:space="preserve">New-supplier sourcing, quality assessment, audit, accreditation and vendor creation.</w:t>
      </w:r>
    </w:p>
    <w:p>
      <w:pPr>
        <w:pStyle w:val="ListParagraph"/>
        <w:numPr>
          <w:ilvl w:val="0"/>
          <w:numId w:val="2"/>
        </w:numPr>
      </w:pPr>
      <w:r>
        <w:t xml:space="preserve">Sourcing of alternative suppliers for existing materials.</w:t>
      </w:r>
    </w:p>
    <w:p>
      <w:pPr>
        <w:pStyle w:val="ListParagraph"/>
        <w:numPr>
          <w:ilvl w:val="0"/>
          <w:numId w:val="2"/>
        </w:numPr>
      </w:pPr>
      <w:r>
        <w:t xml:space="preserve">E-sourcing (RFQ) and a supplier pricing database – confirmed in scope though not shown in the high-level process deck.</w:t>
      </w:r>
    </w:p>
    <w:p>
      <w:pPr/>
      <w:r>
        <w:rPr>
          <w:b/>
        </w:rPr>
        <w:t xml:space="preserve">Out of scope (phase 1)</w:t>
      </w:r>
    </w:p>
    <w:p>
      <w:pPr>
        <w:pStyle w:val="ListParagraph"/>
        <w:numPr>
          <w:ilvl w:val="0"/>
          <w:numId w:val="3"/>
        </w:numPr>
      </w:pPr>
      <w:r>
        <w:t xml:space="preserve">Indirect procurement, services and assets – to follow after phase 1, subject to management decision.</w:t>
      </w:r>
    </w:p>
    <w:p>
      <w:pPr>
        <w:pStyle w:val="ListParagraph"/>
        <w:numPr>
          <w:ilvl w:val="0"/>
          <w:numId w:val="3"/>
        </w:numPr>
      </w:pPr>
      <w:r>
        <w:t xml:space="preserve">Market intelligence for finding new suppliers (commodity price tracking follows an Ajinomoto group standard).</w:t>
      </w:r>
    </w:p>
    <w:p>
      <w:pPr/>
      <w:r>
        <w:rPr>
          <w:b/>
        </w:rPr>
        <w:t xml:space="preserve">Covered in later sessions:</w:t>
      </w:r>
      <w:r>
        <w:t xml:space="preserve"> supplier audit planning and performance evaluation (QCD), PR-to-PO and delivery scheduling, finance vendor creation, R&amp;D material evaluation.</w:t>
      </w:r>
    </w:p>
    <w:p>
      <w:pPr>
        <w:pStyle w:val="Heading2"/>
      </w:pPr>
      <w:r>
        <w:t xml:space="preserve">2. Stakeholders in onboarding</w:t>
      </w:r>
    </w:p>
    <w:p>
      <w:pPr/>
      <w:r>
        <w:t xml:space="preserve">At Ajinomoto, procurement covers buying, quality and material development together, so many functions touch every new supplier.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Role in supplier onboarding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R&amp;D</w:t>
            </w:r>
          </w:p>
        </w:tc>
        <w:tc>
          <w:tcPr>
            <w:tcW w:w="4920" w:type="dxa"/>
          </w:tcPr>
          <w:p>
            <w:pPr/>
            <w:r>
              <w:t xml:space="preserve">Raises the need for new materials; issues the specification set and required document list; evaluates samples and trials; decides with procurement whether to continue with a failing supplier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Procurement (head office)</w:t>
            </w:r>
          </w:p>
        </w:tc>
        <w:tc>
          <w:tcPr>
            <w:tcW w:w="4920" w:type="dxa"/>
          </w:tcPr>
          <w:p>
            <w:pPr/>
            <w:r>
              <w:t xml:space="preserve">Identifies potential suppliers, sends RFQs, evaluates cost, collects documents, requests audits, signs the vendor request form, awards and issues POs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Quality Assurance (QA)</w:t>
            </w:r>
          </w:p>
        </w:tc>
        <w:tc>
          <w:tcPr>
            <w:tcW w:w="4920" w:type="dxa"/>
          </w:tcPr>
          <w:p>
            <w:pPr/>
            <w:r>
              <w:t xml:space="preserve">Reviews technical documents and certifications; leads quality assessment, which includes the audit result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Audit team (APC team, SDMD, procurement, R&amp;D, QA)</w:t>
            </w:r>
          </w:p>
        </w:tc>
        <w:tc>
          <w:tcPr>
            <w:tcW w:w="4920" w:type="dxa"/>
          </w:tcPr>
          <w:p>
            <w:pPr/>
            <w:r>
              <w:t xml:space="preserve">On-site audit for local suppliers; remote/document or GSM audit for foreign suppliers via Ajinomoto affiliates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Marketing</w:t>
            </w:r>
          </w:p>
        </w:tc>
        <w:tc>
          <w:tcPr>
            <w:tcW w:w="4920" w:type="dxa"/>
          </w:tcPr>
          <w:p>
            <w:pPr/>
            <w:r>
              <w:t xml:space="preserve">Part of the internal product assessment with R&amp;D and QA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Supply planning (SPLDR)</w:t>
            </w:r>
          </w:p>
        </w:tc>
        <w:tc>
          <w:tcPr>
            <w:tcW w:w="4920" w:type="dxa"/>
          </w:tcPr>
          <w:p>
            <w:pPr/>
            <w:r>
              <w:t xml:space="preserve">Delivery scheduling; requests creation of new items in SAP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Finance</w:t>
            </w:r>
          </w:p>
        </w:tc>
        <w:tc>
          <w:tcPr>
            <w:tcW w:w="4920" w:type="dxa"/>
          </w:tcPr>
          <w:p>
            <w:pPr/>
            <w:r>
              <w:t xml:space="preserve">Creates the vendor master in SAP from the vendor request form; validates banking details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IT</w:t>
            </w:r>
          </w:p>
        </w:tc>
        <w:tc>
          <w:tcPr>
            <w:tcW w:w="4920" w:type="dxa"/>
          </w:tcPr>
          <w:p>
            <w:pPr/>
            <w:r>
              <w:t xml:space="preserve">Creates material/item masters in SAP on request; owns integrations (ABAP in-house, third-party vendors for WMS/LIMS)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Factories (2 plants + 1 planned; hub for FG only)</w:t>
            </w:r>
          </w:p>
        </w:tc>
        <w:tc>
          <w:tcPr>
            <w:tcW w:w="4920" w:type="dxa"/>
          </w:tcPr>
          <w:p>
            <w:pPr/>
            <w:r>
              <w:t xml:space="preserve">Receive materials; provide quality and delivery inputs for supplier performance (QCD)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Management / department heads</w:t>
            </w:r>
          </w:p>
        </w:tc>
        <w:tc>
          <w:tcPr>
            <w:tcW w:w="4920" w:type="dxa"/>
          </w:tcPr>
          <w:p>
            <w:pPr/>
            <w:r>
              <w:t xml:space="preserve">Review accreditation documents; approve the vendor checklist</w:t>
            </w:r>
          </w:p>
        </w:tc>
      </w:tr>
    </w:tbl>
    <w:p>
      <w:pPr>
        <w:pStyle w:val="Heading2"/>
      </w:pPr>
      <w:r>
        <w:t xml:space="preserve">3. Current-state process (as-is)</w:t>
      </w:r>
    </w:p>
    <w:p>
      <w:pPr/>
      <w:r>
        <w:t xml:space="preserve">Onboarding is item-led: a supplier is only accredited after one of its materials passes cost, trial and quality checks, and every hand-off between teams happens by email.</w:t>
      </w:r>
    </w:p>
    <w:p>
      <w:pPr/>
      <w:r>
        <w:drawing>
          <wp:inline distT="0" distB="0" distL="0" distR="0">
            <wp:extent cx="5486400" cy="5715000"/>
            <wp:docPr id="1" name="image1" descr="As-is supplier onboarding · 9 steps, 3 exi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s-is supplier onboarding · 9 steps, 3 exi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As-is supplier onboarding · 9 steps, 3 exits</w:t>
      </w:r>
    </w:p>
    <w:p>
      <w:pPr/>
      <w:r>
        <w:t xml:space="preserve">Key points from the walkthrough:</w:t>
      </w:r>
    </w:p>
    <w:p>
      <w:pPr>
        <w:pStyle w:val="ListParagraph"/>
        <w:numPr>
          <w:ilvl w:val="0"/>
          <w:numId w:val="4"/>
        </w:numPr>
      </w:pPr>
      <w:r>
        <w:t xml:space="preserve">Supplier documents are requested in two rounds: product/technical documents during sourcing, then company documents for accreditation once quality passes.</w:t>
      </w:r>
    </w:p>
    <w:p>
      <w:pPr>
        <w:pStyle w:val="ListParagraph"/>
        <w:numPr>
          <w:ilvl w:val="0"/>
          <w:numId w:val="4"/>
        </w:numPr>
      </w:pPr>
      <w:r>
        <w:t xml:space="preserve">Audit is mandatory for new suppliers. For an existing supplier offering a new material, the team decides case by case, because the manufacturing process may differ.</w:t>
      </w:r>
    </w:p>
    <w:p>
      <w:pPr>
        <w:pStyle w:val="ListParagraph"/>
        <w:numPr>
          <w:ilvl w:val="0"/>
          <w:numId w:val="4"/>
        </w:numPr>
      </w:pPr>
      <w:r>
        <w:t xml:space="preserve">Accreditation itself rarely fails: suppliers that reach it already hold business permits. Failures happen earlier, in trials or audit.</w:t>
      </w:r>
    </w:p>
    <w:p>
      <w:pPr>
        <w:pStyle w:val="ListParagraph"/>
        <w:numPr>
          <w:ilvl w:val="0"/>
          <w:numId w:val="4"/>
        </w:numPr>
      </w:pPr>
      <w:r>
        <w:t xml:space="preserve">For existing materials, procurement runs an annual alternative-sourcing review, driven by the KPI on reducing sole supply and unit cost. Existing accredited suppliers are checked first.</w:t>
      </w:r>
    </w:p>
    <w:p>
      <w:pPr>
        <w:pStyle w:val="ListParagraph"/>
        <w:numPr>
          <w:ilvl w:val="0"/>
          <w:numId w:val="4"/>
        </w:numPr>
      </w:pPr>
      <w:r>
        <w:t xml:space="preserve">Indirect POs are sometimes raised by the same team but follow a different, out-of-scope sourcing process.</w:t>
      </w:r>
    </w:p>
    <w:p>
      <w:pPr>
        <w:pStyle w:val="Heading2"/>
      </w:pPr>
      <w:r>
        <w:t xml:space="preserve">4. Pain points</w:t>
      </w:r>
    </w:p>
    <w:p>
      <w:pPr/>
      <w:r>
        <w:t xml:space="preserve">The biggest gap is that accreditation happens entirely outside any system: nobody can see a supplier's status or whether its documents are valid.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Pain point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Impact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4920" w:type="dxa"/>
          </w:tcPr>
          <w:p>
            <w:pPr/>
            <w:r>
              <w:t xml:space="preserve">Documents exchanged by email back and forth between supplier, procurement, R&amp;D, QA and finance; stored in shared drives, not one repository</w:t>
            </w:r>
          </w:p>
        </w:tc>
        <w:tc>
          <w:tcPr>
            <w:tcW w:w="3720" w:type="dxa"/>
          </w:tcPr>
          <w:p>
            <w:pPr/>
            <w:r>
              <w:t xml:space="preserve">Long cycle times; documents hard to find and verify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P2</w:t>
            </w:r>
          </w:p>
        </w:tc>
        <w:tc>
          <w:tcPr>
            <w:tcW w:w="4920" w:type="dxa"/>
          </w:tcPr>
          <w:p>
            <w:pPr/>
            <w:r>
              <w:t xml:space="preserve">No status visibility for internal teams or suppliers on assessment and accreditation</w:t>
            </w:r>
          </w:p>
        </w:tc>
        <w:tc>
          <w:tcPr>
            <w:tcW w:w="3720" w:type="dxa"/>
          </w:tcPr>
          <w:p>
            <w:pPr/>
            <w:r>
              <w:t xml:space="preserve">Follow-ups by email; suppliers not formally told of pass/fail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P3</w:t>
            </w:r>
          </w:p>
        </w:tc>
        <w:tc>
          <w:tcPr>
            <w:tcW w:w="4920" w:type="dxa"/>
          </w:tcPr>
          <w:p>
            <w:pPr/>
            <w:r>
              <w:t xml:space="preserve">No formal disqualification step – a failed assessment is communicated by email only</w:t>
            </w:r>
          </w:p>
        </w:tc>
        <w:tc>
          <w:tcPr>
            <w:tcW w:w="3720" w:type="dxa"/>
          </w:tcPr>
          <w:p>
            <w:pPr/>
            <w:r>
              <w:t xml:space="preserve">No audit trail of rejection decisions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P4</w:t>
            </w:r>
          </w:p>
        </w:tc>
        <w:tc>
          <w:tcPr>
            <w:tcW w:w="4920" w:type="dxa"/>
          </w:tcPr>
          <w:p>
            <w:pPr/>
            <w:r>
              <w:t xml:space="preserve">Document expiry is checked manually</w:t>
            </w:r>
          </w:p>
        </w:tc>
        <w:tc>
          <w:tcPr>
            <w:tcW w:w="3720" w:type="dxa"/>
          </w:tcPr>
          <w:p>
            <w:pPr/>
            <w:r>
              <w:t xml:space="preserve">Risk of buying from suppliers with expired certifications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P5</w:t>
            </w:r>
          </w:p>
        </w:tc>
        <w:tc>
          <w:tcPr>
            <w:tcW w:w="4920" w:type="dxa"/>
          </w:tcPr>
          <w:p>
            <w:pPr/>
            <w:r>
              <w:t xml:space="preserve">Paper/Excel vendor request form with wet signatures; suppliers often skip it and attach documents instead</w:t>
            </w:r>
          </w:p>
        </w:tc>
        <w:tc>
          <w:tcPr>
            <w:tcW w:w="3720" w:type="dxa"/>
          </w:tcPr>
          <w:p>
            <w:pPr/>
            <w:r>
              <w:t xml:space="preserve">Finance re-keys data; inconsistent master data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P6</w:t>
            </w:r>
          </w:p>
        </w:tc>
        <w:tc>
          <w:tcPr>
            <w:tcW w:w="4920" w:type="dxa"/>
          </w:tcPr>
          <w:p>
            <w:pPr/>
            <w:r>
              <w:t xml:space="preserve">SAP allows the same supplier to be created twice; no unique-ID check (TIN)</w:t>
            </w:r>
          </w:p>
        </w:tc>
        <w:tc>
          <w:tcPr>
            <w:tcW w:w="3720" w:type="dxa"/>
          </w:tcPr>
          <w:p>
            <w:pPr/>
            <w:r>
              <w:t xml:space="preserve">Duplicate vendor codes – at least two known cases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P7</w:t>
            </w:r>
          </w:p>
        </w:tc>
        <w:tc>
          <w:tcPr>
            <w:tcW w:w="4920" w:type="dxa"/>
          </w:tcPr>
          <w:p>
            <w:pPr/>
            <w:r>
              <w:t xml:space="preserve">No supplier type classification (local vs foreign) beyond address and currency</w:t>
            </w:r>
          </w:p>
        </w:tc>
        <w:tc>
          <w:tcPr>
            <w:tcW w:w="3720" w:type="dxa"/>
          </w:tcPr>
          <w:p>
            <w:pPr/>
            <w:r>
              <w:t xml:space="preserve">Wrong document checklist and bank fields per supplier type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P8</w:t>
            </w:r>
          </w:p>
        </w:tc>
        <w:tc>
          <w:tcPr>
            <w:tcW w:w="4920" w:type="dxa"/>
          </w:tcPr>
          <w:p>
            <w:pPr/>
            <w:r>
              <w:t xml:space="preserve">Approved supplier status is per material but not enforced in SAP – a supplier cannot be blocked for one material only</w:t>
            </w:r>
          </w:p>
        </w:tc>
        <w:tc>
          <w:tcPr>
            <w:tcW w:w="3720" w:type="dxa"/>
          </w:tcPr>
          <w:p>
            <w:pPr/>
            <w:r>
              <w:t xml:space="preserve">Risk of ordering a material from a supplier not approved for 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P9</w:t>
            </w:r>
          </w:p>
        </w:tc>
        <w:tc>
          <w:tcPr>
            <w:tcW w:w="4920" w:type="dxa"/>
          </w:tcPr>
          <w:p>
            <w:pPr/>
            <w:r>
              <w:t xml:space="preserve">No price agreements: PO prices are typed manually from the latest quotation; outline agreements exist in SAP but are not used</w:t>
            </w:r>
          </w:p>
        </w:tc>
        <w:tc>
          <w:tcPr>
            <w:tcW w:w="3720" w:type="dxa"/>
          </w:tcPr>
          <w:p>
            <w:pPr/>
            <w:r>
              <w:t xml:space="preserve">Repeat RFQs, price errors, procurement effort on every PO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P10</w:t>
            </w:r>
          </w:p>
        </w:tc>
        <w:tc>
          <w:tcPr>
            <w:tcW w:w="4920" w:type="dxa"/>
          </w:tcPr>
          <w:p>
            <w:pPr/>
            <w:r>
              <w:t xml:space="preserve">Quality inspection data sits in QAD/LIMS with no direct link to supplier records</w:t>
            </w:r>
          </w:p>
        </w:tc>
        <w:tc>
          <w:tcPr>
            <w:tcW w:w="3720" w:type="dxa"/>
          </w:tcPr>
          <w:p>
            <w:pPr/>
            <w:r>
              <w:t xml:space="preserve">Performance evaluation is manual</w:t>
            </w:r>
          </w:p>
        </w:tc>
      </w:tr>
    </w:tbl>
    <w:p>
      <w:pPr/>
      <w:r>
        <w:rPr>
          <w:b/>
        </w:rPr>
        <w:t xml:space="preserve">Cycle times quoted:</w:t>
      </w:r>
      <w:r>
        <w:t xml:space="preserve"> accreditation 1–2 weeks once assessment passes; RFQ to award 5 days to 1 month; a new material with a new supplier can take about 1 year because of R&amp;D trials.</w:t>
      </w:r>
    </w:p>
    <w:p>
      <w:pPr>
        <w:pStyle w:val="Heading2"/>
      </w:pPr>
      <w:r>
        <w:t xml:space="preserve">5. Future-state process (to-be)</w:t>
      </w:r>
    </w:p>
    <w:p>
      <w:pPr/>
      <w:r>
        <w:t xml:space="preserve">The proposed flow keeps Ajinomoto's assessment gates but moves every document, decision and status update onto one platform, with suppliers working in a portal and SAP receiving only approved suppliers and agreed prices.</w:t>
      </w:r>
    </w:p>
    <w:p>
      <w:pPr/>
      <w:r>
        <w:drawing>
          <wp:inline distT="0" distB="0" distL="0" distR="0">
            <wp:extent cx="5486400" cy="7274378"/>
            <wp:docPr id="2" name="image2" descr="To-be supplier onboarding · 3 lanes, 9 st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o-be supplier onboarding · 3 lanes, 9 step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7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To-be supplier onboarding · 3 lanes, 9 steps</w:t>
      </w:r>
    </w:p>
    <w:p>
      <w:pPr/>
      <w:r>
        <w:t xml:space="preserve">Design principles agreed in discussion:</w:t>
      </w:r>
    </w:p>
    <w:p>
      <w:pPr>
        <w:pStyle w:val="ListParagraph"/>
        <w:numPr>
          <w:ilvl w:val="0"/>
          <w:numId w:val="5"/>
        </w:numPr>
      </w:pPr>
      <w:r>
        <w:t xml:space="preserve">Registration is by invitation only; suppliers cannot self-register for RM and PM.</w:t>
      </w:r>
    </w:p>
    <w:p>
      <w:pPr>
        <w:pStyle w:val="ListParagraph"/>
        <w:numPr>
          <w:ilvl w:val="0"/>
          <w:numId w:val="5"/>
        </w:numPr>
      </w:pPr>
      <w:r>
        <w:t xml:space="preserve">R&amp;D and QA can run trials and audits outside the system, but record the outcome and reports in it.</w:t>
      </w:r>
    </w:p>
    <w:p>
      <w:pPr>
        <w:pStyle w:val="ListParagraph"/>
        <w:numPr>
          <w:ilvl w:val="0"/>
          <w:numId w:val="5"/>
        </w:numPr>
      </w:pPr>
      <w:r>
        <w:t xml:space="preserve">Suppliers see their status at every stage and receive a formal notice if they fail.</w:t>
      </w:r>
    </w:p>
    <w:p>
      <w:pPr>
        <w:pStyle w:val="ListParagraph"/>
        <w:numPr>
          <w:ilvl w:val="0"/>
          <w:numId w:val="5"/>
        </w:numPr>
      </w:pPr>
      <w:r>
        <w:t xml:space="preserve">Finance still creates the vendor in SAP, but from approved platform data rather than a re-keyed form.</w:t>
      </w:r>
    </w:p>
    <w:p>
      <w:pPr>
        <w:pStyle w:val="ListParagraph"/>
        <w:numPr>
          <w:ilvl w:val="0"/>
          <w:numId w:val="5"/>
        </w:numPr>
      </w:pPr>
      <w:r>
        <w:t xml:space="preserve">Steps 2 to 5 can run in parallel for two or more suppliers on the same material.</w:t>
      </w:r>
    </w:p>
    <w:p>
      <w:pPr>
        <w:pStyle w:val="Heading2"/>
      </w:pPr>
      <w:r>
        <w:t xml:space="preserve">6. Functional requirements</w:t>
      </w:r>
    </w:p>
    <w:p>
      <w:pPr/>
      <w:r>
        <w:t xml:space="preserve">Twenty-four requirements came out of Day 1; the must-haves centre on a supplier portal, configurable document checklists and a tracked accreditation workflow ending in SAP vendor creation. Priorities are Durvah's proposal for Ajinomoto to confirm.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2062"/>
        <w:gridCol w:w="4920"/>
        <w:gridCol w:w="1510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062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5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SO-01</w:t>
            </w:r>
          </w:p>
        </w:tc>
        <w:tc>
          <w:tcPr>
            <w:tcW w:w="2062" w:type="dxa"/>
          </w:tcPr>
          <w:p>
            <w:pPr/>
            <w:r>
              <w:t xml:space="preserve">Sourcing request</w:t>
            </w:r>
          </w:p>
        </w:tc>
        <w:tc>
          <w:tcPr>
            <w:tcW w:w="4920" w:type="dxa"/>
          </w:tcPr>
          <w:p>
            <w:pPr/>
            <w:r>
              <w:t xml:space="preserve">Capture the sourcing need from R&amp;D (new material) or procurement (alternative supplier for existing material) as a tracked request with the specification set attached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SO-02</w:t>
            </w:r>
          </w:p>
        </w:tc>
        <w:tc>
          <w:tcPr>
            <w:tcW w:w="2062" w:type="dxa"/>
          </w:tcPr>
          <w:p>
            <w:pPr/>
            <w:r>
              <w:t xml:space="preserve">Supplier invitation</w:t>
            </w:r>
          </w:p>
        </w:tc>
        <w:tc>
          <w:tcPr>
            <w:tcW w:w="4920" w:type="dxa"/>
          </w:tcPr>
          <w:p>
            <w:pPr/>
            <w:r>
              <w:t xml:space="preserve">Procurement invites potential suppliers to a portal by link; no paper forms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SO-03</w:t>
            </w:r>
          </w:p>
        </w:tc>
        <w:tc>
          <w:tcPr>
            <w:tcW w:w="2062" w:type="dxa"/>
          </w:tcPr>
          <w:p>
            <w:pPr/>
            <w:r>
              <w:t xml:space="preserve">Supplier portal</w:t>
            </w:r>
          </w:p>
        </w:tc>
        <w:tc>
          <w:tcPr>
            <w:tcW w:w="4920" w:type="dxa"/>
          </w:tcPr>
          <w:p>
            <w:pPr/>
            <w:r>
              <w:t xml:space="preserve">Suppliers self-enter company, contact, tax and bank details and upload documents; pre-checklist blocks submission until mandatory items are present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SO-04</w:t>
            </w:r>
          </w:p>
        </w:tc>
        <w:tc>
          <w:tcPr>
            <w:tcW w:w="2062" w:type="dxa"/>
          </w:tcPr>
          <w:p>
            <w:pPr/>
            <w:r>
              <w:t xml:space="preserve">Registration path</w:t>
            </w:r>
          </w:p>
        </w:tc>
        <w:tc>
          <w:tcPr>
            <w:tcW w:w="4920" w:type="dxa"/>
          </w:tcPr>
          <w:p>
            <w:pPr/>
            <w:r>
              <w:t xml:space="preserve">Support invitation-only registration for RM/PM (no open self-registration); registration follows assessment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SO-05</w:t>
            </w:r>
          </w:p>
        </w:tc>
        <w:tc>
          <w:tcPr>
            <w:tcW w:w="2062" w:type="dxa"/>
          </w:tcPr>
          <w:p>
            <w:pPr/>
            <w:r>
              <w:t xml:space="preserve">E-sourcing</w:t>
            </w:r>
          </w:p>
        </w:tc>
        <w:tc>
          <w:tcPr>
            <w:tcW w:w="4920" w:type="dxa"/>
          </w:tcPr>
          <w:p>
            <w:pPr/>
            <w:r>
              <w:t xml:space="preserve">Issue RFQs to multiple potential suppliers; capture quotations electronically; cost comparison and evaluation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SO-06</w:t>
            </w:r>
          </w:p>
        </w:tc>
        <w:tc>
          <w:tcPr>
            <w:tcW w:w="2062" w:type="dxa"/>
          </w:tcPr>
          <w:p>
            <w:pPr/>
            <w:r>
              <w:t xml:space="preserve">Product documents</w:t>
            </w:r>
          </w:p>
        </w:tc>
        <w:tc>
          <w:tcPr>
            <w:tcW w:w="4920" w:type="dxa"/>
          </w:tcPr>
          <w:p>
            <w:pPr/>
            <w:r>
              <w:t xml:space="preserve">Material-specific document requests (specifications, FDA, certificates) defined by R&amp;D per material; same set sent to all suppliers for that material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SO-07</w:t>
            </w:r>
          </w:p>
        </w:tc>
        <w:tc>
          <w:tcPr>
            <w:tcW w:w="2062" w:type="dxa"/>
          </w:tcPr>
          <w:p>
            <w:pPr/>
            <w:r>
              <w:t xml:space="preserve">Parallel tracks</w:t>
            </w:r>
          </w:p>
        </w:tc>
        <w:tc>
          <w:tcPr>
            <w:tcW w:w="4920" w:type="dxa"/>
          </w:tcPr>
          <w:p>
            <w:pPr/>
            <w:r>
              <w:t xml:space="preserve">Sample evaluation and product-document review can run in parallel; at least two suppliers can be in assessment at once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SO-08</w:t>
            </w:r>
          </w:p>
        </w:tc>
        <w:tc>
          <w:tcPr>
            <w:tcW w:w="2062" w:type="dxa"/>
          </w:tcPr>
          <w:p>
            <w:pPr/>
            <w:r>
              <w:t xml:space="preserve">Assessment results</w:t>
            </w:r>
          </w:p>
        </w:tc>
        <w:tc>
          <w:tcPr>
            <w:tcW w:w="4920" w:type="dxa"/>
          </w:tcPr>
          <w:p>
            <w:pPr/>
            <w:r>
              <w:t xml:space="preserve">R&amp;D/QA record trial, sample and quality assessment outcome (pass/fail) with reports attached; assessment itself may run outside the system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SO-09</w:t>
            </w:r>
          </w:p>
        </w:tc>
        <w:tc>
          <w:tcPr>
            <w:tcW w:w="2062" w:type="dxa"/>
          </w:tcPr>
          <w:p>
            <w:pPr/>
            <w:r>
              <w:t xml:space="preserve">Audit</w:t>
            </w:r>
          </w:p>
        </w:tc>
        <w:tc>
          <w:tcPr>
            <w:tcW w:w="4920" w:type="dxa"/>
          </w:tcPr>
          <w:p>
            <w:pPr/>
            <w:r>
              <w:t xml:space="preserve">Record audit need, type (on-site, remote/document, GSM via affiliate), schedule, team and result. Mandatory for new suppliers; decided case by case for a new material from an existing supplier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SO-10</w:t>
            </w:r>
          </w:p>
        </w:tc>
        <w:tc>
          <w:tcPr>
            <w:tcW w:w="2062" w:type="dxa"/>
          </w:tcPr>
          <w:p>
            <w:pPr/>
            <w:r>
              <w:t xml:space="preserve">Disqualification</w:t>
            </w:r>
          </w:p>
        </w:tc>
        <w:tc>
          <w:tcPr>
            <w:tcW w:w="4920" w:type="dxa"/>
          </w:tcPr>
          <w:p>
            <w:pPr/>
            <w:r>
              <w:t xml:space="preserve">Formal fail outcome at any stage, notified to the supplier in the portal, with reason; replaces email-only notice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SO-11</w:t>
            </w:r>
          </w:p>
        </w:tc>
        <w:tc>
          <w:tcPr>
            <w:tcW w:w="2062" w:type="dxa"/>
          </w:tcPr>
          <w:p>
            <w:pPr/>
            <w:r>
              <w:t xml:space="preserve">Accreditation documents</w:t>
            </w:r>
          </w:p>
        </w:tc>
        <w:tc>
          <w:tcPr>
            <w:tcW w:w="4920" w:type="dxa"/>
          </w:tcPr>
          <w:p>
            <w:pPr/>
            <w:r>
              <w:t xml:space="preserve">Company-level checklist (business permits, BIR 2303/TIN, sample invoice, bank certificate, company profile, certifications), varying by supplier type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SO-12</w:t>
            </w:r>
          </w:p>
        </w:tc>
        <w:tc>
          <w:tcPr>
            <w:tcW w:w="2062" w:type="dxa"/>
          </w:tcPr>
          <w:p>
            <w:pPr/>
            <w:r>
              <w:t xml:space="preserve">Document validity</w:t>
            </w:r>
          </w:p>
        </w:tc>
        <w:tc>
          <w:tcPr>
            <w:tcW w:w="4920" w:type="dxa"/>
          </w:tcPr>
          <w:p>
            <w:pPr/>
            <w:r>
              <w:t xml:space="preserve">Expiry dates captured per document; alerts to procurement and supplier before expiry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SO-13</w:t>
            </w:r>
          </w:p>
        </w:tc>
        <w:tc>
          <w:tcPr>
            <w:tcW w:w="2062" w:type="dxa"/>
          </w:tcPr>
          <w:p>
            <w:pPr/>
            <w:r>
              <w:t xml:space="preserve">Approval workflow</w:t>
            </w:r>
          </w:p>
        </w:tc>
        <w:tc>
          <w:tcPr>
            <w:tcW w:w="4920" w:type="dxa"/>
          </w:tcPr>
          <w:p>
            <w:pPr/>
            <w:r>
              <w:t xml:space="preserve">Configurable approval of accreditation: procurement → department heads / management → finance; digital approval replaces wet signatures on the vendor checklist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SO-14</w:t>
            </w:r>
          </w:p>
        </w:tc>
        <w:tc>
          <w:tcPr>
            <w:tcW w:w="2062" w:type="dxa"/>
          </w:tcPr>
          <w:p>
            <w:pPr/>
            <w:r>
              <w:t xml:space="preserve">Status visibility</w:t>
            </w:r>
          </w:p>
        </w:tc>
        <w:tc>
          <w:tcPr>
            <w:tcW w:w="4920" w:type="dxa"/>
          </w:tcPr>
          <w:p>
            <w:pPr/>
            <w:r>
              <w:t xml:space="preserve">Status of each supplier and material assessment visible to internal teams and to the supplier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SO-15</w:t>
            </w:r>
          </w:p>
        </w:tc>
        <w:tc>
          <w:tcPr>
            <w:tcW w:w="2062" w:type="dxa"/>
          </w:tcPr>
          <w:p>
            <w:pPr/>
            <w:r>
              <w:t xml:space="preserve">Single repository</w:t>
            </w:r>
          </w:p>
        </w:tc>
        <w:tc>
          <w:tcPr>
            <w:tcW w:w="4920" w:type="dxa"/>
          </w:tcPr>
          <w:p>
            <w:pPr/>
            <w:r>
              <w:t xml:space="preserve">All supplier and assessment documents held against the supplier and material record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SO-16</w:t>
            </w:r>
          </w:p>
        </w:tc>
        <w:tc>
          <w:tcPr>
            <w:tcW w:w="2062" w:type="dxa"/>
          </w:tcPr>
          <w:p>
            <w:pPr/>
            <w:r>
              <w:t xml:space="preserve">Duplicate check</w:t>
            </w:r>
          </w:p>
        </w:tc>
        <w:tc>
          <w:tcPr>
            <w:tcW w:w="4920" w:type="dxa"/>
          </w:tcPr>
          <w:p>
            <w:pPr/>
            <w:r>
              <w:t xml:space="preserve">Block duplicate suppliers on a unique key (TIN/BIR 2303 for local; equivalent for foreign)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SO-17</w:t>
            </w:r>
          </w:p>
        </w:tc>
        <w:tc>
          <w:tcPr>
            <w:tcW w:w="2062" w:type="dxa"/>
          </w:tcPr>
          <w:p>
            <w:pPr/>
            <w:r>
              <w:t xml:space="preserve">Supplier classification</w:t>
            </w:r>
          </w:p>
        </w:tc>
        <w:tc>
          <w:tcPr>
            <w:tcW w:w="4920" w:type="dxa"/>
          </w:tcPr>
          <w:p>
            <w:pPr/>
            <w:r>
              <w:t xml:space="preserve">Classify suppliers by type (local/foreign, direct/indirect) to drive document checklist, bank fields and SAP account group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SO-18</w:t>
            </w:r>
          </w:p>
        </w:tc>
        <w:tc>
          <w:tcPr>
            <w:tcW w:w="2062" w:type="dxa"/>
          </w:tcPr>
          <w:p>
            <w:pPr/>
            <w:r>
              <w:t xml:space="preserve">Approved supplier list</w:t>
            </w:r>
          </w:p>
        </w:tc>
        <w:tc>
          <w:tcPr>
            <w:tcW w:w="4920" w:type="dxa"/>
          </w:tcPr>
          <w:p>
            <w:pPr/>
            <w:r>
              <w:t xml:space="preserve">Approval held at supplier × material level; only approved combinations available for award and PO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SO-19</w:t>
            </w:r>
          </w:p>
        </w:tc>
        <w:tc>
          <w:tcPr>
            <w:tcW w:w="2062" w:type="dxa"/>
          </w:tcPr>
          <w:p>
            <w:pPr/>
            <w:r>
              <w:t xml:space="preserve">Supplier changes</w:t>
            </w:r>
          </w:p>
        </w:tc>
        <w:tc>
          <w:tcPr>
            <w:tcW w:w="4920" w:type="dxa"/>
          </w:tcPr>
          <w:p>
            <w:pPr/>
            <w:r>
              <w:t xml:space="preserve">Suppliers request changes (name, bank details) through the portal with re-approval; replaces the change form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SO-20</w:t>
            </w:r>
          </w:p>
        </w:tc>
        <w:tc>
          <w:tcPr>
            <w:tcW w:w="2062" w:type="dxa"/>
          </w:tcPr>
          <w:p>
            <w:pPr/>
            <w:r>
              <w:t xml:space="preserve">Contracts and pricing</w:t>
            </w:r>
          </w:p>
        </w:tc>
        <w:tc>
          <w:tcPr>
            <w:tcW w:w="4920" w:type="dxa"/>
          </w:tcPr>
          <w:p>
            <w:pPr/>
            <w:r>
              <w:t xml:space="preserve">Award to a price agreement/contract per material with validity (often quarterly for RM); price list sent to SAP</w:t>
            </w:r>
          </w:p>
        </w:tc>
        <w:tc>
          <w:tcPr>
            <w:tcW w:w="151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SO-21</w:t>
            </w:r>
          </w:p>
        </w:tc>
        <w:tc>
          <w:tcPr>
            <w:tcW w:w="2062" w:type="dxa"/>
          </w:tcPr>
          <w:p>
            <w:pPr/>
            <w:r>
              <w:t xml:space="preserve">Supplier pricing database</w:t>
            </w:r>
          </w:p>
        </w:tc>
        <w:tc>
          <w:tcPr>
            <w:tcW w:w="4920" w:type="dxa"/>
          </w:tcPr>
          <w:p>
            <w:pPr/>
            <w:r>
              <w:t xml:space="preserve">Store quoted and agreed prices by material and supplier for reuse and history</w:t>
            </w:r>
          </w:p>
        </w:tc>
        <w:tc>
          <w:tcPr>
            <w:tcW w:w="151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SO-22</w:t>
            </w:r>
          </w:p>
        </w:tc>
        <w:tc>
          <w:tcPr>
            <w:tcW w:w="2062" w:type="dxa"/>
          </w:tcPr>
          <w:p>
            <w:pPr/>
            <w:r>
              <w:t xml:space="preserve">Supplier blocking</w:t>
            </w:r>
          </w:p>
        </w:tc>
        <w:tc>
          <w:tcPr>
            <w:tcW w:w="4920" w:type="dxa"/>
          </w:tcPr>
          <w:p>
            <w:pPr/>
            <w:r>
              <w:t xml:space="preserve">Block a supplier fully or for a material, with reason; synced to SAP</w:t>
            </w:r>
          </w:p>
        </w:tc>
        <w:tc>
          <w:tcPr>
            <w:tcW w:w="151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SO-23</w:t>
            </w:r>
          </w:p>
        </w:tc>
        <w:tc>
          <w:tcPr>
            <w:tcW w:w="2062" w:type="dxa"/>
          </w:tcPr>
          <w:p>
            <w:pPr/>
            <w:r>
              <w:t xml:space="preserve">Performance link</w:t>
            </w:r>
          </w:p>
        </w:tc>
        <w:tc>
          <w:tcPr>
            <w:tcW w:w="4920" w:type="dxa"/>
          </w:tcPr>
          <w:p>
            <w:pPr/>
            <w:r>
              <w:t xml:space="preserve">Feed QCD results (quality from QA/LIMS, delivery, cost) to the supplier record</w:t>
            </w:r>
          </w:p>
        </w:tc>
        <w:tc>
          <w:tcPr>
            <w:tcW w:w="1510" w:type="dxa"/>
          </w:tcPr>
          <w:p>
            <w:pPr/>
            <w:r>
              <w:t xml:space="preserve">Should – detail in performance session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SO-24</w:t>
            </w:r>
          </w:p>
        </w:tc>
        <w:tc>
          <w:tcPr>
            <w:tcW w:w="2062" w:type="dxa"/>
          </w:tcPr>
          <w:p>
            <w:pPr/>
            <w:r>
              <w:t xml:space="preserve">Alternative sourcing</w:t>
            </w:r>
          </w:p>
        </w:tc>
        <w:tc>
          <w:tcPr>
            <w:tcW w:w="4920" w:type="dxa"/>
          </w:tcPr>
          <w:p>
            <w:pPr/>
            <w:r>
              <w:t xml:space="preserve">Annual review of sole-supply materials to support the KPI on reducing sole supply and unit cost</w:t>
            </w:r>
          </w:p>
        </w:tc>
        <w:tc>
          <w:tcPr>
            <w:tcW w:w="1510" w:type="dxa"/>
          </w:tcPr>
          <w:p>
            <w:pPr/>
            <w:r>
              <w:t xml:space="preserve">Could</w:t>
            </w:r>
          </w:p>
        </w:tc>
      </w:tr>
    </w:tbl>
    <w:p>
      <w:pPr>
        <w:pStyle w:val="Heading2"/>
      </w:pPr>
      <w:r>
        <w:t xml:space="preserve">7. Supplier master data and documents</w:t>
      </w:r>
    </w:p>
    <w:p>
      <w:pPr/>
      <w:r>
        <w:t xml:space="preserve">Today one generic vendor request form serves every supplier type; the new design needs the checklist and bank fields to change by supplier type.</w:t>
      </w:r>
    </w:p>
    <w:p>
      <w:pPr/>
      <w:r>
        <w:rPr>
          <w:b/>
        </w:rPr>
        <w:t xml:space="preserve">Current state (as described)</w:t>
      </w:r>
    </w:p>
    <w:p>
      <w:pPr>
        <w:pStyle w:val="ListParagraph"/>
        <w:numPr>
          <w:ilvl w:val="0"/>
          <w:numId w:val="6"/>
        </w:numPr>
      </w:pPr>
      <w:r>
        <w:t xml:space="preserve">One vendor request form (Excel, maintained by finance) for new suppliers and for changes to name or bank details; signed by the supplier (part 4) and procurement.</w:t>
      </w:r>
    </w:p>
    <w:p>
      <w:pPr>
        <w:pStyle w:val="ListParagraph"/>
        <w:numPr>
          <w:ilvl w:val="0"/>
          <w:numId w:val="6"/>
        </w:numPr>
      </w:pPr>
      <w:r>
        <w:t xml:space="preserve">SAP vendor codes are generated internally; only two supplier groups exist; local vs foreign is inferred from address or a non-PHP currency.</w:t>
      </w:r>
    </w:p>
    <w:p>
      <w:pPr>
        <w:pStyle w:val="ListParagraph"/>
        <w:numPr>
          <w:ilvl w:val="0"/>
          <w:numId w:val="6"/>
        </w:numPr>
      </w:pPr>
      <w:r>
        <w:t xml:space="preserve">Suppliers are valid for all plants once accredited; no restriction by plant or purchasing organisation.</w:t>
      </w:r>
    </w:p>
    <w:p>
      <w:pPr>
        <w:pStyle w:val="ListParagraph"/>
        <w:numPr>
          <w:ilvl w:val="0"/>
          <w:numId w:val="6"/>
        </w:numPr>
      </w:pPr>
      <w:r>
        <w:t xml:space="preserve">SAP instance is Philippines-only (not shared with other Ajinomoto affiliates).</w:t>
      </w:r>
    </w:p>
    <w:p>
      <w:pPr/>
      <w:r>
        <w:rPr>
          <w:b/>
        </w:rPr>
        <w:t xml:space="preserve">Document checklist by stage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0"/>
        <w:gridCol w:w="4920"/>
        <w:gridCol w:w="1950"/>
      </w:tblGrid>
      <w:tr>
        <w:trPr>
          <w:tblHeader/>
        </w:trPr>
        <w:tc>
          <w:tcPr>
            <w:tcW w:w="2490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Documents</w:t>
            </w:r>
          </w:p>
        </w:tc>
        <w:tc>
          <w:tcPr>
            <w:tcW w:w="1950" w:type="dxa"/>
            <w:shd w:val="clear" w:color="auto" w:fill="F2F2F2"/>
          </w:tcPr>
          <w:p>
            <w:pPr/>
            <w:r>
              <w:t xml:space="preserve">Owner of review</w:t>
            </w:r>
          </w:p>
        </w:tc>
      </w:tr>
      <w:tr>
        <w:tc>
          <w:tcPr>
            <w:tcW w:w="2490" w:type="dxa"/>
          </w:tcPr>
          <w:p>
            <w:pPr/>
            <w:r>
              <w:t xml:space="preserve">Product / technical (during sourcing)</w:t>
            </w:r>
          </w:p>
        </w:tc>
        <w:tc>
          <w:tcPr>
            <w:tcW w:w="4920" w:type="dxa"/>
          </w:tcPr>
          <w:p>
            <w:pPr/>
            <w:r>
              <w:t xml:space="preserve">Specification set, FDA registration, material specifications, grade certificates, other R&amp;D-listed documents – vary per material</w:t>
            </w:r>
          </w:p>
        </w:tc>
        <w:tc>
          <w:tcPr>
            <w:tcW w:w="1950" w:type="dxa"/>
          </w:tcPr>
          <w:p>
            <w:pPr/>
            <w:r>
              <w:t xml:space="preserve">R&amp;D, QA</w:t>
            </w:r>
          </w:p>
        </w:tc>
      </w:tr>
      <w:tr>
        <w:tc>
          <w:tcPr>
            <w:tcW w:w="2490" w:type="dxa"/>
          </w:tcPr>
          <w:p>
            <w:pPr/>
            <w:r>
              <w:t xml:space="preserve">Accreditation – local supplier</w:t>
            </w:r>
          </w:p>
        </w:tc>
        <w:tc>
          <w:tcPr>
            <w:tcW w:w="4920" w:type="dxa"/>
          </w:tcPr>
          <w:p>
            <w:pPr/>
            <w:r>
              <w:t xml:space="preserve">Company profile, business permits, BIR 2303 / TIN, sample sales invoice, bank certificate, certifications, filled vendor checklist</w:t>
            </w:r>
          </w:p>
        </w:tc>
        <w:tc>
          <w:tcPr>
            <w:tcW w:w="1950" w:type="dxa"/>
          </w:tcPr>
          <w:p>
            <w:pPr/>
            <w:r>
              <w:t xml:space="preserve">Procurement, department heads</w:t>
            </w:r>
          </w:p>
        </w:tc>
      </w:tr>
      <w:tr>
        <w:tc>
          <w:tcPr>
            <w:tcW w:w="2490" w:type="dxa"/>
          </w:tcPr>
          <w:p>
            <w:pPr/>
            <w:r>
              <w:t xml:space="preserve">Accreditation – foreign supplier</w:t>
            </w:r>
          </w:p>
        </w:tc>
        <w:tc>
          <w:tcPr>
            <w:tcW w:w="4920" w:type="dxa"/>
          </w:tcPr>
          <w:p>
            <w:pPr/>
            <w:r>
              <w:t xml:space="preserve">Company profile, certifications, bank details (SWIFT; IBAN where used) – no BIR certificate</w:t>
            </w:r>
          </w:p>
        </w:tc>
        <w:tc>
          <w:tcPr>
            <w:tcW w:w="1950" w:type="dxa"/>
          </w:tcPr>
          <w:p>
            <w:pPr/>
            <w:r>
              <w:t xml:space="preserve">Procurement, finance</w:t>
            </w:r>
          </w:p>
        </w:tc>
      </w:tr>
    </w:tbl>
    <w:p>
      <w:pPr/>
      <w:r>
        <w:rPr>
          <w:b/>
        </w:rPr>
        <w:t xml:space="preserve">Fields to add or govern in the new system</w:t>
      </w:r>
    </w:p>
    <w:p>
      <w:pPr>
        <w:pStyle w:val="ListParagraph"/>
        <w:numPr>
          <w:ilvl w:val="0"/>
          <w:numId w:val="7"/>
        </w:numPr>
      </w:pPr>
      <w:r>
        <w:t xml:space="preserve">Unique ID: TIN with branch code (from BIR 2303) for local suppliers; tax/registration ID for foreign suppliers.</w:t>
      </w:r>
    </w:p>
    <w:p>
      <w:pPr>
        <w:pStyle w:val="ListParagraph"/>
        <w:numPr>
          <w:ilvl w:val="0"/>
          <w:numId w:val="7"/>
        </w:numPr>
      </w:pPr>
      <w:r>
        <w:t xml:space="preserve">Bank: account number, bank, SWIFT code (needed for local as well as foreign), IBAN for countries that use it.</w:t>
      </w:r>
    </w:p>
    <w:p>
      <w:pPr>
        <w:pStyle w:val="ListParagraph"/>
        <w:numPr>
          <w:ilvl w:val="0"/>
          <w:numId w:val="7"/>
        </w:numPr>
      </w:pPr>
      <w:r>
        <w:t xml:space="preserve">Supplier type: local/foreign and direct/indirect, mapped to SAP account groups.</w:t>
      </w:r>
    </w:p>
    <w:p>
      <w:pPr>
        <w:pStyle w:val="ListParagraph"/>
        <w:numPr>
          <w:ilvl w:val="0"/>
          <w:numId w:val="7"/>
        </w:numPr>
      </w:pPr>
      <w:r>
        <w:t xml:space="preserve">Document expiry date per document.</w:t>
      </w:r>
    </w:p>
    <w:p>
      <w:pPr>
        <w:pStyle w:val="Heading2"/>
      </w:pPr>
      <w:r>
        <w:t xml:space="preserve">8. Integration and system landscape</w:t>
      </w:r>
    </w:p>
    <w:p>
      <w:pPr/>
      <w:r>
        <w:t xml:space="preserve">SAP S/4HANA (live since 2024, replacing QAD) stays the system of record for vendors, materials, PRs, POs and finance; the new platform must hand accredited suppliers and agreed prices to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20"/>
        <w:gridCol w:w="3067"/>
        <w:gridCol w:w="3873"/>
      </w:tblGrid>
      <w:tr>
        <w:trPr>
          <w:tblHeader/>
        </w:trPr>
        <w:tc>
          <w:tcPr>
            <w:tcW w:w="2420" w:type="dxa"/>
            <w:shd w:val="clear" w:color="auto" w:fill="F2F2F2"/>
          </w:tcPr>
          <w:p>
            <w:pPr/>
            <w:r>
              <w:t xml:space="preserve">System</w:t>
            </w:r>
          </w:p>
        </w:tc>
        <w:tc>
          <w:tcPr>
            <w:tcW w:w="3067" w:type="dxa"/>
            <w:shd w:val="clear" w:color="auto" w:fill="F2F2F2"/>
          </w:tcPr>
          <w:p>
            <w:pPr/>
            <w:r>
              <w:t xml:space="preserve">Used for today</w:t>
            </w:r>
          </w:p>
        </w:tc>
        <w:tc>
          <w:tcPr>
            <w:tcW w:w="3873" w:type="dxa"/>
            <w:shd w:val="clear" w:color="auto" w:fill="F2F2F2"/>
          </w:tcPr>
          <w:p>
            <w:pPr/>
            <w:r>
              <w:t xml:space="preserve">Integration need with new platform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SAP S/4HANA</w:t>
            </w:r>
          </w:p>
        </w:tc>
        <w:tc>
          <w:tcPr>
            <w:tcW w:w="3067" w:type="dxa"/>
          </w:tcPr>
          <w:p>
            <w:pPr/>
            <w:r>
              <w:t xml:space="preserve">Vendor master (created by finance), material master (created by IT), PR, PO, finance; outline agreements available but unused</w:t>
            </w:r>
          </w:p>
        </w:tc>
        <w:tc>
          <w:tcPr>
            <w:tcW w:w="3873" w:type="dxa"/>
          </w:tcPr>
          <w:p>
            <w:pPr/>
            <w:r>
              <w:t xml:space="preserve">Vendor create/change and block (out); material master and plants (in); price agreements / outline agreements (out); PR in and PO back for supplier acknowledgement – to confirm in PR-to-PO session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WMS (third-party)</w:t>
            </w:r>
          </w:p>
        </w:tc>
        <w:tc>
          <w:tcPr>
            <w:tcW w:w="3067" w:type="dxa"/>
          </w:tcPr>
          <w:p>
            <w:pPr/>
            <w:r>
              <w:t xml:space="preserve">Warehouse receiving against SAP PO; receipt sent back to SAP</w:t>
            </w:r>
          </w:p>
        </w:tc>
        <w:tc>
          <w:tcPr>
            <w:tcW w:w="3873" w:type="dxa"/>
          </w:tcPr>
          <w:p>
            <w:pPr/>
            <w:r>
              <w:t xml:space="preserve">Indirect – via SAP. ASN from suppliers to be considered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LIMS</w:t>
            </w:r>
          </w:p>
        </w:tc>
        <w:tc>
          <w:tcPr>
            <w:tcW w:w="3067" w:type="dxa"/>
          </w:tcPr>
          <w:p>
            <w:pPr/>
            <w:r>
              <w:t xml:space="preserve">Quality inspection results per delivery, returned to SAP</w:t>
            </w:r>
          </w:p>
        </w:tc>
        <w:tc>
          <w:tcPr>
            <w:tcW w:w="3873" w:type="dxa"/>
          </w:tcPr>
          <w:p>
            <w:pPr/>
            <w:r>
              <w:t xml:space="preserve">Quality results for supplier performance (QCD) – performance session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QAD</w:t>
            </w:r>
          </w:p>
        </w:tc>
        <w:tc>
          <w:tcPr>
            <w:tcW w:w="3067" w:type="dxa"/>
          </w:tcPr>
          <w:p>
            <w:pPr/>
            <w:r>
              <w:t xml:space="preserve">Quality incident / abnormality tracking, accumulated by quarter</w:t>
            </w:r>
          </w:p>
        </w:tc>
        <w:tc>
          <w:tcPr>
            <w:tcW w:w="3873" w:type="dxa"/>
          </w:tcPr>
          <w:p>
            <w:pPr/>
            <w:r>
              <w:t xml:space="preserve">Confirm whether it remains in use alongside SAP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Email / shared drive</w:t>
            </w:r>
          </w:p>
        </w:tc>
        <w:tc>
          <w:tcPr>
            <w:tcW w:w="3067" w:type="dxa"/>
          </w:tcPr>
          <w:p>
            <w:pPr/>
            <w:r>
              <w:t xml:space="preserve">Document exchange and storage</w:t>
            </w:r>
          </w:p>
        </w:tc>
        <w:tc>
          <w:tcPr>
            <w:tcW w:w="3873" w:type="dxa"/>
          </w:tcPr>
          <w:p>
            <w:pPr/>
            <w:r>
              <w:t xml:space="preserve">Replaced by the supplier portal and repository</w:t>
            </w:r>
          </w:p>
        </w:tc>
      </w:tr>
    </w:tbl>
    <w:p>
      <w:pPr/>
      <w:r>
        <w:t xml:space="preserve">Integration ownership: ABAP work in SAP is done by Ajinomoto IT; WMS and LIMS are supported by third-party vendors.</w:t>
      </w:r>
    </w:p>
    <w:p>
      <w:pPr>
        <w:pStyle w:val="Heading2"/>
      </w:pPr>
      <w:r>
        <w:t xml:space="preserve">9. Licensing criteria for product evaluation</w:t>
      </w:r>
    </w:p>
    <w:p>
      <w:pPr/>
      <w:r>
        <w:t xml:space="preserve">The platform should charge only for buyer transactions, not for suppliers, requesters or approvers; Ajinomoto flagged hidden per-user charges from past implementations.</w:t>
      </w:r>
    </w:p>
    <w:p>
      <w:pPr>
        <w:pStyle w:val="ListParagraph"/>
        <w:numPr>
          <w:ilvl w:val="0"/>
          <w:numId w:val="8"/>
        </w:numPr>
      </w:pPr>
      <w:r>
        <w:t xml:space="preserve">Supplier access unlimited and free – no onboarding or per-PO fees to suppliers (contrast: SAP Business Network and Coupa supplier networks can charge suppliers).</w:t>
      </w:r>
    </w:p>
    <w:p>
      <w:pPr>
        <w:pStyle w:val="ListParagraph"/>
        <w:numPr>
          <w:ilvl w:val="0"/>
          <w:numId w:val="8"/>
        </w:numPr>
      </w:pPr>
      <w:r>
        <w:t xml:space="preserve">Requester and approver licences free or unlimited, since approvals span procurement, R&amp;D, QA, finance and management.</w:t>
      </w:r>
    </w:p>
    <w:p>
      <w:pPr>
        <w:pStyle w:val="ListParagraph"/>
        <w:numPr>
          <w:ilvl w:val="0"/>
          <w:numId w:val="8"/>
        </w:numPr>
      </w:pPr>
      <w:r>
        <w:t xml:space="preserve">Licence cost tied to core procurement users and transactions (sourcing, contracts, PO).</w:t>
      </w:r>
    </w:p>
    <w:p>
      <w:pPr>
        <w:pStyle w:val="ListParagraph"/>
        <w:numPr>
          <w:ilvl w:val="0"/>
          <w:numId w:val="8"/>
        </w:numPr>
      </w:pPr>
      <w:r>
        <w:t xml:space="preserve">Vendors must state the full licence model in writing during demos, including any per-user or module add-ons.</w:t>
      </w:r>
    </w:p>
    <w:p>
      <w:pPr>
        <w:pStyle w:val="ListParagraph"/>
        <w:numPr>
          <w:ilvl w:val="0"/>
          <w:numId w:val="8"/>
        </w:numPr>
      </w:pPr>
      <w:r>
        <w:t xml:space="preserve">Whether Ajinomoto itself charges suppliers for onboarding is a separate business decision.</w:t>
      </w:r>
    </w:p>
    <w:p>
      <w:pPr>
        <w:pStyle w:val="Heading2"/>
      </w:pPr>
      <w:r>
        <w:t xml:space="preserve">10. Open 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For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Q1</w:t>
            </w:r>
          </w:p>
        </w:tc>
        <w:tc>
          <w:tcPr>
            <w:tcW w:w="4920" w:type="dxa"/>
          </w:tcPr>
          <w:p>
            <w:pPr/>
            <w:r>
              <w:t xml:space="preserve">How does R&amp;D run sample trials and new-supplier evaluation, and which steps should be in the system?</w:t>
            </w:r>
          </w:p>
        </w:tc>
        <w:tc>
          <w:tcPr>
            <w:tcW w:w="3720" w:type="dxa"/>
          </w:tcPr>
          <w:p>
            <w:pPr/>
            <w:r>
              <w:t xml:space="preserve">R&amp;D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Q2</w:t>
            </w:r>
          </w:p>
        </w:tc>
        <w:tc>
          <w:tcPr>
            <w:tcW w:w="4920" w:type="dxa"/>
          </w:tcPr>
          <w:p>
            <w:pPr/>
            <w:r>
              <w:t xml:space="preserve">Which document list applies per material category? Can R&amp;D provide the standard tables?</w:t>
            </w:r>
          </w:p>
        </w:tc>
        <w:tc>
          <w:tcPr>
            <w:tcW w:w="3720" w:type="dxa"/>
          </w:tcPr>
          <w:p>
            <w:pPr/>
            <w:r>
              <w:t xml:space="preserve">R&amp;D, QA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Q3</w:t>
            </w:r>
          </w:p>
        </w:tc>
        <w:tc>
          <w:tcPr>
            <w:tcW w:w="4920" w:type="dxa"/>
          </w:tcPr>
          <w:p>
            <w:pPr/>
            <w:r>
              <w:t xml:space="preserve">Audit criteria, scheduling and how audit results feed the quality assessment and QCD scoring</w:t>
            </w:r>
          </w:p>
        </w:tc>
        <w:tc>
          <w:tcPr>
            <w:tcW w:w="3720" w:type="dxa"/>
          </w:tcPr>
          <w:p>
            <w:pPr/>
            <w:r>
              <w:t xml:space="preserve">QA, audit team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Q4</w:t>
            </w:r>
          </w:p>
        </w:tc>
        <w:tc>
          <w:tcPr>
            <w:tcW w:w="4920" w:type="dxa"/>
          </w:tcPr>
          <w:p>
            <w:pPr/>
            <w:r>
              <w:t xml:space="preserve">Is the TIN with branch code (BIR 2303) unique enough as the duplicate key? What is the equivalent key for foreign suppliers?</w:t>
            </w:r>
          </w:p>
        </w:tc>
        <w:tc>
          <w:tcPr>
            <w:tcW w:w="3720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Q5</w:t>
            </w:r>
          </w:p>
        </w:tc>
        <w:tc>
          <w:tcPr>
            <w:tcW w:w="4920" w:type="dxa"/>
          </w:tcPr>
          <w:p>
            <w:pPr/>
            <w:r>
              <w:t xml:space="preserve">Who owns the vendor request form and which fields are mandatory in SAP? Does finance already use a digital tool that would overlap?</w:t>
            </w:r>
          </w:p>
        </w:tc>
        <w:tc>
          <w:tcPr>
            <w:tcW w:w="3720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Q6</w:t>
            </w:r>
          </w:p>
        </w:tc>
        <w:tc>
          <w:tcPr>
            <w:tcW w:w="4920" w:type="dxa"/>
          </w:tcPr>
          <w:p>
            <w:pPr/>
            <w:r>
              <w:t xml:space="preserve">Should suppliers be restricted by plant or purchasing organisation, or stay valid for all three plants?</w:t>
            </w:r>
          </w:p>
        </w:tc>
        <w:tc>
          <w:tcPr>
            <w:tcW w:w="3720" w:type="dxa"/>
          </w:tcPr>
          <w:p>
            <w:pPr/>
            <w:r>
              <w:t xml:space="preserve">Procurement, finance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Q7</w:t>
            </w:r>
          </w:p>
        </w:tc>
        <w:tc>
          <w:tcPr>
            <w:tcW w:w="4920" w:type="dxa"/>
          </w:tcPr>
          <w:p>
            <w:pPr/>
            <w:r>
              <w:t xml:space="preserve">Will outline agreements / price conditions in S/4HANA be used for RM and PM, and at what validity (quarterly)?</w:t>
            </w:r>
          </w:p>
        </w:tc>
        <w:tc>
          <w:tcPr>
            <w:tcW w:w="3720" w:type="dxa"/>
          </w:tcPr>
          <w:p>
            <w:pPr/>
            <w:r>
              <w:t xml:space="preserve">Procurement, SAP team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Q8</w:t>
            </w:r>
          </w:p>
        </w:tc>
        <w:tc>
          <w:tcPr>
            <w:tcW w:w="4920" w:type="dxa"/>
          </w:tcPr>
          <w:p>
            <w:pPr/>
            <w:r>
              <w:t xml:space="preserve">Is a Philippines-only SAP instance the target for the new platform, or should design allow other affiliates later?</w:t>
            </w:r>
          </w:p>
        </w:tc>
        <w:tc>
          <w:tcPr>
            <w:tcW w:w="3720" w:type="dxa"/>
          </w:tcPr>
          <w:p>
            <w:pPr/>
            <w:r>
              <w:t xml:space="preserve">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Q9</w:t>
            </w:r>
          </w:p>
        </w:tc>
        <w:tc>
          <w:tcPr>
            <w:tcW w:w="4920" w:type="dxa"/>
          </w:tcPr>
          <w:p>
            <w:pPr/>
            <w:r>
              <w:t xml:space="preserve">Are suppliers ever blocked today, and how (whole supplier vs per material)?</w:t>
            </w:r>
          </w:p>
        </w:tc>
        <w:tc>
          <w:tcPr>
            <w:tcW w:w="3720" w:type="dxa"/>
          </w:tcPr>
          <w:p>
            <w:pPr/>
            <w:r>
              <w:t xml:space="preserve">Procurement – performance session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Q10</w:t>
            </w:r>
          </w:p>
        </w:tc>
        <w:tc>
          <w:tcPr>
            <w:tcW w:w="4920" w:type="dxa"/>
          </w:tcPr>
          <w:p>
            <w:pPr/>
            <w:r>
              <w:t xml:space="preserve">Total user count by department for licence sizing</w:t>
            </w:r>
          </w:p>
        </w:tc>
        <w:tc>
          <w:tcPr>
            <w:tcW w:w="3720" w:type="dxa"/>
          </w:tcPr>
          <w:p>
            <w:pPr/>
            <w:r>
              <w:t xml:space="preserve">Procurement, 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Q11</w:t>
            </w:r>
          </w:p>
        </w:tc>
        <w:tc>
          <w:tcPr>
            <w:tcW w:w="4920" w:type="dxa"/>
          </w:tcPr>
          <w:p>
            <w:pPr/>
            <w:r>
              <w:t xml:space="preserve">Is QAD still in use after the S/4HANA move, and for what?</w:t>
            </w:r>
          </w:p>
        </w:tc>
        <w:tc>
          <w:tcPr>
            <w:tcW w:w="3720" w:type="dxa"/>
          </w:tcPr>
          <w:p>
            <w:pPr/>
            <w:r>
              <w:t xml:space="preserve">IT, QA</w:t>
            </w:r>
          </w:p>
        </w:tc>
      </w:tr>
    </w:tbl>
    <w:p>
      <w:pPr>
        <w:pStyle w:val="Heading2"/>
      </w:pPr>
      <w:r>
        <w:t xml:space="preserve">11. Action items</w:t>
      </w:r>
    </w:p>
    <w:p>
      <w:pPr/>
      <w:r>
        <w:t xml:space="preserve">Twelve actions came out of Day 1; the R&amp;D session is the critical one, since R&amp;D drives material evaluation and the document lists. Owners are proposed from the discussion – please confirm.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1549"/>
        <w:gridCol w:w="1262"/>
        <w:gridCol w:w="90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1549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262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</w:t>
            </w:r>
          </w:p>
        </w:tc>
        <w:tc>
          <w:tcPr>
            <w:tcW w:w="4920" w:type="dxa"/>
          </w:tcPr>
          <w:p>
            <w:pPr/>
            <w:r>
              <w:t xml:space="preserve">Schedule a dedicated R&amp;D session (managers unavailable on Day 1) – possibly by 3 Nov</w:t>
            </w:r>
          </w:p>
        </w:tc>
        <w:tc>
          <w:tcPr>
            <w:tcW w:w="1549" w:type="dxa"/>
          </w:tcPr>
          <w:p>
            <w:pPr/>
            <w:r>
              <w:t xml:space="preserve">Chris Ballesteros</w:t>
            </w:r>
          </w:p>
        </w:tc>
        <w:tc>
          <w:tcPr>
            <w:tcW w:w="1262" w:type="dxa"/>
          </w:tcPr>
          <w:p>
            <w:pPr/>
            <w:r>
              <w:t xml:space="preserve">This week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A2</w:t>
            </w:r>
          </w:p>
        </w:tc>
        <w:tc>
          <w:tcPr>
            <w:tcW w:w="4920" w:type="dxa"/>
          </w:tcPr>
          <w:p>
            <w:pPr/>
            <w:r>
              <w:t xml:space="preserve">Share R&amp;D's standard document requirement tables per material type</w:t>
            </w:r>
          </w:p>
        </w:tc>
        <w:tc>
          <w:tcPr>
            <w:tcW w:w="1549" w:type="dxa"/>
          </w:tcPr>
          <w:p>
            <w:pPr/>
            <w:r>
              <w:t xml:space="preserve">Procurement / R&amp;D</w:t>
            </w:r>
          </w:p>
        </w:tc>
        <w:tc>
          <w:tcPr>
            <w:tcW w:w="1262" w:type="dxa"/>
          </w:tcPr>
          <w:p>
            <w:pPr/>
            <w:r>
              <w:t xml:space="preserve">Before R&amp;D session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A3</w:t>
            </w:r>
          </w:p>
        </w:tc>
        <w:tc>
          <w:tcPr>
            <w:tcW w:w="4920" w:type="dxa"/>
          </w:tcPr>
          <w:p>
            <w:pPr/>
            <w:r>
              <w:t xml:space="preserve">Update the high-level process deck to show e-sourcing and the supplier pricing database in scope</w:t>
            </w:r>
          </w:p>
        </w:tc>
        <w:tc>
          <w:tcPr>
            <w:tcW w:w="1549" w:type="dxa"/>
          </w:tcPr>
          <w:p>
            <w:pPr/>
            <w:r>
              <w:t xml:space="preserve">Chris Ballesteros</w:t>
            </w:r>
          </w:p>
        </w:tc>
        <w:tc>
          <w:tcPr>
            <w:tcW w:w="1262" w:type="dxa"/>
          </w:tcPr>
          <w:p>
            <w:pPr/>
            <w:r>
              <w:t xml:space="preserve">Before next workshop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A4</w:t>
            </w:r>
          </w:p>
        </w:tc>
        <w:tc>
          <w:tcPr>
            <w:tcW w:w="4920" w:type="dxa"/>
          </w:tcPr>
          <w:p>
            <w:pPr/>
            <w:r>
              <w:t xml:space="preserve">Split the onboarding procedure into two flows: new material + new supplier, and alternative supplier for existing material</w:t>
            </w:r>
          </w:p>
        </w:tc>
        <w:tc>
          <w:tcPr>
            <w:tcW w:w="1549" w:type="dxa"/>
          </w:tcPr>
          <w:p>
            <w:pPr/>
            <w:r>
              <w:t xml:space="preserve">Procurement (Ray, Josh)</w:t>
            </w:r>
          </w:p>
        </w:tc>
        <w:tc>
          <w:tcPr>
            <w:tcW w:w="1262" w:type="dxa"/>
          </w:tcPr>
          <w:p>
            <w:pPr/>
            <w:r>
              <w:t xml:space="preserve">Before next workshop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A5</w:t>
            </w:r>
          </w:p>
        </w:tc>
        <w:tc>
          <w:tcPr>
            <w:tcW w:w="4920" w:type="dxa"/>
          </w:tcPr>
          <w:p>
            <w:pPr/>
            <w:r>
              <w:t xml:space="preserve">Share the vendor request form, vendor checklist and a sample BIR 2303 (redacted)</w:t>
            </w:r>
          </w:p>
        </w:tc>
        <w:tc>
          <w:tcPr>
            <w:tcW w:w="1549" w:type="dxa"/>
          </w:tcPr>
          <w:p>
            <w:pPr/>
            <w:r>
              <w:t xml:space="preserve">Procurement</w:t>
            </w:r>
          </w:p>
        </w:tc>
        <w:tc>
          <w:tcPr>
            <w:tcW w:w="1262" w:type="dxa"/>
          </w:tcPr>
          <w:p>
            <w:pPr/>
            <w:r>
              <w:t xml:space="preserve">This week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A6</w:t>
            </w:r>
          </w:p>
        </w:tc>
        <w:tc>
          <w:tcPr>
            <w:tcW w:w="4920" w:type="dxa"/>
          </w:tcPr>
          <w:p>
            <w:pPr/>
            <w:r>
              <w:t xml:space="preserve">Confirm the unique supplier key for duplicate prevention (TIN + branch code) and the foreign equivalent</w:t>
            </w:r>
          </w:p>
        </w:tc>
        <w:tc>
          <w:tcPr>
            <w:tcW w:w="1549" w:type="dxa"/>
          </w:tcPr>
          <w:p>
            <w:pPr/>
            <w:r>
              <w:t xml:space="preserve">Finance</w:t>
            </w:r>
          </w:p>
        </w:tc>
        <w:tc>
          <w:tcPr>
            <w:tcW w:w="1262" w:type="dxa"/>
          </w:tcPr>
          <w:p>
            <w:pPr/>
            <w:r>
              <w:t xml:space="preserve">Finance session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A7</w:t>
            </w:r>
          </w:p>
        </w:tc>
        <w:tc>
          <w:tcPr>
            <w:tcW w:w="4920" w:type="dxa"/>
          </w:tcPr>
          <w:p>
            <w:pPr/>
            <w:r>
              <w:t xml:space="preserve">Confirm form ownership, mandatory SAP vendor fields and supplier account groups</w:t>
            </w:r>
          </w:p>
        </w:tc>
        <w:tc>
          <w:tcPr>
            <w:tcW w:w="1549" w:type="dxa"/>
          </w:tcPr>
          <w:p>
            <w:pPr/>
            <w:r>
              <w:t xml:space="preserve">Finance / IT</w:t>
            </w:r>
          </w:p>
        </w:tc>
        <w:tc>
          <w:tcPr>
            <w:tcW w:w="1262" w:type="dxa"/>
          </w:tcPr>
          <w:p>
            <w:pPr/>
            <w:r>
              <w:t xml:space="preserve">Finance session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A8</w:t>
            </w:r>
          </w:p>
        </w:tc>
        <w:tc>
          <w:tcPr>
            <w:tcW w:w="4920" w:type="dxa"/>
          </w:tcPr>
          <w:p>
            <w:pPr/>
            <w:r>
              <w:t xml:space="preserve">Check outline agreement / price condition configuration in S/4HANA and whether it can be enabled for RM/PM</w:t>
            </w:r>
          </w:p>
        </w:tc>
        <w:tc>
          <w:tcPr>
            <w:tcW w:w="1549" w:type="dxa"/>
          </w:tcPr>
          <w:p>
            <w:pPr/>
            <w:r>
              <w:t xml:space="preserve">IT (SAP team)</w:t>
            </w:r>
          </w:p>
        </w:tc>
        <w:tc>
          <w:tcPr>
            <w:tcW w:w="1262" w:type="dxa"/>
          </w:tcPr>
          <w:p>
            <w:pPr/>
            <w:r>
              <w:t xml:space="preserve">Next few days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A9</w:t>
            </w:r>
          </w:p>
        </w:tc>
        <w:tc>
          <w:tcPr>
            <w:tcW w:w="4920" w:type="dxa"/>
          </w:tcPr>
          <w:p>
            <w:pPr/>
            <w:r>
              <w:t xml:space="preserve">Cover audit planning, QCD criteria and supplier blocking in the supplier risk and performance session</w:t>
            </w:r>
          </w:p>
        </w:tc>
        <w:tc>
          <w:tcPr>
            <w:tcW w:w="1549" w:type="dxa"/>
          </w:tcPr>
          <w:p>
            <w:pPr/>
            <w:r>
              <w:t xml:space="preserve">QA / procurement</w:t>
            </w:r>
          </w:p>
        </w:tc>
        <w:tc>
          <w:tcPr>
            <w:tcW w:w="1262" w:type="dxa"/>
          </w:tcPr>
          <w:p>
            <w:pPr/>
            <w:r>
              <w:t xml:space="preserve">Day 1 afternoon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A10</w:t>
            </w:r>
          </w:p>
        </w:tc>
        <w:tc>
          <w:tcPr>
            <w:tcW w:w="4920" w:type="dxa"/>
          </w:tcPr>
          <w:p>
            <w:pPr/>
            <w:r>
              <w:t xml:space="preserve">Provide the user count by department for licence sizing</w:t>
            </w:r>
          </w:p>
        </w:tc>
        <w:tc>
          <w:tcPr>
            <w:tcW w:w="1549" w:type="dxa"/>
          </w:tcPr>
          <w:p>
            <w:pPr/>
            <w:r>
              <w:t xml:space="preserve">Procurement / IT</w:t>
            </w:r>
          </w:p>
        </w:tc>
        <w:tc>
          <w:tcPr>
            <w:tcW w:w="1262" w:type="dxa"/>
          </w:tcPr>
          <w:p>
            <w:pPr/>
            <w:r>
              <w:t xml:space="preserve">Before vendor demos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A11</w:t>
            </w:r>
          </w:p>
        </w:tc>
        <w:tc>
          <w:tcPr>
            <w:tcW w:w="4920" w:type="dxa"/>
          </w:tcPr>
          <w:p>
            <w:pPr/>
            <w:r>
              <w:t xml:space="preserve">Provide the integration landscape (SAP, WMS, LIMS, QAD) and vendor contacts for each</w:t>
            </w:r>
          </w:p>
        </w:tc>
        <w:tc>
          <w:tcPr>
            <w:tcW w:w="1549" w:type="dxa"/>
          </w:tcPr>
          <w:p>
            <w:pPr/>
            <w:r>
              <w:t xml:space="preserve">IT (Joanna, Daryl Ann)</w:t>
            </w:r>
          </w:p>
        </w:tc>
        <w:tc>
          <w:tcPr>
            <w:tcW w:w="1262" w:type="dxa"/>
          </w:tcPr>
          <w:p>
            <w:pPr/>
            <w:r>
              <w:t xml:space="preserve">Before vendor demos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A12</w:t>
            </w:r>
          </w:p>
        </w:tc>
        <w:tc>
          <w:tcPr>
            <w:tcW w:w="4920" w:type="dxa"/>
          </w:tcPr>
          <w:p>
            <w:pPr/>
            <w:r>
              <w:t xml:space="preserve">Add licence-model questions (free supplier, requester and approver access) to the vendor demo script</w:t>
            </w:r>
          </w:p>
        </w:tc>
        <w:tc>
          <w:tcPr>
            <w:tcW w:w="1549" w:type="dxa"/>
          </w:tcPr>
          <w:p>
            <w:pPr/>
            <w:r>
              <w:t xml:space="preserve">Durvah (Srini, Sunit)</w:t>
            </w:r>
          </w:p>
        </w:tc>
        <w:tc>
          <w:tcPr>
            <w:tcW w:w="1262" w:type="dxa"/>
          </w:tcPr>
          <w:p>
            <w:pPr/>
            <w:r>
              <w:t xml:space="preserve">Before vendor demos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Ajinomoto Philippines – Supplier Onboarding Requirements</dc:title>
  <dc:description>Claude Docs node/2637a8d0-2e15@11 docx-w7</dc:description>
  <cp:revision>11</cp:revision>
</cp:coreProperties>
</file>