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Ajinomoto Philippines – Material Planning, PR-PO, ASN &amp; GR Requirements</w:t>
      </w:r>
    </w:p>
    <w:p>
      <w:pPr/>
      <w:r>
        <w:t xml:space="preserve">Workshop Session 2 · </w:t>
      </w:r>
      <w:r>
        <w:t xml:space="preserve">Oct 27, 2026</w:t>
      </w:r>
      <w:r>
        <w:t xml:space="preserve"> · </w:t>
      </w:r>
      <w:r>
        <w:t xml:space="preserve">@Srini</w:t>
      </w:r>
    </w:p>
    <w:p>
      <w:pPr>
        <w:pStyle w:val="Heading2"/>
      </w:pPr>
      <w:r>
        <w:t xml:space="preserve">1. Workshop context and scope</w:t>
      </w:r>
    </w:p>
    <w:p>
      <w:pPr/>
      <w:r>
        <w:t xml:space="preserve">Session 2 mapped how materials go from monthly demand planning to purchase, delivery, receipt and quality release. Most hand-offs today run on Excel and email, and SAP S/4HANA is used mainly for financial postings.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97"/>
        <w:gridCol w:w="5662"/>
      </w:tblGrid>
      <w:tr>
        <w:trPr>
          <w:tblHeader/>
        </w:trPr>
        <w:tc>
          <w:tcPr>
            <w:tcW w:w="3697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5662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Client</w:t>
            </w:r>
          </w:p>
        </w:tc>
        <w:tc>
          <w:tcPr>
            <w:tcW w:w="5662" w:type="dxa"/>
          </w:tcPr>
          <w:p>
            <w:pPr/>
            <w:r>
              <w:t xml:space="preserve">Ajinomoto Philippines Corporation (APC), Project Beacon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Session</w:t>
            </w:r>
          </w:p>
        </w:tc>
        <w:tc>
          <w:tcPr>
            <w:tcW w:w="5662" w:type="dxa"/>
          </w:tcPr>
          <w:p>
            <w:pPr/>
            <w:r>
              <w:t xml:space="preserve">Workshop Session 2 – Jedox, SAP S/4HANA and Infor for material planning, PR, PO, GR and ASN, 27 Oct 2026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Durvah team</w:t>
            </w:r>
          </w:p>
        </w:tc>
        <w:tc>
          <w:tcPr>
            <w:tcW w:w="5662" w:type="dxa"/>
          </w:tcPr>
          <w:p>
            <w:pPr/>
            <w:r>
              <w:t xml:space="preserve">Kishore, Sunit Nighut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Ajinomoto – supply planning</w:t>
            </w:r>
          </w:p>
        </w:tc>
        <w:tc>
          <w:tcPr>
            <w:tcW w:w="5662" w:type="dxa"/>
          </w:tcPr>
          <w:p>
            <w:pPr/>
            <w:r>
              <w:t xml:space="preserve">Maya Dausin (senior/section manager, supply planning), Rachelle Sucayan, material planning specialists (RM and PM)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Ajinomoto – procurement</w:t>
            </w:r>
          </w:p>
        </w:tc>
        <w:tc>
          <w:tcPr>
            <w:tcW w:w="5662" w:type="dxa"/>
          </w:tcPr>
          <w:p>
            <w:pPr/>
            <w:r>
              <w:t xml:space="preserve">Chris Ballesteros (Beacon lead), Joshua Omus, Reyjoseph Sumodlayon and team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Ajinomoto – IT</w:t>
            </w:r>
          </w:p>
        </w:tc>
        <w:tc>
          <w:tcPr>
            <w:tcW w:w="5662" w:type="dxa"/>
          </w:tcPr>
          <w:p>
            <w:pPr/>
            <w:r>
              <w:t xml:space="preserve">Darylann Malabo, Joannacris Escanilla, Johnleonard Salvadico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Other participants</w:t>
            </w:r>
          </w:p>
        </w:tc>
        <w:tc>
          <w:tcPr>
            <w:tcW w:w="5662" w:type="dxa"/>
          </w:tcPr>
          <w:p>
            <w:pPr/>
            <w:r>
              <w:t xml:space="preserve">Nhorien Tayco, Majeed Santiago, Maryann Perez, Vironeca Arevalo, Carol Llorente, Janischristine Alday</w:t>
            </w:r>
          </w:p>
        </w:tc>
      </w:tr>
    </w:tbl>
    <w:p>
      <w:pPr/>
      <w:r>
        <w:rPr>
          <w:b/>
        </w:rPr>
        <w:t xml:space="preserve">Systems in the current landscape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1"/>
        <w:gridCol w:w="6788"/>
      </w:tblGrid>
      <w:tr>
        <w:trPr>
          <w:tblHeader/>
        </w:trPr>
        <w:tc>
          <w:tcPr>
            <w:tcW w:w="2571" w:type="dxa"/>
            <w:shd w:val="clear" w:color="auto" w:fill="F2F2F2"/>
          </w:tcPr>
          <w:p>
            <w:pPr/>
            <w:r>
              <w:t xml:space="preserve">System</w:t>
            </w:r>
          </w:p>
        </w:tc>
        <w:tc>
          <w:tcPr>
            <w:tcW w:w="6788" w:type="dxa"/>
            <w:shd w:val="clear" w:color="auto" w:fill="F2F2F2"/>
          </w:tcPr>
          <w:p>
            <w:pPr/>
            <w:r>
              <w:t xml:space="preserve">Role today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Jedox</w:t>
            </w:r>
          </w:p>
        </w:tc>
        <w:tc>
          <w:tcPr>
            <w:tcW w:w="6788" w:type="dxa"/>
          </w:tcPr>
          <w:p>
            <w:pPr/>
            <w:r>
              <w:t xml:space="preserve">Monthly MRP and planning engine; holds MRP parameters (safety stock, lead time) and BOMs; vendor master interfaced from SAP; vendor allocation feature exists but is not active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SAP S/4HANA</w:t>
            </w:r>
          </w:p>
        </w:tc>
        <w:tc>
          <w:tcPr>
            <w:tcW w:w="6788" w:type="dxa"/>
          </w:tcPr>
          <w:p>
            <w:pPr/>
            <w:r>
              <w:t xml:space="preserve">Inventory and finance; PR and PO; sales orders and shipments. No production planning module and no BOM in SAP. Implemented mainly for financials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Infor WMS</w:t>
            </w:r>
          </w:p>
        </w:tc>
        <w:tc>
          <w:tcPr>
            <w:tcW w:w="6788" w:type="dxa"/>
          </w:tcPr>
          <w:p>
            <w:pPr/>
            <w:r>
              <w:t xml:space="preserve">Warehouse receiving, put-away, pass/fail stock restriction, shipments; interfaced to SAP in real time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LIMS (planned)</w:t>
            </w:r>
          </w:p>
        </w:tc>
        <w:tc>
          <w:tcPr>
            <w:tcW w:w="6788" w:type="dxa"/>
          </w:tcPr>
          <w:p>
            <w:pPr/>
            <w:r>
              <w:t xml:space="preserve">Future quality inspection system; quality module not yet live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DataSpider</w:t>
            </w:r>
          </w:p>
        </w:tc>
        <w:tc>
          <w:tcPr>
            <w:tcW w:w="6788" w:type="dxa"/>
          </w:tcPr>
          <w:p>
            <w:pPr/>
            <w:r>
              <w:t xml:space="preserve">Middleware for SAP integrations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Excel / email</w:t>
            </w:r>
          </w:p>
        </w:tc>
        <w:tc>
          <w:tcPr>
            <w:tcW w:w="6788" w:type="dxa"/>
          </w:tcPr>
          <w:p>
            <w:pPr/>
            <w:r>
              <w:t xml:space="preserve">Sales forecast, production plan, vendor allocation sheet, vendor commitment file, NCR and CAR tracking, supplier communication</w:t>
            </w:r>
          </w:p>
        </w:tc>
      </w:tr>
    </w:tbl>
    <w:p>
      <w:pPr/>
      <w:r>
        <w:rPr>
          <w:b/>
        </w:rPr>
        <w:t xml:space="preserve">Related:</w:t>
      </w:r>
      <w:r>
        <w:t xml:space="preserve"> the R&amp;D new-material request was revisited at the start of this session; see Day 1 (supplier onboarding). The QC receiving and LIMS session is scheduled for 28 Oct.</w:t>
      </w:r>
    </w:p>
    <w:p>
      <w:pPr>
        <w:pStyle w:val="Heading2"/>
      </w:pPr>
      <w:r>
        <w:t xml:space="preserve">2. Current process (as-is)</w:t>
      </w:r>
    </w:p>
    <w:p>
      <w:pPr/>
      <w:r>
        <w:t xml:space="preserve">MRP runs monthly in Jedox, but vendor allocation, delivery commitments and quality feedback all happen in Excel and email. Only the PO, the receipt and the inventory postings reach SAP.</w:t>
      </w:r>
    </w:p>
    <w:p>
      <w:pPr/>
      <w:r>
        <w:rPr>
          <w:b/>
        </w:rPr>
        <w:t xml:space="preserve">A. New material request (from R&amp;D)</w:t>
      </w:r>
    </w:p>
    <w:p>
      <w:pPr>
        <w:pStyle w:val="ListParagraph"/>
        <w:numPr>
          <w:ilvl w:val="0"/>
          <w:numId w:val="2"/>
        </w:numPr>
      </w:pPr>
      <w:r>
        <w:t xml:space="preserve">An R&amp;D specialist emails procurement, often as a one-line sample request with no specification attached.</w:t>
      </w:r>
    </w:p>
    <w:p>
      <w:pPr>
        <w:pStyle w:val="ListParagraph"/>
        <w:numPr>
          <w:ilvl w:val="0"/>
          <w:numId w:val="2"/>
        </w:numPr>
      </w:pPr>
      <w:r>
        <w:t xml:space="preserve">Procurement checks whether an existing vendor carries the material, otherwise searches the market, and requests samples, specifications and indicative cost.</w:t>
      </w:r>
    </w:p>
    <w:p>
      <w:pPr>
        <w:pStyle w:val="ListParagraph"/>
        <w:numPr>
          <w:ilvl w:val="0"/>
          <w:numId w:val="2"/>
        </w:numPr>
      </w:pPr>
      <w:r>
        <w:t xml:space="preserve">Cost and initial technical fit are checked against R&amp;D's indicative cost, with marketing input.</w:t>
      </w:r>
    </w:p>
    <w:p>
      <w:pPr>
        <w:pStyle w:val="ListParagraph"/>
        <w:numPr>
          <w:ilvl w:val="0"/>
          <w:numId w:val="2"/>
        </w:numPr>
      </w:pPr>
      <w:r>
        <w:t xml:space="preserve">Samples, technical review, trial, CPN and stability tests run outside any system, followed by the supplier audit and QA document review.</w:t>
      </w:r>
    </w:p>
    <w:p>
      <w:pPr>
        <w:pStyle w:val="ListParagraph"/>
        <w:numPr>
          <w:ilvl w:val="0"/>
          <w:numId w:val="2"/>
        </w:numPr>
      </w:pPr>
      <w:r>
        <w:t xml:space="preserve">A new vendor is created in SAP. An existing vendor is tagged to the new material code.</w:t>
      </w:r>
    </w:p>
    <w:p>
      <w:pPr/>
      <w:r>
        <w:t xml:space="preserve">Packing material vendors are usually sourced by procurement, not R&amp;D. For an existing item from a new vendor, QC still applies but is limited to a machinability test, so lead time is shorter.</w:t>
      </w:r>
    </w:p>
    <w:p>
      <w:pPr/>
      <w:r>
        <w:rPr>
          <w:b/>
        </w:rPr>
        <w:t xml:space="preserve">B. Planning to PO</w:t>
      </w:r>
    </w:p>
    <w:p>
      <w:pPr>
        <w:pStyle w:val="ListParagraph"/>
        <w:numPr>
          <w:ilvl w:val="0"/>
          <w:numId w:val="3"/>
        </w:numPr>
      </w:pPr>
      <w:r>
        <w:t xml:space="preserve">A monthly Demand Management Meeting agrees the rolling forecast, promotions and the annual production requirement.</w:t>
      </w:r>
    </w:p>
    <w:p>
      <w:pPr>
        <w:pStyle w:val="ListParagraph"/>
        <w:numPr>
          <w:ilvl w:val="0"/>
          <w:numId w:val="3"/>
        </w:numPr>
      </w:pPr>
      <w:r>
        <w:t xml:space="preserve">The sales forecast and production plan are uploaded to Jedox from Excel. MRP parameters (safety stock, lead time) are also loaded from Excel.</w:t>
      </w:r>
    </w:p>
    <w:p>
      <w:pPr>
        <w:pStyle w:val="ListParagraph"/>
        <w:numPr>
          <w:ilvl w:val="0"/>
          <w:numId w:val="3"/>
        </w:numPr>
      </w:pPr>
      <w:r>
        <w:t xml:space="preserve">Jedox MRP gives the required materials, quantities and dates. It runs on a monthly cycle, on day 11.</w:t>
      </w:r>
    </w:p>
    <w:p>
      <w:pPr>
        <w:pStyle w:val="ListParagraph"/>
        <w:numPr>
          <w:ilvl w:val="0"/>
          <w:numId w:val="3"/>
        </w:numPr>
      </w:pPr>
      <w:r>
        <w:t xml:space="preserve">Procurement allocates each requirement to vendors in an Excel allocation sheet using a split percentage (for example 60/40), MOQ, quality performance and volume. Some SKUs must come from one specific supplier.</w:t>
      </w:r>
    </w:p>
    <w:p>
      <w:pPr>
        <w:pStyle w:val="ListParagraph"/>
        <w:numPr>
          <w:ilvl w:val="0"/>
          <w:numId w:val="3"/>
        </w:numPr>
      </w:pPr>
      <w:r>
        <w:t xml:space="preserve">Procurement manually creates the PR and converts it to a PO in SAP, splitting lines by vendor by hand. The PO price is typed in from the latest quotation.</w:t>
      </w:r>
    </w:p>
    <w:p>
      <w:pPr>
        <w:pStyle w:val="ListParagraph"/>
        <w:numPr>
          <w:ilvl w:val="0"/>
          <w:numId w:val="3"/>
        </w:numPr>
      </w:pPr>
      <w:r>
        <w:t xml:space="preserve">The PO is emailed to the supplier, who acknowledges it and sends a delivery schedule.</w:t>
      </w:r>
    </w:p>
    <w:p>
      <w:pPr/>
      <w:r>
        <w:rPr>
          <w:b/>
        </w:rPr>
        <w:t xml:space="preserve">C. Delivery commitment and tracking</w:t>
      </w:r>
    </w:p>
    <w:p>
      <w:pPr>
        <w:pStyle w:val="ListParagraph"/>
        <w:numPr>
          <w:ilvl w:val="0"/>
          <w:numId w:val="4"/>
        </w:numPr>
      </w:pPr>
      <w:r>
        <w:t xml:space="preserve">Supply planning maintains a vendor commitment Excel file listing PO, vendor, material and committed schedule. It is linked to the planning team's MRP file and shared by email.</w:t>
      </w:r>
    </w:p>
    <w:p>
      <w:pPr>
        <w:pStyle w:val="ListParagraph"/>
        <w:numPr>
          <w:ilvl w:val="0"/>
          <w:numId w:val="4"/>
        </w:numPr>
      </w:pPr>
      <w:r>
        <w:t xml:space="preserve">Key suppliers send a full delivery schedule and later update it. Changes arrive by email or Viber and go into the Excel file only. PO delivery dates in SAP are not updated.</w:t>
      </w:r>
    </w:p>
    <w:p>
      <w:pPr>
        <w:pStyle w:val="ListParagraph"/>
        <w:numPr>
          <w:ilvl w:val="0"/>
          <w:numId w:val="4"/>
        </w:numPr>
      </w:pPr>
      <w:r>
        <w:t xml:space="preserve">The updated commitment feeds back into the next MRP cycle to find stock-out risks and order ahead.</w:t>
      </w:r>
    </w:p>
    <w:p>
      <w:pPr/>
      <w:r>
        <w:rPr>
          <w:b/>
        </w:rPr>
        <w:t xml:space="preserve">D. Receiving, quality and non-conformance</w:t>
      </w:r>
    </w:p>
    <w:p>
      <w:pPr>
        <w:pStyle w:val="ListParagraph"/>
        <w:numPr>
          <w:ilvl w:val="0"/>
          <w:numId w:val="5"/>
        </w:numPr>
      </w:pPr>
      <w:r>
        <w:t xml:space="preserve">Goods are received in Infor WMS. Its “ASN” is an internal import document, not a supplier advance shipping notice. Receipts, partial receipts, rejections and returns post to SAP in real time.</w:t>
      </w:r>
    </w:p>
    <w:p>
      <w:pPr>
        <w:pStyle w:val="ListParagraph"/>
        <w:numPr>
          <w:ilvl w:val="0"/>
          <w:numId w:val="5"/>
        </w:numPr>
      </w:pPr>
      <w:r>
        <w:t xml:space="preserve">WMS restricts stock until QC passes. The factory QC releases a certificate and WMS is set to pass or fail manually. Test parameters and results are not held in any system.</w:t>
      </w:r>
    </w:p>
    <w:p>
      <w:pPr>
        <w:pStyle w:val="ListParagraph"/>
        <w:numPr>
          <w:ilvl w:val="0"/>
          <w:numId w:val="5"/>
        </w:numPr>
      </w:pPr>
      <w:r>
        <w:t xml:space="preserve">On a quality failure, the factory issues a Non-Conformance Report (NCR). Procurement emails it to the supplier.</w:t>
      </w:r>
    </w:p>
    <w:p>
      <w:pPr>
        <w:pStyle w:val="ListParagraph"/>
        <w:numPr>
          <w:ilvl w:val="0"/>
          <w:numId w:val="5"/>
        </w:numPr>
      </w:pPr>
      <w:r>
        <w:t xml:space="preserve">The supplier returns a Corrective Action Report (CAR). Local suppliers get on-site verification, and APC monitors the next three deliveries before closing the NCR. All of this is tracked in Excel.</w:t>
      </w:r>
    </w:p>
    <w:p>
      <w:pPr/>
      <w:r>
        <w:rPr>
          <w:b/>
        </w:rPr>
        <w:t xml:space="preserve">E. Production and finished goods</w:t>
      </w:r>
    </w:p>
    <w:p>
      <w:pPr>
        <w:pStyle w:val="ListParagraph"/>
        <w:numPr>
          <w:ilvl w:val="0"/>
          <w:numId w:val="6"/>
        </w:numPr>
      </w:pPr>
      <w:r>
        <w:t xml:space="preserve">The planning system translates the production plan into material needs using the BOM in Jedox. There is no BOM in SAP.</w:t>
      </w:r>
    </w:p>
    <w:p>
      <w:pPr>
        <w:pStyle w:val="ListParagraph"/>
        <w:numPr>
          <w:ilvl w:val="0"/>
          <w:numId w:val="6"/>
        </w:numPr>
      </w:pPr>
      <w:r>
        <w:t xml:space="preserve">Production orders RM and PM through WMS, and WMS moves stock to the production location by transfer posting.</w:t>
      </w:r>
    </w:p>
    <w:p>
      <w:pPr>
        <w:pStyle w:val="ListParagraph"/>
        <w:numPr>
          <w:ilvl w:val="0"/>
          <w:numId w:val="6"/>
        </w:numPr>
      </w:pPr>
      <w:r>
        <w:t xml:space="preserve">Consumption is manually deducted in SAP and finished goods are received without reference, followed by a stock transfer to the distribution centre (see section 4).</w:t>
      </w:r>
    </w:p>
    <w:p>
      <w:pPr>
        <w:pStyle w:val="Heading2"/>
      </w:pPr>
      <w:r>
        <w:t xml:space="preserve">3. As-is process flow</w:t>
      </w:r>
    </w:p>
    <w:p>
      <w:pPr/>
      <w:r>
        <w:drawing>
          <wp:inline distT="0" distB="0" distL="0" distR="0">
            <wp:extent cx="5486400" cy="6433457"/>
            <wp:docPr id="1" name="image1" descr="As-is planning to receipt · 4 lanes, 9 st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s-is planning to receipt · 4 lanes, 9 step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As-is planning to receipt · 4 lanes, 9 steps</w:t>
      </w:r>
    </w:p>
    <w:p>
      <w:pPr/>
      <w:r>
        <w:t xml:space="preserve">The vendor commitment file is the hinge of the current process: it carries supplier dates back into planning, but SAP never sees them.</w:t>
      </w:r>
    </w:p>
    <w:p>
      <w:pPr>
        <w:pStyle w:val="Heading2"/>
      </w:pPr>
      <w:r>
        <w:t xml:space="preserve">4. Current SAP inventory transactions</w:t>
      </w:r>
    </w:p>
    <w:p>
      <w:pPr/>
      <w:r>
        <w:t xml:space="preserve">Without PP and BOMs in SAP, production is recorded through custom goods movements without reference. SAP inventory is right only if each manual posting is made.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0"/>
        <w:gridCol w:w="2481"/>
        <w:gridCol w:w="4699"/>
      </w:tblGrid>
      <w:tr>
        <w:trPr>
          <w:tblHeader/>
        </w:trPr>
        <w:tc>
          <w:tcPr>
            <w:tcW w:w="218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481" w:type="dxa"/>
            <w:shd w:val="clear" w:color="auto" w:fill="F2F2F2"/>
          </w:tcPr>
          <w:p>
            <w:pPr/>
            <w:r>
              <w:t xml:space="preserve">Where it starts</w:t>
            </w:r>
          </w:p>
        </w:tc>
        <w:tc>
          <w:tcPr>
            <w:tcW w:w="4699" w:type="dxa"/>
            <w:shd w:val="clear" w:color="auto" w:fill="F2F2F2"/>
          </w:tcPr>
          <w:p>
            <w:pPr/>
            <w:r>
              <w:t xml:space="preserve">SAP posting</w:t>
            </w:r>
          </w:p>
        </w:tc>
      </w:tr>
      <w:tr>
        <w:tc>
          <w:tcPr>
            <w:tcW w:w="2180" w:type="dxa"/>
          </w:tcPr>
          <w:p>
            <w:pPr/>
            <w:r>
              <w:t xml:space="preserve">RM/PM goods receipt against PO</w:t>
            </w:r>
          </w:p>
        </w:tc>
        <w:tc>
          <w:tcPr>
            <w:tcW w:w="2481" w:type="dxa"/>
          </w:tcPr>
          <w:p>
            <w:pPr/>
            <w:r>
              <w:t xml:space="preserve">Infor WMS receipt</w:t>
            </w:r>
          </w:p>
        </w:tc>
        <w:tc>
          <w:tcPr>
            <w:tcW w:w="4699" w:type="dxa"/>
          </w:tcPr>
          <w:p>
            <w:pPr/>
            <w:r>
              <w:t xml:space="preserve">GR against PO, interfaced in real time</w:t>
            </w:r>
          </w:p>
        </w:tc>
      </w:tr>
      <w:tr>
        <w:tc>
          <w:tcPr>
            <w:tcW w:w="2180" w:type="dxa"/>
          </w:tcPr>
          <w:p>
            <w:pPr/>
            <w:r>
              <w:t xml:space="preserve">RM/PM issued to production location</w:t>
            </w:r>
          </w:p>
        </w:tc>
        <w:tc>
          <w:tcPr>
            <w:tcW w:w="2481" w:type="dxa"/>
          </w:tcPr>
          <w:p>
            <w:pPr/>
            <w:r>
              <w:t xml:space="preserve">WMS order / shipment order</w:t>
            </w:r>
          </w:p>
        </w:tc>
        <w:tc>
          <w:tcPr>
            <w:tcW w:w="4699" w:type="dxa"/>
          </w:tcPr>
          <w:p>
            <w:pPr/>
            <w:r>
              <w:t xml:space="preserve">Transfer posting (same plant, storage location to storage location)</w:t>
            </w:r>
          </w:p>
        </w:tc>
      </w:tr>
      <w:tr>
        <w:tc>
          <w:tcPr>
            <w:tcW w:w="2180" w:type="dxa"/>
          </w:tcPr>
          <w:p>
            <w:pPr/>
            <w:r>
              <w:t xml:space="preserve">RM/PM consumption</w:t>
            </w:r>
          </w:p>
        </w:tc>
        <w:tc>
          <w:tcPr>
            <w:tcW w:w="2481" w:type="dxa"/>
          </w:tcPr>
          <w:p>
            <w:pPr/>
            <w:r>
              <w:t xml:space="preserve">Manual, based on production output</w:t>
            </w:r>
          </w:p>
        </w:tc>
        <w:tc>
          <w:tcPr>
            <w:tcW w:w="4699" w:type="dxa"/>
          </w:tcPr>
          <w:p>
            <w:pPr/>
            <w:r>
              <w:t xml:space="preserve">MIGO goods issue – Other, movement type </w:t>
            </w:r>
            <w:r>
              <w:rPr>
                <w:b/>
              </w:rPr>
              <w:t xml:space="preserve">Z05</w:t>
            </w:r>
            <w:r>
              <w:t xml:space="preserve"> (custom), no production order</w:t>
            </w:r>
          </w:p>
        </w:tc>
      </w:tr>
      <w:tr>
        <w:tc>
          <w:tcPr>
            <w:tcW w:w="2180" w:type="dxa"/>
          </w:tcPr>
          <w:p>
            <w:pPr/>
            <w:r>
              <w:t xml:space="preserve">FG produced</w:t>
            </w:r>
          </w:p>
        </w:tc>
        <w:tc>
          <w:tcPr>
            <w:tcW w:w="2481" w:type="dxa"/>
          </w:tcPr>
          <w:p>
            <w:pPr/>
            <w:r>
              <w:t xml:space="preserve">Manual, based on production output</w:t>
            </w:r>
          </w:p>
        </w:tc>
        <w:tc>
          <w:tcPr>
            <w:tcW w:w="4699" w:type="dxa"/>
          </w:tcPr>
          <w:p>
            <w:pPr/>
            <w:r>
              <w:t xml:space="preserve">MIGO goods receipt – Other, movement type </w:t>
            </w:r>
            <w:r>
              <w:rPr>
                <w:b/>
              </w:rPr>
              <w:t xml:space="preserve">Z01</w:t>
            </w:r>
            <w:r>
              <w:t xml:space="preserve"> (custom), without reference</w:t>
            </w:r>
          </w:p>
        </w:tc>
      </w:tr>
      <w:tr>
        <w:tc>
          <w:tcPr>
            <w:tcW w:w="2180" w:type="dxa"/>
          </w:tcPr>
          <w:p>
            <w:pPr/>
            <w:r>
              <w:t xml:space="preserve">FG to distribution centre</w:t>
            </w:r>
          </w:p>
        </w:tc>
        <w:tc>
          <w:tcPr>
            <w:tcW w:w="2481" w:type="dxa"/>
          </w:tcPr>
          <w:p>
            <w:pPr/>
            <w:r>
              <w:t xml:space="preserve">WMS inbound acceptance at FG warehouse</w:t>
            </w:r>
          </w:p>
        </w:tc>
        <w:tc>
          <w:tcPr>
            <w:tcW w:w="4699" w:type="dxa"/>
          </w:tcPr>
          <w:p>
            <w:pPr/>
            <w:r>
              <w:t xml:space="preserve">Stock transfer (production plant to distribution centre plant)</w:t>
            </w:r>
          </w:p>
        </w:tc>
      </w:tr>
      <w:tr>
        <w:tc>
          <w:tcPr>
            <w:tcW w:w="2180" w:type="dxa"/>
          </w:tcPr>
          <w:p>
            <w:pPr/>
            <w:r>
              <w:t xml:space="preserve">Returns and rejections</w:t>
            </w:r>
          </w:p>
        </w:tc>
        <w:tc>
          <w:tcPr>
            <w:tcW w:w="2481" w:type="dxa"/>
          </w:tcPr>
          <w:p>
            <w:pPr/>
            <w:r>
              <w:t xml:space="preserve">WMS</w:t>
            </w:r>
          </w:p>
        </w:tc>
        <w:tc>
          <w:tcPr>
            <w:tcW w:w="4699" w:type="dxa"/>
          </w:tcPr>
          <w:p>
            <w:pPr/>
            <w:r>
              <w:t xml:space="preserve">Posted to SAP via interface</w:t>
            </w:r>
          </w:p>
        </w:tc>
      </w:tr>
    </w:tbl>
    <w:p>
      <w:pPr>
        <w:pStyle w:val="Heading2"/>
      </w:pPr>
      <w:r>
        <w:t xml:space="preserve">5. Pain areas</w:t>
      </w:r>
    </w:p>
    <w:p>
      <w:pPr/>
      <w:r>
        <w:t xml:space="preserve">The main pain is that supplier commitments, allocations and quality outcomes live in linked Excel files that only the planners can read and keep in step.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Pain area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Impact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4920" w:type="dxa"/>
          </w:tcPr>
          <w:p>
            <w:pPr/>
            <w:r>
              <w:t xml:space="preserve">R&amp;D new-material requests arrive as one-line emails with no specification</w:t>
            </w:r>
          </w:p>
        </w:tc>
        <w:tc>
          <w:tcPr>
            <w:tcW w:w="3720" w:type="dxa"/>
          </w:tcPr>
          <w:p>
            <w:pPr/>
            <w:r>
              <w:t xml:space="preserve">Procurement chases detail; no tracked request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P2</w:t>
            </w:r>
          </w:p>
        </w:tc>
        <w:tc>
          <w:tcPr>
            <w:tcW w:w="4920" w:type="dxa"/>
          </w:tcPr>
          <w:p>
            <w:pPr/>
            <w:r>
              <w:t xml:space="preserve">Sales forecast, production plan and MRP parameters uploaded to Jedox from Excel</w:t>
            </w:r>
          </w:p>
        </w:tc>
        <w:tc>
          <w:tcPr>
            <w:tcW w:w="3720" w:type="dxa"/>
          </w:tcPr>
          <w:p>
            <w:pPr/>
            <w:r>
              <w:t xml:space="preserve">Manual effort and risk of upload errors each cycle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P3</w:t>
            </w:r>
          </w:p>
        </w:tc>
        <w:tc>
          <w:tcPr>
            <w:tcW w:w="4920" w:type="dxa"/>
          </w:tcPr>
          <w:p>
            <w:pPr/>
            <w:r>
              <w:t xml:space="preserve">Vendor allocation (split %, MOQ, quality, single-source SKUs) done manually in Excel</w:t>
            </w:r>
          </w:p>
        </w:tc>
        <w:tc>
          <w:tcPr>
            <w:tcW w:w="3720" w:type="dxa"/>
          </w:tcPr>
          <w:p>
            <w:pPr/>
            <w:r>
              <w:t xml:space="preserve">Inconsistent decisions; effort; no audit trail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P4</w:t>
            </w:r>
          </w:p>
        </w:tc>
        <w:tc>
          <w:tcPr>
            <w:tcW w:w="4920" w:type="dxa"/>
          </w:tcPr>
          <w:p>
            <w:pPr/>
            <w:r>
              <w:t xml:space="preserve">PR creation and PR-to-PO conversion with vendor splits done by hand in SAP</w:t>
            </w:r>
          </w:p>
        </w:tc>
        <w:tc>
          <w:tcPr>
            <w:tcW w:w="3720" w:type="dxa"/>
          </w:tcPr>
          <w:p>
            <w:pPr/>
            <w:r>
              <w:t xml:space="preserve">Errors in line selection; effort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P5</w:t>
            </w:r>
          </w:p>
        </w:tc>
        <w:tc>
          <w:tcPr>
            <w:tcW w:w="4920" w:type="dxa"/>
          </w:tcPr>
          <w:p>
            <w:pPr/>
            <w:r>
              <w:t xml:space="preserve">PO prices typed from latest quotation; no outline agreements</w:t>
            </w:r>
          </w:p>
        </w:tc>
        <w:tc>
          <w:tcPr>
            <w:tcW w:w="3720" w:type="dxa"/>
          </w:tcPr>
          <w:p>
            <w:pPr/>
            <w:r>
              <w:t xml:space="preserve">Price errors; repeated RFQs (also raised on Day 1)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P6</w:t>
            </w:r>
          </w:p>
        </w:tc>
        <w:tc>
          <w:tcPr>
            <w:tcW w:w="4920" w:type="dxa"/>
          </w:tcPr>
          <w:p>
            <w:pPr/>
            <w:r>
              <w:t xml:space="preserve">PO acknowledgement and delivery schedules exchanged by email and Viber</w:t>
            </w:r>
          </w:p>
        </w:tc>
        <w:tc>
          <w:tcPr>
            <w:tcW w:w="3720" w:type="dxa"/>
          </w:tcPr>
          <w:p>
            <w:pPr/>
            <w:r>
              <w:t xml:space="preserve">No single source of truth; slow updates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P7</w:t>
            </w:r>
          </w:p>
        </w:tc>
        <w:tc>
          <w:tcPr>
            <w:tcW w:w="4920" w:type="dxa"/>
          </w:tcPr>
          <w:p>
            <w:pPr/>
            <w:r>
              <w:t xml:space="preserve">Vendor commitment file is a heavily linked Excel workbook</w:t>
            </w:r>
          </w:p>
        </w:tc>
        <w:tc>
          <w:tcPr>
            <w:tcW w:w="3720" w:type="dxa"/>
          </w:tcPr>
          <w:p>
            <w:pPr/>
            <w:r>
              <w:t xml:space="preserve">Planners struggle to find and maintain files; links break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P8</w:t>
            </w:r>
          </w:p>
        </w:tc>
        <w:tc>
          <w:tcPr>
            <w:tcW w:w="4920" w:type="dxa"/>
          </w:tcPr>
          <w:p>
            <w:pPr/>
            <w:r>
              <w:t xml:space="preserve">SAP PO delivery dates not updated when suppliers change schedules</w:t>
            </w:r>
          </w:p>
        </w:tc>
        <w:tc>
          <w:tcPr>
            <w:tcW w:w="3720" w:type="dxa"/>
          </w:tcPr>
          <w:p>
            <w:pPr/>
            <w:r>
              <w:t xml:space="preserve">SAP open-PO view does not match reality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P9</w:t>
            </w:r>
          </w:p>
        </w:tc>
        <w:tc>
          <w:tcPr>
            <w:tcW w:w="4920" w:type="dxa"/>
          </w:tcPr>
          <w:p>
            <w:pPr/>
            <w:r>
              <w:t xml:space="preserve">No supplier ASN; WMS receivers pick PO lines by hand</w:t>
            </w:r>
          </w:p>
        </w:tc>
        <w:tc>
          <w:tcPr>
            <w:tcW w:w="3720" w:type="dxa"/>
          </w:tcPr>
          <w:p>
            <w:pPr/>
            <w:r>
              <w:t xml:space="preserve">Wrong line received when one PO has several schedule lines for the same material; other lines show as delayed or not received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P10</w:t>
            </w:r>
          </w:p>
        </w:tc>
        <w:tc>
          <w:tcPr>
            <w:tcW w:w="4920" w:type="dxa"/>
          </w:tcPr>
          <w:p>
            <w:pPr/>
            <w:r>
              <w:t xml:space="preserve">Over-delivery within tolerance and short deliveries are not measured</w:t>
            </w:r>
          </w:p>
        </w:tc>
        <w:tc>
          <w:tcPr>
            <w:tcW w:w="3720" w:type="dxa"/>
          </w:tcPr>
          <w:p>
            <w:pPr/>
            <w:r>
              <w:t xml:space="preserve">Suppliers exploit tolerance; no data for performance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P11</w:t>
            </w:r>
          </w:p>
        </w:tc>
        <w:tc>
          <w:tcPr>
            <w:tcW w:w="4920" w:type="dxa"/>
          </w:tcPr>
          <w:p>
            <w:pPr/>
            <w:r>
              <w:t xml:space="preserve">QC pass/fail set manually in WMS; test results not in any system</w:t>
            </w:r>
          </w:p>
        </w:tc>
        <w:tc>
          <w:tcPr>
            <w:tcW w:w="3720" w:type="dxa"/>
          </w:tcPr>
          <w:p>
            <w:pPr/>
            <w:r>
              <w:t xml:space="preserve">No traceable quality record per GR line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P12</w:t>
            </w:r>
          </w:p>
        </w:tc>
        <w:tc>
          <w:tcPr>
            <w:tcW w:w="4920" w:type="dxa"/>
          </w:tcPr>
          <w:p>
            <w:pPr/>
            <w:r>
              <w:t xml:space="preserve">NCR and CAR sent by email; three-delivery verification tracked in Excel</w:t>
            </w:r>
          </w:p>
        </w:tc>
        <w:tc>
          <w:tcPr>
            <w:tcW w:w="3720" w:type="dxa"/>
          </w:tcPr>
          <w:p>
            <w:pPr/>
            <w:r>
              <w:t xml:space="preserve">Slow closure; no supplier quality history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P13</w:t>
            </w:r>
          </w:p>
        </w:tc>
        <w:tc>
          <w:tcPr>
            <w:tcW w:w="4920" w:type="dxa"/>
          </w:tcPr>
          <w:p>
            <w:pPr/>
            <w:r>
              <w:t xml:space="preserve">No reason codes for late delivery, and some delays are caused by APC (production, warehouse, typhoon, port)</w:t>
            </w:r>
          </w:p>
        </w:tc>
        <w:tc>
          <w:tcPr>
            <w:tcW w:w="3720" w:type="dxa"/>
          </w:tcPr>
          <w:p>
            <w:pPr/>
            <w:r>
              <w:t xml:space="preserve">On-time metrics would be wrong without reason capture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P14</w:t>
            </w:r>
          </w:p>
        </w:tc>
        <w:tc>
          <w:tcPr>
            <w:tcW w:w="4920" w:type="dxa"/>
          </w:tcPr>
          <w:p>
            <w:pPr/>
            <w:r>
              <w:t xml:space="preserve">Consumption and FG receipts posted manually with custom movement types; BOM maintained only in Jedox</w:t>
            </w:r>
          </w:p>
        </w:tc>
        <w:tc>
          <w:tcPr>
            <w:tcW w:w="3720" w:type="dxa"/>
          </w:tcPr>
          <w:p>
            <w:pPr/>
            <w:r>
              <w:t xml:space="preserve">Inventory accuracy depends on manual postings; SAP used mainly for financials</w:t>
            </w:r>
          </w:p>
        </w:tc>
      </w:tr>
    </w:tbl>
    <w:p>
      <w:pPr>
        <w:pStyle w:val="Heading2"/>
      </w:pPr>
      <w:r>
        <w:t xml:space="preserve">6. To-be process</w:t>
      </w:r>
    </w:p>
    <w:p>
      <w:pPr/>
      <w:r>
        <w:t xml:space="preserve">In the target design, supplier collaboration moves from email and Excel into the procurement platform. Planning stays in a planning engine, and SAP stays the system of record for PO, GR, inventory and finance.</w:t>
      </w:r>
    </w:p>
    <w:p>
      <w:pPr/>
      <w:r>
        <w:drawing>
          <wp:inline distT="0" distB="0" distL="0" distR="0">
            <wp:extent cx="5486400" cy="6433457"/>
            <wp:docPr id="2" name="image2" descr="To-be planning to receipt · 4 lanes, 9 st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o-be planning to receipt · 4 lanes, 9 step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To-be planning to receipt · 4 lanes, 9 steps</w:t>
      </w:r>
    </w:p>
    <w:p>
      <w:pPr/>
      <w:r>
        <w:t xml:space="preserve">What changes:</w:t>
      </w:r>
    </w:p>
    <w:p>
      <w:pPr>
        <w:pStyle w:val="ListParagraph"/>
        <w:numPr>
          <w:ilvl w:val="0"/>
          <w:numId w:val="7"/>
        </w:numPr>
      </w:pPr>
      <w:r>
        <w:t xml:space="preserve">The vendor commitment Excel file is retired. Supplier commitments update the SAP PO lines and the next MRP run directly.</w:t>
      </w:r>
    </w:p>
    <w:p>
      <w:pPr>
        <w:pStyle w:val="ListParagraph"/>
        <w:numPr>
          <w:ilvl w:val="0"/>
          <w:numId w:val="7"/>
        </w:numPr>
      </w:pPr>
      <w:r>
        <w:t xml:space="preserve">The supplier ASN tells WMS exactly which PO line and schedule line is arriving, so receivers no longer pick lines by hand.</w:t>
      </w:r>
    </w:p>
    <w:p>
      <w:pPr>
        <w:pStyle w:val="ListParagraph"/>
        <w:numPr>
          <w:ilvl w:val="0"/>
          <w:numId w:val="7"/>
        </w:numPr>
      </w:pPr>
      <w:r>
        <w:t xml:space="preserve">Receipts, over and short quantities, QC results and NCRs reach the supplier in the portal, and the CAR comes back the same way.</w:t>
      </w:r>
    </w:p>
    <w:p>
      <w:pPr>
        <w:pStyle w:val="ListParagraph"/>
        <w:numPr>
          <w:ilvl w:val="0"/>
          <w:numId w:val="7"/>
        </w:numPr>
      </w:pPr>
      <w:r>
        <w:t xml:space="preserve">On-time and quality scores are calculated from transactions (committed date vs actual receipt; rejections and returns), with reason codes excluding APC-caused delays.</w:t>
      </w:r>
    </w:p>
    <w:p>
      <w:pPr>
        <w:pStyle w:val="ListParagraph"/>
        <w:numPr>
          <w:ilvl w:val="0"/>
          <w:numId w:val="7"/>
        </w:numPr>
      </w:pPr>
      <w:r>
        <w:t xml:space="preserve">Where vendor allocation runs (SAP, Jedox or the platform) is still open; see section 8.</w:t>
      </w:r>
    </w:p>
    <w:p>
      <w:pPr>
        <w:pStyle w:val="Heading2"/>
      </w:pPr>
      <w:r>
        <w:t xml:space="preserve">7. Functional requirements</w:t>
      </w:r>
    </w:p>
    <w:p>
      <w:pPr/>
      <w:r>
        <w:t xml:space="preserve">Twenty requirements came out of Session 2. The must-haves are a supplier portal for PO acknowledgement, schedule commitment and ASN, plus closed-loop quality feedback. Priorities are Durvah's proposal for Ajinomoto to confirm.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2346"/>
        <w:gridCol w:w="4920"/>
        <w:gridCol w:w="1226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6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PP-01</w:t>
            </w:r>
          </w:p>
        </w:tc>
        <w:tc>
          <w:tcPr>
            <w:tcW w:w="2346" w:type="dxa"/>
          </w:tcPr>
          <w:p>
            <w:pPr/>
            <w:r>
              <w:t xml:space="preserve">Material request</w:t>
            </w:r>
          </w:p>
        </w:tc>
        <w:tc>
          <w:tcPr>
            <w:tcW w:w="4920" w:type="dxa"/>
          </w:tcPr>
          <w:p>
            <w:pPr/>
            <w:r>
              <w:t xml:space="preserve">R&amp;D raises new-material requests in the platform with specification, target cost and attachments; routed to procurement to start sourcing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PP-02</w:t>
            </w:r>
          </w:p>
        </w:tc>
        <w:tc>
          <w:tcPr>
            <w:tcW w:w="2346" w:type="dxa"/>
          </w:tcPr>
          <w:p>
            <w:pPr/>
            <w:r>
              <w:t xml:space="preserve">Requisition</w:t>
            </w:r>
          </w:p>
        </w:tc>
        <w:tc>
          <w:tcPr>
            <w:tcW w:w="4920" w:type="dxa"/>
          </w:tcPr>
          <w:p>
            <w:pPr/>
            <w:r>
              <w:t xml:space="preserve">Receive approved PRs from SAP (or the MRP engine); optionally create PRs in the platform where permitted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PP-03</w:t>
            </w:r>
          </w:p>
        </w:tc>
        <w:tc>
          <w:tcPr>
            <w:tcW w:w="2346" w:type="dxa"/>
          </w:tcPr>
          <w:p>
            <w:pPr/>
            <w:r>
              <w:t xml:space="preserve">Vendor allocation</w:t>
            </w:r>
          </w:p>
        </w:tc>
        <w:tc>
          <w:tcPr>
            <w:tcW w:w="4920" w:type="dxa"/>
          </w:tcPr>
          <w:p>
            <w:pPr/>
            <w:r>
              <w:t xml:space="preserve">Auto-assign vendors per material using allocation %, MOQ, single-source rules, supplier rating and quality blocks; planner can review and override before PO creation</w:t>
            </w:r>
          </w:p>
        </w:tc>
        <w:tc>
          <w:tcPr>
            <w:tcW w:w="1226" w:type="dxa"/>
          </w:tcPr>
          <w:p>
            <w:pPr/>
            <w:r>
              <w:t xml:space="preserve">Must – location to be decided (section 8)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PP-04</w:t>
            </w:r>
          </w:p>
        </w:tc>
        <w:tc>
          <w:tcPr>
            <w:tcW w:w="2346" w:type="dxa"/>
          </w:tcPr>
          <w:p>
            <w:pPr/>
            <w:r>
              <w:t xml:space="preserve">Auto PO</w:t>
            </w:r>
          </w:p>
        </w:tc>
        <w:tc>
          <w:tcPr>
            <w:tcW w:w="4920" w:type="dxa"/>
          </w:tcPr>
          <w:p>
            <w:pPr/>
            <w:r>
              <w:t xml:space="preserve">Create POs automatically from allocated PRs, with price from the agreement or outline agreement; approval by the approving head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PP-05</w:t>
            </w:r>
          </w:p>
        </w:tc>
        <w:tc>
          <w:tcPr>
            <w:tcW w:w="2346" w:type="dxa"/>
          </w:tcPr>
          <w:p>
            <w:pPr/>
            <w:r>
              <w:t xml:space="preserve">PO publication</w:t>
            </w:r>
          </w:p>
        </w:tc>
        <w:tc>
          <w:tcPr>
            <w:tcW w:w="4920" w:type="dxa"/>
          </w:tcPr>
          <w:p>
            <w:pPr/>
            <w:r>
              <w:t xml:space="preserve">Publish approved POs to suppliers in the portal; supplier acknowledges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PP-06</w:t>
            </w:r>
          </w:p>
        </w:tc>
        <w:tc>
          <w:tcPr>
            <w:tcW w:w="2346" w:type="dxa"/>
          </w:tcPr>
          <w:p>
            <w:pPr/>
            <w:r>
              <w:t xml:space="preserve">Schedule commitment</w:t>
            </w:r>
          </w:p>
        </w:tc>
        <w:tc>
          <w:tcPr>
            <w:tcW w:w="4920" w:type="dxa"/>
          </w:tcPr>
          <w:p>
            <w:pPr/>
            <w:r>
              <w:t xml:space="preserve">Supplier confirms or proposes delivery date and quantity per PO line or schedule line against the MRP required date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PP-07</w:t>
            </w:r>
          </w:p>
        </w:tc>
        <w:tc>
          <w:tcPr>
            <w:tcW w:w="2346" w:type="dxa"/>
          </w:tcPr>
          <w:p>
            <w:pPr/>
            <w:r>
              <w:t xml:space="preserve">Commitment feedback</w:t>
            </w:r>
          </w:p>
        </w:tc>
        <w:tc>
          <w:tcPr>
            <w:tcW w:w="4920" w:type="dxa"/>
          </w:tcPr>
          <w:p>
            <w:pPr/>
            <w:r>
              <w:t xml:space="preserve">Committed dates flow back to SAP PO lines and to the MRP engine for the next run, replacing the vendor commitment Excel file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PP-08</w:t>
            </w:r>
          </w:p>
        </w:tc>
        <w:tc>
          <w:tcPr>
            <w:tcW w:w="2346" w:type="dxa"/>
          </w:tcPr>
          <w:p>
            <w:pPr/>
            <w:r>
              <w:t xml:space="preserve">Schedule changes</w:t>
            </w:r>
          </w:p>
        </w:tc>
        <w:tc>
          <w:tcPr>
            <w:tcW w:w="4920" w:type="dxa"/>
          </w:tcPr>
          <w:p>
            <w:pPr/>
            <w:r>
              <w:t xml:space="preserve">Suppliers update schedules in the portal with reason; procurement and planning notified; change history kept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PP-09</w:t>
            </w:r>
          </w:p>
        </w:tc>
        <w:tc>
          <w:tcPr>
            <w:tcW w:w="2346" w:type="dxa"/>
          </w:tcPr>
          <w:p>
            <w:pPr/>
            <w:r>
              <w:t xml:space="preserve">Open PO tracking</w:t>
            </w:r>
          </w:p>
        </w:tc>
        <w:tc>
          <w:tcPr>
            <w:tcW w:w="4920" w:type="dxa"/>
          </w:tcPr>
          <w:p>
            <w:pPr/>
            <w:r>
              <w:t xml:space="preserve">Dashboard of open PO lines, committed vs required dates and at-risk deliveries for procurement and planning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PP-10</w:t>
            </w:r>
          </w:p>
        </w:tc>
        <w:tc>
          <w:tcPr>
            <w:tcW w:w="2346" w:type="dxa"/>
          </w:tcPr>
          <w:p>
            <w:pPr/>
            <w:r>
              <w:t xml:space="preserve">Supplier ASN</w:t>
            </w:r>
          </w:p>
        </w:tc>
        <w:tc>
          <w:tcPr>
            <w:tcW w:w="4920" w:type="dxa"/>
          </w:tcPr>
          <w:p>
            <w:pPr/>
            <w:r>
              <w:t xml:space="preserve">Supplier creates an electronic ASN at dispatch with PO line, schedule line, quantity, batch and ETA; sent to Infor WMS for receiving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PP-11</w:t>
            </w:r>
          </w:p>
        </w:tc>
        <w:tc>
          <w:tcPr>
            <w:tcW w:w="2346" w:type="dxa"/>
          </w:tcPr>
          <w:p>
            <w:pPr/>
            <w:r>
              <w:t xml:space="preserve">Receipt visibility</w:t>
            </w:r>
          </w:p>
        </w:tc>
        <w:tc>
          <w:tcPr>
            <w:tcW w:w="4920" w:type="dxa"/>
          </w:tcPr>
          <w:p>
            <w:pPr/>
            <w:r>
              <w:t xml:space="preserve">GR, partial receipts, over/short receipts, rejections and returns from WMS/SAP visible against each PO line, internally and to the supplier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PP-12</w:t>
            </w:r>
          </w:p>
        </w:tc>
        <w:tc>
          <w:tcPr>
            <w:tcW w:w="2346" w:type="dxa"/>
          </w:tcPr>
          <w:p>
            <w:pPr/>
            <w:r>
              <w:t xml:space="preserve">QC result</w:t>
            </w:r>
          </w:p>
        </w:tc>
        <w:tc>
          <w:tcPr>
            <w:tcW w:w="4920" w:type="dxa"/>
          </w:tcPr>
          <w:p>
            <w:pPr/>
            <w:r>
              <w:t xml:space="preserve">Pass/fail per GR line from LIMS (or WMS until LIMS is live) shown to the supplier as accepted or rejected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PP-13</w:t>
            </w:r>
          </w:p>
        </w:tc>
        <w:tc>
          <w:tcPr>
            <w:tcW w:w="2346" w:type="dxa"/>
          </w:tcPr>
          <w:p>
            <w:pPr/>
            <w:r>
              <w:t xml:space="preserve">NCR</w:t>
            </w:r>
          </w:p>
        </w:tc>
        <w:tc>
          <w:tcPr>
            <w:tcW w:w="4920" w:type="dxa"/>
          </w:tcPr>
          <w:p>
            <w:pPr/>
            <w:r>
              <w:t xml:space="preserve">Factory issues the NCR (report no., NC type, defect class, description, supplier, SKU) and it is sent to the supplier in the portal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PP-14</w:t>
            </w:r>
          </w:p>
        </w:tc>
        <w:tc>
          <w:tcPr>
            <w:tcW w:w="2346" w:type="dxa"/>
          </w:tcPr>
          <w:p>
            <w:pPr/>
            <w:r>
              <w:t xml:space="preserve">CAR</w:t>
            </w:r>
          </w:p>
        </w:tc>
        <w:tc>
          <w:tcPr>
            <w:tcW w:w="4920" w:type="dxa"/>
          </w:tcPr>
          <w:p>
            <w:pPr/>
            <w:r>
              <w:t xml:space="preserve">Supplier submits the Corrective Action Report in the portal; APC records first, second and third delivery verifications and closes the NCR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PP-15</w:t>
            </w:r>
          </w:p>
        </w:tc>
        <w:tc>
          <w:tcPr>
            <w:tcW w:w="2346" w:type="dxa"/>
          </w:tcPr>
          <w:p>
            <w:pPr/>
            <w:r>
              <w:t xml:space="preserve">Delivery performance</w:t>
            </w:r>
          </w:p>
        </w:tc>
        <w:tc>
          <w:tcPr>
            <w:tcW w:w="4920" w:type="dxa"/>
          </w:tcPr>
          <w:p>
            <w:pPr/>
            <w:r>
              <w:t xml:space="preserve">Measure on-time delivery as actual receipt date vs committed date, and quantity accuracy as over or short vs schedule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PP-16</w:t>
            </w:r>
          </w:p>
        </w:tc>
        <w:tc>
          <w:tcPr>
            <w:tcW w:w="2346" w:type="dxa"/>
          </w:tcPr>
          <w:p>
            <w:pPr/>
            <w:r>
              <w:t xml:space="preserve">Delay reasons</w:t>
            </w:r>
          </w:p>
        </w:tc>
        <w:tc>
          <w:tcPr>
            <w:tcW w:w="4920" w:type="dxa"/>
          </w:tcPr>
          <w:p>
            <w:pPr/>
            <w:r>
              <w:t xml:space="preserve">Reason codes for late or changed deliveries (supplier, APC production or warehouse, force majeure such as typhoon or port), captured by procurement or planning and excluded from scoring where APC-caused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PP-17</w:t>
            </w:r>
          </w:p>
        </w:tc>
        <w:tc>
          <w:tcPr>
            <w:tcW w:w="2346" w:type="dxa"/>
          </w:tcPr>
          <w:p>
            <w:pPr/>
            <w:r>
              <w:t xml:space="preserve">Quality performance</w:t>
            </w:r>
          </w:p>
        </w:tc>
        <w:tc>
          <w:tcPr>
            <w:tcW w:w="4920" w:type="dxa"/>
          </w:tcPr>
          <w:p>
            <w:pPr/>
            <w:r>
              <w:t xml:space="preserve">Count of rejections, returns and NCRs per supplier from transaction data, feeding the supplier scorecard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PP-18</w:t>
            </w:r>
          </w:p>
        </w:tc>
        <w:tc>
          <w:tcPr>
            <w:tcW w:w="2346" w:type="dxa"/>
          </w:tcPr>
          <w:p>
            <w:pPr/>
            <w:r>
              <w:t xml:space="preserve">Allocation feedback</w:t>
            </w:r>
          </w:p>
        </w:tc>
        <w:tc>
          <w:tcPr>
            <w:tcW w:w="4920" w:type="dxa"/>
          </w:tcPr>
          <w:p>
            <w:pPr/>
            <w:r>
              <w:t xml:space="preserve">Supplier rating or quality status can reduce or block allocation of a supplier for a material</w:t>
            </w:r>
          </w:p>
        </w:tc>
        <w:tc>
          <w:tcPr>
            <w:tcW w:w="1226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PP-19</w:t>
            </w:r>
          </w:p>
        </w:tc>
        <w:tc>
          <w:tcPr>
            <w:tcW w:w="2346" w:type="dxa"/>
          </w:tcPr>
          <w:p>
            <w:pPr/>
            <w:r>
              <w:t xml:space="preserve">Price agreements</w:t>
            </w:r>
          </w:p>
        </w:tc>
        <w:tc>
          <w:tcPr>
            <w:tcW w:w="4920" w:type="dxa"/>
          </w:tcPr>
          <w:p>
            <w:pPr/>
            <w:r>
              <w:t xml:space="preserve">Contract or outline agreement prices from sourcing are sent to SAP so PO prices default automatically (links to Day 1 SO-20)</w:t>
            </w:r>
          </w:p>
        </w:tc>
        <w:tc>
          <w:tcPr>
            <w:tcW w:w="1226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PP-20</w:t>
            </w:r>
          </w:p>
        </w:tc>
        <w:tc>
          <w:tcPr>
            <w:tcW w:w="2346" w:type="dxa"/>
          </w:tcPr>
          <w:p>
            <w:pPr/>
            <w:r>
              <w:t xml:space="preserve">Corrective actions</w:t>
            </w:r>
          </w:p>
        </w:tc>
        <w:tc>
          <w:tcPr>
            <w:tcW w:w="4920" w:type="dxa"/>
          </w:tcPr>
          <w:p>
            <w:pPr/>
            <w:r>
              <w:t xml:space="preserve">Procurement or planning can raise corrective action requests to suppliers for delivery issues, not only quality</w:t>
            </w:r>
          </w:p>
        </w:tc>
        <w:tc>
          <w:tcPr>
            <w:tcW w:w="1226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8. Key design decision: where MRP and vendor allocation run</w:t>
      </w:r>
    </w:p>
    <w:p>
      <w:pPr/>
      <w:r>
        <w:t xml:space="preserve">Durvah's working recommendation is to keep MRP and vendor allocation in a planning system (SAP or Jedox), not in the procurement platform. The platform should handle supplier collaboration from PO onwards. Durvah will issue the final recommendation after reviewing the options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9"/>
        <w:gridCol w:w="2527"/>
        <w:gridCol w:w="2370"/>
        <w:gridCol w:w="2794"/>
      </w:tblGrid>
      <w:tr>
        <w:trPr>
          <w:tblHeader/>
        </w:trPr>
        <w:tc>
          <w:tcPr>
            <w:tcW w:w="1669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2527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2370" w:type="dxa"/>
            <w:shd w:val="clear" w:color="auto" w:fill="F2F2F2"/>
          </w:tcPr>
          <w:p>
            <w:pPr/>
            <w:r>
              <w:t xml:space="preserve">For</w:t>
            </w:r>
          </w:p>
        </w:tc>
        <w:tc>
          <w:tcPr>
            <w:tcW w:w="2794" w:type="dxa"/>
            <w:shd w:val="clear" w:color="auto" w:fill="F2F2F2"/>
          </w:tcPr>
          <w:p>
            <w:pPr/>
            <w:r>
              <w:t xml:space="preserve">Against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A. Activate MRP and source list / quota arrangement in SAP S/4HANA</w:t>
            </w:r>
          </w:p>
        </w:tc>
        <w:tc>
          <w:tcPr>
            <w:tcW w:w="2527" w:type="dxa"/>
          </w:tcPr>
          <w:p>
            <w:pPr/>
            <w:r>
              <w:t xml:space="preserve">MRP, PR and vendor assignment run in SAP; PRs and POs go to the platform for supplier collaboration</w:t>
            </w:r>
          </w:p>
        </w:tc>
        <w:tc>
          <w:tcPr>
            <w:tcW w:w="2370" w:type="dxa"/>
          </w:tcPr>
          <w:p>
            <w:pPr/>
            <w:r>
              <w:t xml:space="preserve">Standard ERP practice (MRP runs where inventory lives); fewer integrations; APC already reviewing SAP for FY2027</w:t>
            </w:r>
          </w:p>
        </w:tc>
        <w:tc>
          <w:tcPr>
            <w:tcW w:w="2794" w:type="dxa"/>
          </w:tcPr>
          <w:p>
            <w:pPr/>
            <w:r>
              <w:t xml:space="preserve">Needs PP, BOM and planning setup in SAP; change effort for planners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B. Use Jedox vendor allocation</w:t>
            </w:r>
          </w:p>
        </w:tc>
        <w:tc>
          <w:tcPr>
            <w:tcW w:w="2527" w:type="dxa"/>
          </w:tcPr>
          <w:p>
            <w:pPr/>
            <w:r>
              <w:t xml:space="preserve">Activate Jedox's existing allocation feature; Jedox sends allocated PRs to SAP</w:t>
            </w:r>
          </w:p>
        </w:tc>
        <w:tc>
          <w:tcPr>
            <w:tcW w:w="2370" w:type="dxa"/>
          </w:tcPr>
          <w:p>
            <w:pPr/>
            <w:r>
              <w:t xml:space="preserve">Planners already work in Jedox; vendor master already interfaced</w:t>
            </w:r>
          </w:p>
        </w:tc>
        <w:tc>
          <w:tcPr>
            <w:tcW w:w="2794" w:type="dxa"/>
          </w:tcPr>
          <w:p>
            <w:pPr/>
            <w:r>
              <w:t xml:space="preserve">Allocation feature unused so far; Jedox runs monthly; adds Jedox–SAP–platform integrations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C. Allocation in the procurement platform</w:t>
            </w:r>
          </w:p>
        </w:tc>
        <w:tc>
          <w:tcPr>
            <w:tcW w:w="2527" w:type="dxa"/>
          </w:tcPr>
          <w:p>
            <w:pPr/>
            <w:r>
              <w:t xml:space="preserve">Platform receives PRs and assigns vendors</w:t>
            </w:r>
          </w:p>
        </w:tc>
        <w:tc>
          <w:tcPr>
            <w:tcW w:w="2370" w:type="dxa"/>
          </w:tcPr>
          <w:p>
            <w:pPr/>
            <w:r>
              <w:t xml:space="preserve">Single user interface for procurement</w:t>
            </w:r>
          </w:p>
        </w:tc>
        <w:tc>
          <w:tcPr>
            <w:tcW w:w="2794" w:type="dxa"/>
          </w:tcPr>
          <w:p>
            <w:pPr/>
            <w:r>
              <w:t xml:space="preserve">Sourcing platforms have only basic MRP logic; customisation and integration upkeep; not standard</w:t>
            </w:r>
          </w:p>
        </w:tc>
      </w:tr>
    </w:tbl>
    <w:p>
      <w:pPr/>
      <w:r>
        <w:t xml:space="preserve">Principles agreed in the room:</w:t>
      </w:r>
    </w:p>
    <w:p>
      <w:pPr>
        <w:pStyle w:val="ListParagraph"/>
        <w:numPr>
          <w:ilvl w:val="0"/>
          <w:numId w:val="8"/>
        </w:numPr>
      </w:pPr>
      <w:r>
        <w:t xml:space="preserve">Prefer standard features to customisation, and fewer systems and integrations to maintain.</w:t>
      </w:r>
    </w:p>
    <w:p>
      <w:pPr>
        <w:pStyle w:val="ListParagraph"/>
        <w:numPr>
          <w:ilvl w:val="0"/>
          <w:numId w:val="8"/>
        </w:numPr>
      </w:pPr>
      <w:r>
        <w:t xml:space="preserve">SAP stays the system of record for inventory, PO, GR and finance.</w:t>
      </w:r>
    </w:p>
    <w:p>
      <w:pPr>
        <w:pStyle w:val="ListParagraph"/>
        <w:numPr>
          <w:ilvl w:val="0"/>
          <w:numId w:val="8"/>
        </w:numPr>
      </w:pPr>
      <w:r>
        <w:t xml:space="preserve">Whatever engine allocates vendors must let planners review and override before POs are created, because of MOQ, single-source SKUs and volume edge cases.</w:t>
      </w:r>
    </w:p>
    <w:p>
      <w:pPr>
        <w:pStyle w:val="Heading2"/>
      </w:pPr>
      <w:r>
        <w:t xml:space="preserve">9. Open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For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Q1</w:t>
            </w:r>
          </w:p>
        </w:tc>
        <w:tc>
          <w:tcPr>
            <w:tcW w:w="4920" w:type="dxa"/>
          </w:tcPr>
          <w:p>
            <w:pPr/>
            <w:r>
              <w:t xml:space="preserve">Will MRP and vendor allocation run in SAP, in Jedox, or elsewhere? Is the FY2027 SAP review in scope for PP and MRP?</w:t>
            </w:r>
          </w:p>
        </w:tc>
        <w:tc>
          <w:tcPr>
            <w:tcW w:w="3720" w:type="dxa"/>
          </w:tcPr>
          <w:p>
            <w:pPr/>
            <w:r>
              <w:t xml:space="preserve">APC management, 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Q2</w:t>
            </w:r>
          </w:p>
        </w:tc>
        <w:tc>
          <w:tcPr>
            <w:tcW w:w="4920" w:type="dxa"/>
          </w:tcPr>
          <w:p>
            <w:pPr/>
            <w:r>
              <w:t xml:space="preserve">How will LIMS record QC results: per PO, GR line and batch? Will it hold the NCR?</w:t>
            </w:r>
          </w:p>
        </w:tc>
        <w:tc>
          <w:tcPr>
            <w:tcW w:w="3720" w:type="dxa"/>
          </w:tcPr>
          <w:p>
            <w:pPr/>
            <w:r>
              <w:t xml:space="preserve">QC team – 28 Oct session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Q3</w:t>
            </w:r>
          </w:p>
        </w:tc>
        <w:tc>
          <w:tcPr>
            <w:tcW w:w="4920" w:type="dxa"/>
          </w:tcPr>
          <w:p>
            <w:pPr/>
            <w:r>
              <w:t xml:space="preserve">Can Infor WMS accept a supplier ASN by interface, and which fields does it need?</w:t>
            </w:r>
          </w:p>
        </w:tc>
        <w:tc>
          <w:tcPr>
            <w:tcW w:w="3720" w:type="dxa"/>
          </w:tcPr>
          <w:p>
            <w:pPr/>
            <w:r>
              <w:t xml:space="preserve">IT, Infor vendor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Q4</w:t>
            </w:r>
          </w:p>
        </w:tc>
        <w:tc>
          <w:tcPr>
            <w:tcW w:w="4920" w:type="dxa"/>
          </w:tcPr>
          <w:p>
            <w:pPr/>
            <w:r>
              <w:t xml:space="preserve">Which schedule is the baseline for on-time delivery: the original PO date, the first commitment or the latest agreed date?</w:t>
            </w:r>
          </w:p>
        </w:tc>
        <w:tc>
          <w:tcPr>
            <w:tcW w:w="3720" w:type="dxa"/>
          </w:tcPr>
          <w:p>
            <w:pPr/>
            <w:r>
              <w:t xml:space="preserve">Procurement, planning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Q5</w:t>
            </w:r>
          </w:p>
        </w:tc>
        <w:tc>
          <w:tcPr>
            <w:tcW w:w="4920" w:type="dxa"/>
          </w:tcPr>
          <w:p>
            <w:pPr/>
            <w:r>
              <w:t xml:space="preserve">Who records delay reasons, and where? WMS has free-text fields but the factory may not know the reason.</w:t>
            </w:r>
          </w:p>
        </w:tc>
        <w:tc>
          <w:tcPr>
            <w:tcW w:w="3720" w:type="dxa"/>
          </w:tcPr>
          <w:p>
            <w:pPr/>
            <w:r>
              <w:t xml:space="preserve">Procurement, planning, warehouse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Q6</w:t>
            </w:r>
          </w:p>
        </w:tc>
        <w:tc>
          <w:tcPr>
            <w:tcW w:w="4920" w:type="dxa"/>
          </w:tcPr>
          <w:p>
            <w:pPr/>
            <w:r>
              <w:t xml:space="preserve">What over-delivery tolerance is set per material, and should over-delivery count against suppliers?</w:t>
            </w:r>
          </w:p>
        </w:tc>
        <w:tc>
          <w:tcPr>
            <w:tcW w:w="3720" w:type="dxa"/>
          </w:tcPr>
          <w:p>
            <w:pPr/>
            <w:r>
              <w:t xml:space="preserve">Procurement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Q7</w:t>
            </w:r>
          </w:p>
        </w:tc>
        <w:tc>
          <w:tcPr>
            <w:tcW w:w="4920" w:type="dxa"/>
          </w:tcPr>
          <w:p>
            <w:pPr/>
            <w:r>
              <w:t xml:space="preserve">Will Jedox MRP parameters move into SAP material masters if MRP is activated in SAP?</w:t>
            </w:r>
          </w:p>
        </w:tc>
        <w:tc>
          <w:tcPr>
            <w:tcW w:w="3720" w:type="dxa"/>
          </w:tcPr>
          <w:p>
            <w:pPr/>
            <w:r>
              <w:t xml:space="preserve">Planning, 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Q8</w:t>
            </w:r>
          </w:p>
        </w:tc>
        <w:tc>
          <w:tcPr>
            <w:tcW w:w="4920" w:type="dxa"/>
          </w:tcPr>
          <w:p>
            <w:pPr/>
            <w:r>
              <w:t xml:space="preserve">Is DataSpider the middleware for new platform integrations, and who supports it?</w:t>
            </w:r>
          </w:p>
        </w:tc>
        <w:tc>
          <w:tcPr>
            <w:tcW w:w="3720" w:type="dxa"/>
          </w:tcPr>
          <w:p>
            <w:pPr/>
            <w:r>
              <w:t xml:space="preserve">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Q9</w:t>
            </w:r>
          </w:p>
        </w:tc>
        <w:tc>
          <w:tcPr>
            <w:tcW w:w="4920" w:type="dxa"/>
          </w:tcPr>
          <w:p>
            <w:pPr/>
            <w:r>
              <w:t xml:space="preserve">Does packing material sourcing (procurement-led) need a separate request flow and document set from raw material (R&amp;D-led)?</w:t>
            </w:r>
          </w:p>
        </w:tc>
        <w:tc>
          <w:tcPr>
            <w:tcW w:w="3720" w:type="dxa"/>
          </w:tcPr>
          <w:p>
            <w:pPr/>
            <w:r>
              <w:t xml:space="preserve">Procurement, R&amp;D</w:t>
            </w:r>
          </w:p>
        </w:tc>
      </w:tr>
    </w:tbl>
    <w:p>
      <w:pPr>
        <w:pStyle w:val="Heading2"/>
      </w:pPr>
      <w:r>
        <w:t xml:space="preserve">10. Action items</w:t>
      </w:r>
    </w:p>
    <w:p>
      <w:pPr/>
      <w:r>
        <w:t xml:space="preserve">Ten actions came out of Session 2. The MRP location recommendation from Durvah unblocks the to-be design. Owners are proposed from the discussion; please confirm.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231"/>
        <w:gridCol w:w="1628"/>
        <w:gridCol w:w="1872"/>
        <w:gridCol w:w="9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231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1628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4231" w:type="dxa"/>
          </w:tcPr>
          <w:p>
            <w:pPr/>
            <w:r>
              <w:t xml:space="preserve">Recommend where MRP and vendor allocation should run (SAP, Jedox or platform), with the integration landscape</w:t>
            </w:r>
          </w:p>
        </w:tc>
        <w:tc>
          <w:tcPr>
            <w:tcW w:w="1628" w:type="dxa"/>
          </w:tcPr>
          <w:p>
            <w:pPr/>
            <w:r>
              <w:t xml:space="preserve">Durvah (Kishore, Sunit)</w:t>
            </w:r>
          </w:p>
        </w:tc>
        <w:tc>
          <w:tcPr>
            <w:tcW w:w="1872" w:type="dxa"/>
          </w:tcPr>
          <w:p>
            <w:pPr/>
            <w:r>
              <w:t xml:space="preserve">With requirements pack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A2</w:t>
            </w:r>
          </w:p>
        </w:tc>
        <w:tc>
          <w:tcPr>
            <w:tcW w:w="4231" w:type="dxa"/>
          </w:tcPr>
          <w:p>
            <w:pPr/>
            <w:r>
              <w:t xml:space="preserve">Share the vendor commitment Excel file and the vendor allocation sheet (sample)</w:t>
            </w:r>
          </w:p>
        </w:tc>
        <w:tc>
          <w:tcPr>
            <w:tcW w:w="1628" w:type="dxa"/>
          </w:tcPr>
          <w:p>
            <w:pPr/>
            <w:r>
              <w:t xml:space="preserve">Supply planning (Maya Dausin's team)</w:t>
            </w:r>
          </w:p>
        </w:tc>
        <w:tc>
          <w:tcPr>
            <w:tcW w:w="1872" w:type="dxa"/>
          </w:tcPr>
          <w:p>
            <w:pPr/>
            <w:r>
              <w:t xml:space="preserve">This week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A3</w:t>
            </w:r>
          </w:p>
        </w:tc>
        <w:tc>
          <w:tcPr>
            <w:tcW w:w="4231" w:type="dxa"/>
          </w:tcPr>
          <w:p>
            <w:pPr/>
            <w:r>
              <w:t xml:space="preserve">Share the NCR, CAR and three-delivery verification templates and the NCR tracking file</w:t>
            </w:r>
          </w:p>
        </w:tc>
        <w:tc>
          <w:tcPr>
            <w:tcW w:w="1628" w:type="dxa"/>
          </w:tcPr>
          <w:p>
            <w:pPr/>
            <w:r>
              <w:t xml:space="preserve">QC / procurement</w:t>
            </w:r>
          </w:p>
        </w:tc>
        <w:tc>
          <w:tcPr>
            <w:tcW w:w="1872" w:type="dxa"/>
          </w:tcPr>
          <w:p>
            <w:pPr/>
            <w:r>
              <w:t xml:space="preserve">Before 28 Oct session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A4</w:t>
            </w:r>
          </w:p>
        </w:tc>
        <w:tc>
          <w:tcPr>
            <w:tcW w:w="4231" w:type="dxa"/>
          </w:tcPr>
          <w:p>
            <w:pPr/>
            <w:r>
              <w:t xml:space="preserve">Provide an overview of current SAP integrations and middleware (DataSpider), including the WMS–SAP interface</w:t>
            </w:r>
          </w:p>
        </w:tc>
        <w:tc>
          <w:tcPr>
            <w:tcW w:w="1628" w:type="dxa"/>
          </w:tcPr>
          <w:p>
            <w:pPr/>
            <w:r>
              <w:t xml:space="preserve">IT (Darylann, Joannacris)</w:t>
            </w:r>
          </w:p>
        </w:tc>
        <w:tc>
          <w:tcPr>
            <w:tcW w:w="1872" w:type="dxa"/>
          </w:tcPr>
          <w:p>
            <w:pPr/>
            <w:r>
              <w:t xml:space="preserve">This week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A5</w:t>
            </w:r>
          </w:p>
        </w:tc>
        <w:tc>
          <w:tcPr>
            <w:tcW w:w="4231" w:type="dxa"/>
          </w:tcPr>
          <w:p>
            <w:pPr/>
            <w:r>
              <w:t xml:space="preserve">Confirm Jedox capabilities: vendor allocation module, PR output and interfaces to SAP</w:t>
            </w:r>
          </w:p>
        </w:tc>
        <w:tc>
          <w:tcPr>
            <w:tcW w:w="1628" w:type="dxa"/>
          </w:tcPr>
          <w:p>
            <w:pPr/>
            <w:r>
              <w:t xml:space="preserve">IT / supply planning</w:t>
            </w:r>
          </w:p>
        </w:tc>
        <w:tc>
          <w:tcPr>
            <w:tcW w:w="1872" w:type="dxa"/>
          </w:tcPr>
          <w:p>
            <w:pPr/>
            <w:r>
              <w:t xml:space="preserve">Before recommendation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A6</w:t>
            </w:r>
          </w:p>
        </w:tc>
        <w:tc>
          <w:tcPr>
            <w:tcW w:w="4231" w:type="dxa"/>
          </w:tcPr>
          <w:p>
            <w:pPr/>
            <w:r>
              <w:t xml:space="preserve">Confirm Infor WMS ASN capability and the fields needed for a supplier ASN interface</w:t>
            </w:r>
          </w:p>
        </w:tc>
        <w:tc>
          <w:tcPr>
            <w:tcW w:w="1628" w:type="dxa"/>
          </w:tcPr>
          <w:p>
            <w:pPr/>
            <w:r>
              <w:t xml:space="preserve">IT / warehouse</w:t>
            </w:r>
          </w:p>
        </w:tc>
        <w:tc>
          <w:tcPr>
            <w:tcW w:w="1872" w:type="dxa"/>
          </w:tcPr>
          <w:p>
            <w:pPr/>
            <w:r>
              <w:t xml:space="preserve">Before recommendation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A7</w:t>
            </w:r>
          </w:p>
        </w:tc>
        <w:tc>
          <w:tcPr>
            <w:tcW w:w="4231" w:type="dxa"/>
          </w:tcPr>
          <w:p>
            <w:pPr/>
            <w:r>
              <w:t xml:space="preserve">Cover the QC receiving process and LIMS design (results per GR line, NCR)</w:t>
            </w:r>
          </w:p>
        </w:tc>
        <w:tc>
          <w:tcPr>
            <w:tcW w:w="1628" w:type="dxa"/>
          </w:tcPr>
          <w:p>
            <w:pPr/>
            <w:r>
              <w:t xml:space="preserve">QC team, Durvah</w:t>
            </w:r>
          </w:p>
        </w:tc>
        <w:tc>
          <w:tcPr>
            <w:tcW w:w="1872" w:type="dxa"/>
          </w:tcPr>
          <w:p>
            <w:pPr/>
            <w:r>
              <w:t xml:space="preserve">28 Oct session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A8</w:t>
            </w:r>
          </w:p>
        </w:tc>
        <w:tc>
          <w:tcPr>
            <w:tcW w:w="4231" w:type="dxa"/>
          </w:tcPr>
          <w:p>
            <w:pPr/>
            <w:r>
              <w:t xml:space="preserve">Agree the delivery performance baseline (committed date) and the list of delay reason codes</w:t>
            </w:r>
          </w:p>
        </w:tc>
        <w:tc>
          <w:tcPr>
            <w:tcW w:w="1628" w:type="dxa"/>
          </w:tcPr>
          <w:p>
            <w:pPr/>
            <w:r>
              <w:t xml:space="preserve">Procurement, planning</w:t>
            </w:r>
          </w:p>
        </w:tc>
        <w:tc>
          <w:tcPr>
            <w:tcW w:w="1872" w:type="dxa"/>
          </w:tcPr>
          <w:p>
            <w:pPr/>
            <w:r>
              <w:t xml:space="preserve">Before performance session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A9</w:t>
            </w:r>
          </w:p>
        </w:tc>
        <w:tc>
          <w:tcPr>
            <w:tcW w:w="4231" w:type="dxa"/>
          </w:tcPr>
          <w:p>
            <w:pPr/>
            <w:r>
              <w:t xml:space="preserve">Share the FY2027 SAP roadmap (PP / MRP activation plans)</w:t>
            </w:r>
          </w:p>
        </w:tc>
        <w:tc>
          <w:tcPr>
            <w:tcW w:w="1628" w:type="dxa"/>
          </w:tcPr>
          <w:p>
            <w:pPr/>
            <w:r>
              <w:t xml:space="preserve">IT, Chris Ballesteros</w:t>
            </w:r>
          </w:p>
        </w:tc>
        <w:tc>
          <w:tcPr>
            <w:tcW w:w="1872" w:type="dxa"/>
          </w:tcPr>
          <w:p>
            <w:pPr/>
            <w:r>
              <w:t xml:space="preserve">Next week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A10</w:t>
            </w:r>
          </w:p>
        </w:tc>
        <w:tc>
          <w:tcPr>
            <w:tcW w:w="4231" w:type="dxa"/>
          </w:tcPr>
          <w:p>
            <w:pPr/>
            <w:r>
              <w:t xml:space="preserve">Confirm whether outline agreements can be enabled for RM/PM pricing (carried from Day 1)</w:t>
            </w:r>
          </w:p>
        </w:tc>
        <w:tc>
          <w:tcPr>
            <w:tcW w:w="1628" w:type="dxa"/>
          </w:tcPr>
          <w:p>
            <w:pPr/>
            <w:r>
              <w:t xml:space="preserve">IT (SAP team)</w:t>
            </w:r>
          </w:p>
        </w:tc>
        <w:tc>
          <w:tcPr>
            <w:tcW w:w="1872" w:type="dxa"/>
          </w:tcPr>
          <w:p>
            <w:pPr/>
            <w:r>
              <w:t xml:space="preserve">Next few days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Ajinomoto Philippines – Material Planning, PR-PO, ASN &amp; GR Requirements</dc:title>
  <dc:description>Claude Docs node/6180cc83-fe10@8 docx-w7</dc:description>
  <cp:revision>8</cp:revision>
</cp:coreProperties>
</file>