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Ajinomoto Philippines – KPI Reports, Dashboards &amp; IT Integration Requirements</w:t>
      </w:r>
    </w:p>
    <w:p>
      <w:pPr/>
      <w:r>
        <w:t xml:space="preserve">Workshop Session 4 · </w:t>
      </w:r>
      <w:r>
        <w:t xml:space="preserve">Oct 29, 2026</w:t>
      </w:r>
      <w:r>
        <w:t xml:space="preserve"> · </w:t>
      </w:r>
      <w:r>
        <w:t xml:space="preserve">@Srini</w:t>
      </w:r>
    </w:p>
    <w:p>
      <w:pPr>
        <w:pStyle w:val="Heading2"/>
      </w:pPr>
      <w:r>
        <w:t xml:space="preserve">1. Workshop context and scope</w:t>
      </w:r>
    </w:p>
    <w:p>
      <w:pPr/>
      <w:r>
        <w:t xml:space="preserve">Session 4 reviewed every procurement KPI report APC produces today. All of them are built by hand in Excel from SAP extracts and manual logs. The aim is to have the new platform generate the operational ones automatically and feed executive KPIs such as DIO and DPO.</w:t>
      </w:r>
    </w:p>
    <w:tbl>
      <w:tblPr>
        <w:tblStyle w:val="TableGrid"/>
        <w:tblW w:w="0" w:type="auto"/>
        <w:tblLayout w:type="fixed"/>
        <w:tblLook w:val="04A0" w:firstRow="1" w:lastRow="0" w:firstColumn="0" w:lastColumn="0" w:noHBand="0" w:noVBand="1"/>
      </w:tblPr>
      <w:tblGrid>
        <w:gridCol w:w="3696"/>
        <w:gridCol w:w="5663"/>
      </w:tblGrid>
      <w:tr>
        <w:trPr>
          <w:tblHeader/>
        </w:trPr>
        <w:tc>
          <w:tcPr>
            <w:tcW w:w="3696" w:type="dxa"/>
            <w:shd w:val="clear" w:color="auto" w:fill="F2F2F2"/>
          </w:tcPr>
          <w:p>
            <w:pPr/>
            <w:r>
              <w:t xml:space="preserve">Item</w:t>
            </w:r>
          </w:p>
        </w:tc>
        <w:tc>
          <w:tcPr>
            <w:tcW w:w="5663" w:type="dxa"/>
            <w:shd w:val="clear" w:color="auto" w:fill="F2F2F2"/>
          </w:tcPr>
          <w:p>
            <w:pPr/>
            <w:r>
              <w:t xml:space="preserve">Detail</w:t>
            </w:r>
          </w:p>
        </w:tc>
      </w:tr>
      <w:tr>
        <w:tc>
          <w:tcPr>
            <w:tcW w:w="3696" w:type="dxa"/>
          </w:tcPr>
          <w:p>
            <w:pPr/>
            <w:r>
              <w:t xml:space="preserve">Client</w:t>
            </w:r>
          </w:p>
        </w:tc>
        <w:tc>
          <w:tcPr>
            <w:tcW w:w="5663" w:type="dxa"/>
          </w:tcPr>
          <w:p>
            <w:pPr/>
            <w:r>
              <w:t xml:space="preserve">Ajinomoto Philippines Corporation (APC), Project Beacon</w:t>
            </w:r>
          </w:p>
        </w:tc>
      </w:tr>
      <w:tr>
        <w:tc>
          <w:tcPr>
            <w:tcW w:w="3696" w:type="dxa"/>
          </w:tcPr>
          <w:p>
            <w:pPr/>
            <w:r>
              <w:t xml:space="preserve">Session</w:t>
            </w:r>
          </w:p>
        </w:tc>
        <w:tc>
          <w:tcPr>
            <w:tcW w:w="5663" w:type="dxa"/>
          </w:tcPr>
          <w:p>
            <w:pPr/>
            <w:r>
              <w:t xml:space="preserve">Workshop Session 4 – KPI reports, dashboards, IT and technical integrations, 29 Oct 2026 (morning)</w:t>
            </w:r>
          </w:p>
        </w:tc>
      </w:tr>
      <w:tr>
        <w:tc>
          <w:tcPr>
            <w:tcW w:w="3696" w:type="dxa"/>
          </w:tcPr>
          <w:p>
            <w:pPr/>
            <w:r>
              <w:t xml:space="preserve">Durvah team</w:t>
            </w:r>
          </w:p>
        </w:tc>
        <w:tc>
          <w:tcPr>
            <w:tcW w:w="5663" w:type="dxa"/>
          </w:tcPr>
          <w:p>
            <w:pPr/>
            <w:r>
              <w:t xml:space="preserve">Kishore, Sunit Nighut</w:t>
            </w:r>
          </w:p>
        </w:tc>
      </w:tr>
      <w:tr>
        <w:tc>
          <w:tcPr>
            <w:tcW w:w="3696" w:type="dxa"/>
          </w:tcPr>
          <w:p>
            <w:pPr/>
            <w:r>
              <w:t xml:space="preserve">Ajinomoto – procurement</w:t>
            </w:r>
          </w:p>
        </w:tc>
        <w:tc>
          <w:tcPr>
            <w:tcW w:w="5663" w:type="dxa"/>
          </w:tcPr>
          <w:p>
            <w:pPr/>
            <w:r>
              <w:t xml:space="preserve">Chris Ballesteros (Beacon lead), Joshua Omus, Reyjoseph Sumodlayon, Majeed Santiago, Nhorien Tayco, Maryann Perez, report owners for procurement KPIs</w:t>
            </w:r>
          </w:p>
        </w:tc>
      </w:tr>
      <w:tr>
        <w:tc>
          <w:tcPr>
            <w:tcW w:w="3696" w:type="dxa"/>
          </w:tcPr>
          <w:p>
            <w:pPr/>
            <w:r>
              <w:t xml:space="preserve">Ajinomoto – finance</w:t>
            </w:r>
          </w:p>
        </w:tc>
        <w:tc>
          <w:tcPr>
            <w:tcW w:w="5663" w:type="dxa"/>
          </w:tcPr>
          <w:p>
            <w:pPr/>
            <w:r>
              <w:t xml:space="preserve">Bryan Roman (DIO/DPO), accounts payable (invoice monitoring), claims monitoring</w:t>
            </w:r>
          </w:p>
        </w:tc>
      </w:tr>
      <w:tr>
        <w:tc>
          <w:tcPr>
            <w:tcW w:w="3696" w:type="dxa"/>
          </w:tcPr>
          <w:p>
            <w:pPr/>
            <w:r>
              <w:t xml:space="preserve">Ajinomoto – planning and IT</w:t>
            </w:r>
          </w:p>
        </w:tc>
        <w:tc>
          <w:tcPr>
            <w:tcW w:w="5663" w:type="dxa"/>
          </w:tcPr>
          <w:p>
            <w:pPr/>
            <w:r>
              <w:t xml:space="preserve">Maya Dausin, Rachelle Sucayan (Power BI), Darylann Malabo, Joannacris Escanilla, Johnleonard Salvadico</w:t>
            </w:r>
          </w:p>
        </w:tc>
      </w:tr>
      <w:tr>
        <w:tc>
          <w:tcPr>
            <w:tcW w:w="3696" w:type="dxa"/>
          </w:tcPr>
          <w:p>
            <w:pPr/>
            <w:r>
              <w:t xml:space="preserve">Next</w:t>
            </w:r>
          </w:p>
        </w:tc>
        <w:tc>
          <w:tcPr>
            <w:tcW w:w="5663" w:type="dxa"/>
          </w:tcPr>
          <w:p>
            <w:pPr/>
            <w:r>
              <w:t xml:space="preserve">IT architecture session and Durvah presentation, 30 Oct 10:00 (to be confirmed)</w:t>
            </w:r>
          </w:p>
        </w:tc>
      </w:tr>
    </w:tbl>
    <w:p>
      <w:pPr>
        <w:pStyle w:val="Heading2"/>
      </w:pPr>
      <w:r>
        <w:t xml:space="preserve">2. Current reports and dashboards</w:t>
      </w:r>
    </w:p>
    <w:p>
      <w:pPr/>
      <w:r>
        <w:t xml:space="preserve">Twelve reports were shown. Seven can come straight from the new platform's own transactions; the rest depend on SAP, finance or planning data.</w:t>
      </w:r>
    </w:p>
    <w:tbl>
      <w:tblPr>
        <w:tblStyle w:val="TableGrid"/>
        <w:tblW w:w="0" w:type="auto"/>
        <w:tblLayout w:type="fixed"/>
        <w:tblLook w:val="04A0" w:firstRow="1" w:lastRow="0" w:firstColumn="0" w:lastColumn="0" w:noHBand="0" w:noVBand="1"/>
      </w:tblPr>
      <w:tblGrid>
        <w:gridCol w:w="720"/>
        <w:gridCol w:w="1550"/>
        <w:gridCol w:w="3585"/>
        <w:gridCol w:w="1650"/>
        <w:gridCol w:w="1855"/>
      </w:tblGrid>
      <w:tr>
        <w:trPr>
          <w:tblHeader/>
        </w:trPr>
        <w:tc>
          <w:tcPr>
            <w:tcW w:w="720" w:type="dxa"/>
            <w:shd w:val="clear" w:color="auto" w:fill="F2F2F2"/>
          </w:tcPr>
          <w:p>
            <w:pPr/>
            <w:r>
              <w:t xml:space="preserve">#</w:t>
            </w:r>
          </w:p>
        </w:tc>
        <w:tc>
          <w:tcPr>
            <w:tcW w:w="1550" w:type="dxa"/>
            <w:shd w:val="clear" w:color="auto" w:fill="F2F2F2"/>
          </w:tcPr>
          <w:p>
            <w:pPr/>
            <w:r>
              <w:t xml:space="preserve">Report</w:t>
            </w:r>
          </w:p>
        </w:tc>
        <w:tc>
          <w:tcPr>
            <w:tcW w:w="3585" w:type="dxa"/>
            <w:shd w:val="clear" w:color="auto" w:fill="F2F2F2"/>
          </w:tcPr>
          <w:p>
            <w:pPr/>
            <w:r>
              <w:t xml:space="preserve">What it shows</w:t>
            </w:r>
          </w:p>
        </w:tc>
        <w:tc>
          <w:tcPr>
            <w:tcW w:w="1650" w:type="dxa"/>
            <w:shd w:val="clear" w:color="auto" w:fill="F2F2F2"/>
          </w:tcPr>
          <w:p>
            <w:pPr/>
            <w:r>
              <w:t xml:space="preserve">Data source today</w:t>
            </w:r>
          </w:p>
        </w:tc>
        <w:tc>
          <w:tcPr>
            <w:tcW w:w="1855" w:type="dxa"/>
            <w:shd w:val="clear" w:color="auto" w:fill="F2F2F2"/>
          </w:tcPr>
          <w:p>
            <w:pPr/>
            <w:r>
              <w:t xml:space="preserve">Proposed source</w:t>
            </w:r>
          </w:p>
        </w:tc>
      </w:tr>
      <w:tr>
        <w:tc>
          <w:tcPr>
            <w:tcW w:w="720" w:type="dxa"/>
          </w:tcPr>
          <w:p>
            <w:pPr/>
            <w:r>
              <w:t xml:space="preserve">R1</w:t>
            </w:r>
          </w:p>
        </w:tc>
        <w:tc>
          <w:tcPr>
            <w:tcW w:w="1550" w:type="dxa"/>
          </w:tcPr>
          <w:p>
            <w:pPr/>
            <w:r>
              <w:t xml:space="preserve">Cost savings (RM and PM)</w:t>
            </w:r>
          </w:p>
        </w:tc>
        <w:tc>
          <w:tcPr>
            <w:tcW w:w="3585" w:type="dxa"/>
          </w:tcPr>
          <w:p>
            <w:pPr/>
            <w:r>
              <w:t xml:space="preserve">Actual savings vs budget and effort (negotiation) savings, by month; split local vs import because of forex</w:t>
            </w:r>
          </w:p>
        </w:tc>
        <w:tc>
          <w:tcPr>
            <w:tcW w:w="1650" w:type="dxa"/>
          </w:tcPr>
          <w:p>
            <w:pPr/>
            <w:r>
              <w:t xml:space="preserve">SAP PO prices + budget file + negotiation records kept outside any system</w:t>
            </w:r>
          </w:p>
        </w:tc>
        <w:tc>
          <w:tcPr>
            <w:tcW w:w="1855" w:type="dxa"/>
          </w:tcPr>
          <w:p>
            <w:pPr/>
            <w:r>
              <w:t xml:space="preserve">Platform (sourcing, agreements, budget) + SAP PO</w:t>
            </w:r>
          </w:p>
        </w:tc>
      </w:tr>
      <w:tr>
        <w:tc>
          <w:tcPr>
            <w:tcW w:w="720" w:type="dxa"/>
          </w:tcPr>
          <w:p>
            <w:pPr/>
            <w:r>
              <w:t xml:space="preserve">R2</w:t>
            </w:r>
          </w:p>
        </w:tc>
        <w:tc>
          <w:tcPr>
            <w:tcW w:w="1550" w:type="dxa"/>
          </w:tcPr>
          <w:p>
            <w:pPr/>
            <w:r>
              <w:t xml:space="preserve">New material / supplier development timeline</w:t>
            </w:r>
          </w:p>
        </w:tc>
        <w:tc>
          <w:tcPr>
            <w:tcW w:w="3585" w:type="dxa"/>
          </w:tcPr>
          <w:p>
            <w:pPr/>
            <w:r>
              <w:t xml:space="preserve">Stage of each assessment (technical documents, trial, testing, four-quadrant review) per material and supplier</w:t>
            </w:r>
          </w:p>
        </w:tc>
        <w:tc>
          <w:tcPr>
            <w:tcW w:w="1650" w:type="dxa"/>
          </w:tcPr>
          <w:p>
            <w:pPr/>
            <w:r>
              <w:t xml:space="preserve">Excel</w:t>
            </w:r>
          </w:p>
        </w:tc>
        <w:tc>
          <w:tcPr>
            <w:tcW w:w="1855" w:type="dxa"/>
          </w:tcPr>
          <w:p>
            <w:pPr/>
            <w:r>
              <w:t xml:space="preserve">Platform project tracking (possible phase 2)</w:t>
            </w:r>
          </w:p>
        </w:tc>
      </w:tr>
      <w:tr>
        <w:tc>
          <w:tcPr>
            <w:tcW w:w="720" w:type="dxa"/>
          </w:tcPr>
          <w:p>
            <w:pPr/>
            <w:r>
              <w:t xml:space="preserve">R3</w:t>
            </w:r>
          </w:p>
        </w:tc>
        <w:tc>
          <w:tcPr>
            <w:tcW w:w="1550" w:type="dxa"/>
          </w:tcPr>
          <w:p>
            <w:pPr/>
            <w:r>
              <w:t xml:space="preserve">Production loss from material issues</w:t>
            </w:r>
          </w:p>
        </w:tc>
        <w:tc>
          <w:tcPr>
            <w:tcW w:w="3585" w:type="dxa"/>
          </w:tcPr>
          <w:p>
            <w:pPr/>
            <w:r>
              <w:t xml:space="preserve">Planned vs actual output and opportunity loss; KPI is reduction vs last year</w:t>
            </w:r>
          </w:p>
        </w:tc>
        <w:tc>
          <w:tcPr>
            <w:tcW w:w="1650" w:type="dxa"/>
          </w:tcPr>
          <w:p>
            <w:pPr/>
            <w:r>
              <w:t xml:space="preserve">Production planning files</w:t>
            </w:r>
          </w:p>
        </w:tc>
        <w:tc>
          <w:tcPr>
            <w:tcW w:w="1855" w:type="dxa"/>
          </w:tcPr>
          <w:p>
            <w:pPr/>
            <w:r>
              <w:t xml:space="preserve">Out of scope / planning data</w:t>
            </w:r>
          </w:p>
        </w:tc>
      </w:tr>
      <w:tr>
        <w:tc>
          <w:tcPr>
            <w:tcW w:w="720" w:type="dxa"/>
          </w:tcPr>
          <w:p>
            <w:pPr/>
            <w:r>
              <w:t xml:space="preserve">R4</w:t>
            </w:r>
          </w:p>
        </w:tc>
        <w:tc>
          <w:tcPr>
            <w:tcW w:w="1550" w:type="dxa"/>
          </w:tcPr>
          <w:p>
            <w:pPr/>
            <w:r>
              <w:t xml:space="preserve">NC count</w:t>
            </w:r>
          </w:p>
        </w:tc>
        <w:tc>
          <w:tcPr>
            <w:tcW w:w="3585" w:type="dxa"/>
          </w:tcPr>
          <w:p>
            <w:pPr/>
            <w:r>
              <w:t xml:space="preserve">NCs per month by supplier, RM and PM, critical vs non-critical</w:t>
            </w:r>
          </w:p>
        </w:tc>
        <w:tc>
          <w:tcPr>
            <w:tcW w:w="1650" w:type="dxa"/>
          </w:tcPr>
          <w:p>
            <w:pPr/>
            <w:r>
              <w:t xml:space="preserve">Manual NC log (QA and procurement)</w:t>
            </w:r>
          </w:p>
        </w:tc>
        <w:tc>
          <w:tcPr>
            <w:tcW w:w="1855" w:type="dxa"/>
          </w:tcPr>
          <w:p>
            <w:pPr/>
            <w:r>
              <w:t xml:space="preserve">Platform NC records (from WMS/LIMS)</w:t>
            </w:r>
          </w:p>
        </w:tc>
      </w:tr>
      <w:tr>
        <w:tc>
          <w:tcPr>
            <w:tcW w:w="720" w:type="dxa"/>
          </w:tcPr>
          <w:p>
            <w:pPr/>
            <w:r>
              <w:t xml:space="preserve">R5</w:t>
            </w:r>
          </w:p>
        </w:tc>
        <w:tc>
          <w:tcPr>
            <w:tcW w:w="1550" w:type="dxa"/>
          </w:tcPr>
          <w:p>
            <w:pPr/>
            <w:r>
              <w:t xml:space="preserve">Audit monitoring</w:t>
            </w:r>
          </w:p>
        </w:tc>
        <w:tc>
          <w:tcPr>
            <w:tcW w:w="3585" w:type="dxa"/>
          </w:tcPr>
          <w:p>
            <w:pPr/>
            <w:r>
              <w:t xml:space="preserve">Audits completed, pending or rescheduled, with results; closure of audit findings</w:t>
            </w:r>
          </w:p>
        </w:tc>
        <w:tc>
          <w:tcPr>
            <w:tcW w:w="1650" w:type="dxa"/>
          </w:tcPr>
          <w:p>
            <w:pPr/>
            <w:r>
              <w:t xml:space="preserve">Excel audit plan</w:t>
            </w:r>
          </w:p>
        </w:tc>
        <w:tc>
          <w:tcPr>
            <w:tcW w:w="1855" w:type="dxa"/>
          </w:tcPr>
          <w:p>
            <w:pPr/>
            <w:r>
              <w:t xml:space="preserve">Platform audit module</w:t>
            </w:r>
          </w:p>
        </w:tc>
      </w:tr>
      <w:tr>
        <w:tc>
          <w:tcPr>
            <w:tcW w:w="720" w:type="dxa"/>
          </w:tcPr>
          <w:p>
            <w:pPr/>
            <w:r>
              <w:t xml:space="preserve">R6</w:t>
            </w:r>
          </w:p>
        </w:tc>
        <w:tc>
          <w:tcPr>
            <w:tcW w:w="1550" w:type="dxa"/>
          </w:tcPr>
          <w:p>
            <w:pPr/>
            <w:r>
              <w:t xml:space="preserve">Contract status</w:t>
            </w:r>
          </w:p>
        </w:tc>
        <w:tc>
          <w:tcPr>
            <w:tcW w:w="3585" w:type="dxa"/>
          </w:tcPr>
          <w:p>
            <w:pPr/>
            <w:r>
              <w:t xml:space="preserve">Count of contracts by status (completed, signed, notarised) and validity</w:t>
            </w:r>
          </w:p>
        </w:tc>
        <w:tc>
          <w:tcPr>
            <w:tcW w:w="1650" w:type="dxa"/>
          </w:tcPr>
          <w:p>
            <w:pPr/>
            <w:r>
              <w:t xml:space="preserve">Excel / contract repository</w:t>
            </w:r>
          </w:p>
        </w:tc>
        <w:tc>
          <w:tcPr>
            <w:tcW w:w="1855" w:type="dxa"/>
          </w:tcPr>
          <w:p>
            <w:pPr/>
            <w:r>
              <w:t xml:space="preserve">Platform contract module</w:t>
            </w:r>
          </w:p>
        </w:tc>
      </w:tr>
      <w:tr>
        <w:tc>
          <w:tcPr>
            <w:tcW w:w="720" w:type="dxa"/>
          </w:tcPr>
          <w:p>
            <w:pPr/>
            <w:r>
              <w:t xml:space="preserve">R7</w:t>
            </w:r>
          </w:p>
        </w:tc>
        <w:tc>
          <w:tcPr>
            <w:tcW w:w="1550" w:type="dxa"/>
          </w:tcPr>
          <w:p>
            <w:pPr/>
            <w:r>
              <w:t xml:space="preserve">DPO</w:t>
            </w:r>
          </w:p>
        </w:tc>
        <w:tc>
          <w:tcPr>
            <w:tcW w:w="3585" w:type="dxa"/>
          </w:tcPr>
          <w:p>
            <w:pPr/>
            <w:r>
              <w:t xml:space="preserve">Days payable outstanding, rolling 6 months vs target</w:t>
            </w:r>
          </w:p>
        </w:tc>
        <w:tc>
          <w:tcPr>
            <w:tcW w:w="1650" w:type="dxa"/>
          </w:tcPr>
          <w:p>
            <w:pPr/>
            <w:r>
              <w:t xml:space="preserve">Finance, from SAP</w:t>
            </w:r>
          </w:p>
        </w:tc>
        <w:tc>
          <w:tcPr>
            <w:tcW w:w="1855" w:type="dxa"/>
          </w:tcPr>
          <w:p>
            <w:pPr/>
            <w:r>
              <w:t xml:space="preserve">SAP data in a dashboard</w:t>
            </w:r>
          </w:p>
        </w:tc>
      </w:tr>
      <w:tr>
        <w:tc>
          <w:tcPr>
            <w:tcW w:w="720" w:type="dxa"/>
          </w:tcPr>
          <w:p>
            <w:pPr/>
            <w:r>
              <w:t xml:space="preserve">R8</w:t>
            </w:r>
          </w:p>
        </w:tc>
        <w:tc>
          <w:tcPr>
            <w:tcW w:w="1550" w:type="dxa"/>
          </w:tcPr>
          <w:p>
            <w:pPr/>
            <w:r>
              <w:t xml:space="preserve">DIO</w:t>
            </w:r>
          </w:p>
        </w:tc>
        <w:tc>
          <w:tcPr>
            <w:tcW w:w="3585" w:type="dxa"/>
          </w:tcPr>
          <w:p>
            <w:pPr/>
            <w:r>
              <w:t xml:space="preserve">Days inventory outstanding for RM/PM (also WIP and FG), vs target; a top-management KPI</w:t>
            </w:r>
          </w:p>
        </w:tc>
        <w:tc>
          <w:tcPr>
            <w:tcW w:w="1650" w:type="dxa"/>
          </w:tcPr>
          <w:p>
            <w:pPr/>
            <w:r>
              <w:t xml:space="preserve">Finance and planning, SAP + Jedox; partly in a planning Power BI dashboard</w:t>
            </w:r>
          </w:p>
        </w:tc>
        <w:tc>
          <w:tcPr>
            <w:tcW w:w="1855" w:type="dxa"/>
          </w:tcPr>
          <w:p>
            <w:pPr/>
            <w:r>
              <w:t xml:space="preserve">SAP + planning data in a dashboard</w:t>
            </w:r>
          </w:p>
        </w:tc>
      </w:tr>
      <w:tr>
        <w:tc>
          <w:tcPr>
            <w:tcW w:w="720" w:type="dxa"/>
          </w:tcPr>
          <w:p>
            <w:pPr/>
            <w:r>
              <w:t xml:space="preserve">R9</w:t>
            </w:r>
          </w:p>
        </w:tc>
        <w:tc>
          <w:tcPr>
            <w:tcW w:w="1550" w:type="dxa"/>
          </w:tcPr>
          <w:p>
            <w:pPr/>
            <w:r>
              <w:t xml:space="preserve">Payment terms extension programme</w:t>
            </w:r>
          </w:p>
        </w:tc>
        <w:tc>
          <w:tcPr>
            <w:tcW w:w="3585" w:type="dxa"/>
          </w:tcPr>
          <w:p>
            <w:pPr/>
            <w:r>
              <w:t xml:space="preserve">Suppliers under negotiation for longer payment terms and progress</w:t>
            </w:r>
          </w:p>
        </w:tc>
        <w:tc>
          <w:tcPr>
            <w:tcW w:w="1650" w:type="dxa"/>
          </w:tcPr>
          <w:p>
            <w:pPr/>
            <w:r>
              <w:t xml:space="preserve">Excel</w:t>
            </w:r>
          </w:p>
        </w:tc>
        <w:tc>
          <w:tcPr>
            <w:tcW w:w="1855" w:type="dxa"/>
          </w:tcPr>
          <w:p>
            <w:pPr/>
            <w:r>
              <w:t xml:space="preserve">Platform supplier master and negotiation records</w:t>
            </w:r>
          </w:p>
        </w:tc>
      </w:tr>
      <w:tr>
        <w:tc>
          <w:tcPr>
            <w:tcW w:w="720" w:type="dxa"/>
          </w:tcPr>
          <w:p>
            <w:pPr/>
            <w:r>
              <w:t xml:space="preserve">R10</w:t>
            </w:r>
          </w:p>
        </w:tc>
        <w:tc>
          <w:tcPr>
            <w:tcW w:w="1550" w:type="dxa"/>
          </w:tcPr>
          <w:p>
            <w:pPr/>
            <w:r>
              <w:t xml:space="preserve">Outstanding invoices</w:t>
            </w:r>
          </w:p>
        </w:tc>
        <w:tc>
          <w:tcPr>
            <w:tcW w:w="3585" w:type="dxa"/>
          </w:tcPr>
          <w:p>
            <w:pPr/>
            <w:r>
              <w:t xml:space="preserve">Invoices not posted and why: no GR, price mismatch, quantity mismatch</w:t>
            </w:r>
          </w:p>
        </w:tc>
        <w:tc>
          <w:tcPr>
            <w:tcW w:w="1650" w:type="dxa"/>
          </w:tcPr>
          <w:p>
            <w:pPr/>
            <w:r>
              <w:t xml:space="preserve">Manual log from SAP Concur and SAP</w:t>
            </w:r>
          </w:p>
        </w:tc>
        <w:tc>
          <w:tcPr>
            <w:tcW w:w="1855" w:type="dxa"/>
          </w:tcPr>
          <w:p>
            <w:pPr/>
            <w:r>
              <w:t xml:space="preserve">Platform invoicing (three-way match)</w:t>
            </w:r>
          </w:p>
        </w:tc>
      </w:tr>
      <w:tr>
        <w:tc>
          <w:tcPr>
            <w:tcW w:w="720" w:type="dxa"/>
          </w:tcPr>
          <w:p>
            <w:pPr/>
            <w:r>
              <w:t xml:space="preserve">R11</w:t>
            </w:r>
          </w:p>
        </w:tc>
        <w:tc>
          <w:tcPr>
            <w:tcW w:w="1550" w:type="dxa"/>
          </w:tcPr>
          <w:p>
            <w:pPr/>
            <w:r>
              <w:t xml:space="preserve">Outstanding claims</w:t>
            </w:r>
          </w:p>
        </w:tc>
        <w:tc>
          <w:tcPr>
            <w:tcW w:w="3585" w:type="dxa"/>
          </w:tcPr>
          <w:p>
            <w:pPr/>
            <w:r>
              <w:t xml:space="preserve">Debit notes and claim memos sent; credit notes awaited from suppliers</w:t>
            </w:r>
          </w:p>
        </w:tc>
        <w:tc>
          <w:tcPr>
            <w:tcW w:w="1650" w:type="dxa"/>
          </w:tcPr>
          <w:p>
            <w:pPr/>
            <w:r>
              <w:t xml:space="preserve">Manual log; finance cross-checks</w:t>
            </w:r>
          </w:p>
        </w:tc>
        <w:tc>
          <w:tcPr>
            <w:tcW w:w="1855" w:type="dxa"/>
          </w:tcPr>
          <w:p>
            <w:pPr/>
            <w:r>
              <w:t xml:space="preserve">Platform claims (from NC and RTV)</w:t>
            </w:r>
          </w:p>
        </w:tc>
      </w:tr>
      <w:tr>
        <w:tc>
          <w:tcPr>
            <w:tcW w:w="720" w:type="dxa"/>
          </w:tcPr>
          <w:p>
            <w:pPr/>
            <w:r>
              <w:t xml:space="preserve">R12</w:t>
            </w:r>
          </w:p>
        </w:tc>
        <w:tc>
          <w:tcPr>
            <w:tcW w:w="1550" w:type="dxa"/>
          </w:tcPr>
          <w:p>
            <w:pPr/>
            <w:r>
              <w:t xml:space="preserve">Price monitoring</w:t>
            </w:r>
          </w:p>
        </w:tc>
        <w:tc>
          <w:tcPr>
            <w:tcW w:w="3585" w:type="dxa"/>
          </w:tcPr>
          <w:p>
            <w:pPr/>
            <w:r>
              <w:t xml:space="preserve">Every price change by material, with explanation for management</w:t>
            </w:r>
          </w:p>
        </w:tc>
        <w:tc>
          <w:tcPr>
            <w:tcW w:w="1650" w:type="dxa"/>
          </w:tcPr>
          <w:p>
            <w:pPr/>
            <w:r>
              <w:t xml:space="preserve">Excel pricing database</w:t>
            </w:r>
          </w:p>
        </w:tc>
        <w:tc>
          <w:tcPr>
            <w:tcW w:w="1855" w:type="dxa"/>
          </w:tcPr>
          <w:p>
            <w:pPr/>
            <w:r>
              <w:t xml:space="preserve">Platform pricing database + AI market insights</w:t>
            </w:r>
          </w:p>
        </w:tc>
      </w:tr>
    </w:tbl>
    <w:p>
      <w:pPr>
        <w:pStyle w:val="Heading2"/>
      </w:pPr>
      <w:r>
        <w:t xml:space="preserve">3. Current process (as-is)</w:t>
      </w:r>
    </w:p>
    <w:p>
      <w:pPr/>
      <w:r>
        <w:t xml:space="preserve">Most KPI logic lives in Excel formulas maintained by individual report owners. Finance processes invoices in SAP Concur, which posts to SAP but returns no payment status.</w:t>
      </w:r>
    </w:p>
    <w:p>
      <w:pPr/>
      <w:r>
        <w:rPr>
          <w:b/>
        </w:rPr>
        <w:t xml:space="preserve">A. KPI definitions used today</w:t>
      </w:r>
    </w:p>
    <w:tbl>
      <w:tblPr>
        <w:tblStyle w:val="TableGrid"/>
        <w:tblW w:w="0" w:type="auto"/>
        <w:tblLayout w:type="fixed"/>
        <w:tblLook w:val="04A0" w:firstRow="1" w:lastRow="0" w:firstColumn="0" w:lastColumn="0" w:noHBand="0" w:noVBand="1"/>
      </w:tblPr>
      <w:tblGrid>
        <w:gridCol w:w="1859"/>
        <w:gridCol w:w="3729"/>
        <w:gridCol w:w="3772"/>
      </w:tblGrid>
      <w:tr>
        <w:trPr>
          <w:tblHeader/>
        </w:trPr>
        <w:tc>
          <w:tcPr>
            <w:tcW w:w="1859" w:type="dxa"/>
            <w:shd w:val="clear" w:color="auto" w:fill="F2F2F2"/>
          </w:tcPr>
          <w:p>
            <w:pPr/>
            <w:r>
              <w:t xml:space="preserve">KPI</w:t>
            </w:r>
          </w:p>
        </w:tc>
        <w:tc>
          <w:tcPr>
            <w:tcW w:w="3729" w:type="dxa"/>
            <w:shd w:val="clear" w:color="auto" w:fill="F2F2F2"/>
          </w:tcPr>
          <w:p>
            <w:pPr/>
            <w:r>
              <w:t xml:space="preserve">Definition as explained</w:t>
            </w:r>
          </w:p>
        </w:tc>
        <w:tc>
          <w:tcPr>
            <w:tcW w:w="3772" w:type="dxa"/>
            <w:shd w:val="clear" w:color="auto" w:fill="F2F2F2"/>
          </w:tcPr>
          <w:p>
            <w:pPr/>
            <w:r>
              <w:t xml:space="preserve">Notes</w:t>
            </w:r>
          </w:p>
        </w:tc>
      </w:tr>
      <w:tr>
        <w:tc>
          <w:tcPr>
            <w:tcW w:w="1859" w:type="dxa"/>
          </w:tcPr>
          <w:p>
            <w:pPr/>
            <w:r>
              <w:t xml:space="preserve">Actual savings</w:t>
            </w:r>
          </w:p>
        </w:tc>
        <w:tc>
          <w:tcPr>
            <w:tcW w:w="3729" w:type="dxa"/>
          </w:tcPr>
          <w:p>
            <w:pPr/>
            <w:r>
              <w:t xml:space="preserve">(Budget price − actual purchase price) × quantity purchased</w:t>
            </w:r>
          </w:p>
        </w:tc>
        <w:tc>
          <w:tcPr>
            <w:tcW w:w="3772" w:type="dxa"/>
          </w:tcPr>
          <w:p>
            <w:pPr/>
            <w:r>
              <w:t xml:space="preserve">Budget price from the annual budget; actual price from SAP POs</w:t>
            </w:r>
          </w:p>
        </w:tc>
      </w:tr>
      <w:tr>
        <w:tc>
          <w:tcPr>
            <w:tcW w:w="1859" w:type="dxa"/>
          </w:tcPr>
          <w:p>
            <w:pPr/>
            <w:r>
              <w:t xml:space="preserve">Effort savings</w:t>
            </w:r>
          </w:p>
        </w:tc>
        <w:tc>
          <w:tcPr>
            <w:tcW w:w="3729" w:type="dxa"/>
          </w:tcPr>
          <w:p>
            <w:pPr/>
            <w:r>
              <w:t xml:space="preserve">(Supplier quoted price − final negotiated price) × quantity</w:t>
            </w:r>
          </w:p>
        </w:tc>
        <w:tc>
          <w:tcPr>
            <w:tcW w:w="3772" w:type="dxa"/>
          </w:tcPr>
          <w:p>
            <w:pPr/>
            <w:r>
              <w:t xml:space="preserve">Counted even when the quote is above budget. Example: quote 2.54 negotiated to 2.47</w:t>
            </w:r>
          </w:p>
        </w:tc>
      </w:tr>
      <w:tr>
        <w:tc>
          <w:tcPr>
            <w:tcW w:w="1859" w:type="dxa"/>
          </w:tcPr>
          <w:p>
            <w:pPr/>
            <w:r>
              <w:t xml:space="preserve">DIO</w:t>
            </w:r>
          </w:p>
        </w:tc>
        <w:tc>
          <w:tcPr>
            <w:tcW w:w="3729" w:type="dxa"/>
          </w:tcPr>
          <w:p>
            <w:pPr/>
            <w:r>
              <w:t xml:space="preserve">Days inventory outstanding, accumulated over a rolling 6 months</w:t>
            </w:r>
          </w:p>
        </w:tc>
        <w:tc>
          <w:tcPr>
            <w:tcW w:w="3772" w:type="dxa"/>
          </w:tcPr>
          <w:p>
            <w:pPr/>
            <w:r>
              <w:t xml:space="preserve">RM including PM is the priority; WIP and FG come from planning. Finance to confirm the formula</w:t>
            </w:r>
          </w:p>
        </w:tc>
      </w:tr>
      <w:tr>
        <w:tc>
          <w:tcPr>
            <w:tcW w:w="1859" w:type="dxa"/>
          </w:tcPr>
          <w:p>
            <w:pPr/>
            <w:r>
              <w:t xml:space="preserve">DPO</w:t>
            </w:r>
          </w:p>
        </w:tc>
        <w:tc>
          <w:tcPr>
            <w:tcW w:w="3729" w:type="dxa"/>
          </w:tcPr>
          <w:p>
            <w:pPr/>
            <w:r>
              <w:t xml:space="preserve">Days payable outstanding, accumulated over a rolling 6 months</w:t>
            </w:r>
          </w:p>
        </w:tc>
        <w:tc>
          <w:tcPr>
            <w:tcW w:w="3772" w:type="dxa"/>
          </w:tcPr>
          <w:p>
            <w:pPr/>
            <w:r>
              <w:t xml:space="preserve">From SAP payables. Finance to confirm the formula</w:t>
            </w:r>
          </w:p>
        </w:tc>
      </w:tr>
      <w:tr>
        <w:tc>
          <w:tcPr>
            <w:tcW w:w="1859" w:type="dxa"/>
          </w:tcPr>
          <w:p>
            <w:pPr/>
            <w:r>
              <w:t xml:space="preserve">NC count</w:t>
            </w:r>
          </w:p>
        </w:tc>
        <w:tc>
          <w:tcPr>
            <w:tcW w:w="3729" w:type="dxa"/>
          </w:tcPr>
          <w:p>
            <w:pPr/>
            <w:r>
              <w:t xml:space="preserve">Number of NCs per supplier and month, by class</w:t>
            </w:r>
          </w:p>
        </w:tc>
        <w:tc>
          <w:tcPr>
            <w:tcW w:w="3772" w:type="dxa"/>
          </w:tcPr>
          <w:p>
            <w:pPr/>
            <w:r>
              <w:t xml:space="preserve">From the manual NC log</w:t>
            </w:r>
          </w:p>
        </w:tc>
      </w:tr>
      <w:tr>
        <w:tc>
          <w:tcPr>
            <w:tcW w:w="1859" w:type="dxa"/>
          </w:tcPr>
          <w:p>
            <w:pPr/>
            <w:r>
              <w:t xml:space="preserve">Production loss</w:t>
            </w:r>
          </w:p>
        </w:tc>
        <w:tc>
          <w:tcPr>
            <w:tcW w:w="3729" w:type="dxa"/>
          </w:tcPr>
          <w:p>
            <w:pPr/>
            <w:r>
              <w:t xml:space="preserve">Planned vs actual production output</w:t>
            </w:r>
          </w:p>
        </w:tc>
        <w:tc>
          <w:tcPr>
            <w:tcW w:w="3772" w:type="dxa"/>
          </w:tcPr>
          <w:p>
            <w:pPr/>
            <w:r>
              <w:t xml:space="preserve">From production planning</w:t>
            </w:r>
          </w:p>
        </w:tc>
      </w:tr>
    </w:tbl>
    <w:p>
      <w:pPr/>
      <w:r>
        <w:rPr>
          <w:b/>
        </w:rPr>
        <w:t xml:space="preserve">B. NC and claims monitoring (manual)</w:t>
      </w:r>
    </w:p>
    <w:p>
      <w:pPr>
        <w:pStyle w:val="ListParagraph"/>
        <w:numPr>
          <w:ilvl w:val="0"/>
          <w:numId w:val="2"/>
        </w:numPr>
      </w:pPr>
      <w:r>
        <w:t xml:space="preserve">The NC log records:</w:t>
      </w:r>
    </w:p>
    <w:p>
      <w:pPr>
        <w:pStyle w:val="ListParagraph"/>
        <w:numPr>
          <w:ilvl w:val="1"/>
          <w:numId w:val="3"/>
        </w:numPr>
      </w:pPr>
      <w:r>
        <w:t xml:space="preserve">material type (RM or PM);</w:t>
      </w:r>
    </w:p>
    <w:p>
      <w:pPr>
        <w:pStyle w:val="ListParagraph"/>
        <w:numPr>
          <w:ilvl w:val="1"/>
          <w:numId w:val="3"/>
        </w:numPr>
      </w:pPr>
      <w:r>
        <w:t xml:space="preserve">category (return to vendor, outright reject, conditionally accepted, other) and classification (critical or non-critical);</w:t>
      </w:r>
    </w:p>
    <w:p>
      <w:pPr>
        <w:pStyle w:val="ListParagraph"/>
        <w:numPr>
          <w:ilvl w:val="1"/>
          <w:numId w:val="3"/>
        </w:numPr>
      </w:pPr>
      <w:r>
        <w:t xml:space="preserve">vendor code, material, quantities delivered, rejected and accepted;</w:t>
      </w:r>
    </w:p>
    <w:p>
      <w:pPr>
        <w:pStyle w:val="ListParagraph"/>
        <w:numPr>
          <w:ilvl w:val="1"/>
          <w:numId w:val="3"/>
        </w:numPr>
      </w:pPr>
      <w:r>
        <w:t xml:space="preserve">production date and batch, invoice, and the linked debit note or credit note.</w:t>
      </w:r>
    </w:p>
    <w:p>
      <w:pPr>
        <w:pStyle w:val="ListParagraph"/>
        <w:numPr>
          <w:ilvl w:val="0"/>
          <w:numId w:val="2"/>
        </w:numPr>
      </w:pPr>
      <w:r>
        <w:t xml:space="preserve">Critical NCs need delivery verification by QC receiving and QC production before closure.</w:t>
      </w:r>
    </w:p>
    <w:p>
      <w:pPr>
        <w:pStyle w:val="ListParagraph"/>
        <w:numPr>
          <w:ilvl w:val="0"/>
          <w:numId w:val="2"/>
        </w:numPr>
      </w:pPr>
      <w:r>
        <w:t xml:space="preserve">Imports: if the first container of a batch fails, the remaining containers of the same batch are held at the broker, and one NC covers the whole shipment.</w:t>
      </w:r>
    </w:p>
    <w:p>
      <w:pPr>
        <w:pStyle w:val="ListParagraph"/>
        <w:numPr>
          <w:ilvl w:val="0"/>
          <w:numId w:val="2"/>
        </w:numPr>
      </w:pPr>
      <w:r>
        <w:t xml:space="preserve">After an NC is forwarded, the buyer tells the supplier a debit note will follow. The debit note is issued once the procurement director signs it.</w:t>
      </w:r>
    </w:p>
    <w:p>
      <w:pPr>
        <w:pStyle w:val="ListParagraph"/>
        <w:numPr>
          <w:ilvl w:val="0"/>
          <w:numId w:val="2"/>
        </w:numPr>
      </w:pPr>
      <w:r>
        <w:t xml:space="preserve">Finance monitors outstanding claims, disposals and credit notes, and cross-checks them against inventory.</w:t>
      </w:r>
    </w:p>
    <w:p>
      <w:pPr/>
      <w:r>
        <w:rPr>
          <w:b/>
        </w:rPr>
        <w:t xml:space="preserve">C. Invoice processing (finance)</w:t>
      </w:r>
    </w:p>
    <w:p>
      <w:pPr>
        <w:pStyle w:val="ListParagraph"/>
        <w:numPr>
          <w:ilvl w:val="0"/>
          <w:numId w:val="4"/>
        </w:numPr>
      </w:pPr>
      <w:r>
        <w:t xml:space="preserve">Suppliers email scanned invoices. The original hard copy is still mandatory for record retention.</w:t>
      </w:r>
    </w:p>
    <w:p>
      <w:pPr>
        <w:pStyle w:val="ListParagraph"/>
        <w:numPr>
          <w:ilvl w:val="0"/>
          <w:numId w:val="4"/>
        </w:numPr>
      </w:pPr>
      <w:r>
        <w:t xml:space="preserve">Finance uploads the invoice into SAP Concur, which matches it to the PO and GR. Approved invoices post to SAP. Payment status does not flow back.</w:t>
      </w:r>
    </w:p>
    <w:p>
      <w:pPr>
        <w:pStyle w:val="ListParagraph"/>
        <w:numPr>
          <w:ilvl w:val="0"/>
          <w:numId w:val="4"/>
        </w:numPr>
      </w:pPr>
      <w:r>
        <w:t xml:space="preserve">Invoice receipt needs a GR in SAP, and every RM/PM purchase must have a PO. Price tolerance is zero. Quantity tolerance is set in SAP.</w:t>
      </w:r>
    </w:p>
    <w:p>
      <w:pPr>
        <w:pStyle w:val="ListParagraph"/>
        <w:numPr>
          <w:ilvl w:val="0"/>
          <w:numId w:val="4"/>
        </w:numPr>
      </w:pPr>
      <w:r>
        <w:t xml:space="preserve">Exceptions are logged manually: no GR yet, price mismatch (supplier price or PO price wrong), quantity mismatch (for example invoice 8,625 vs GR 1,625).</w:t>
      </w:r>
    </w:p>
    <w:p>
      <w:pPr>
        <w:pStyle w:val="ListParagraph"/>
        <w:numPr>
          <w:ilvl w:val="0"/>
          <w:numId w:val="4"/>
        </w:numPr>
      </w:pPr>
      <w:r>
        <w:t xml:space="preserve">Returns are posted as stock adjustments, not returns against the GR (see the 28 Oct document). Finance therefore cannot link a credit note to the original invoice automatically.</w:t>
      </w:r>
    </w:p>
    <w:p>
      <w:pPr/>
      <w:r>
        <w:rPr>
          <w:b/>
        </w:rPr>
        <w:t xml:space="preserve">D. IT landscape</w:t>
      </w:r>
    </w:p>
    <w:tbl>
      <w:tblPr>
        <w:tblStyle w:val="TableGrid"/>
        <w:tblW w:w="0" w:type="auto"/>
        <w:tblLayout w:type="fixed"/>
        <w:tblLook w:val="04A0" w:firstRow="1" w:lastRow="0" w:firstColumn="0" w:lastColumn="0" w:noHBand="0" w:noVBand="1"/>
      </w:tblPr>
      <w:tblGrid>
        <w:gridCol w:w="3018"/>
        <w:gridCol w:w="6341"/>
      </w:tblGrid>
      <w:tr>
        <w:trPr>
          <w:tblHeader/>
        </w:trPr>
        <w:tc>
          <w:tcPr>
            <w:tcW w:w="3018" w:type="dxa"/>
            <w:shd w:val="clear" w:color="auto" w:fill="F2F2F2"/>
          </w:tcPr>
          <w:p>
            <w:pPr/>
            <w:r>
              <w:t xml:space="preserve">Area</w:t>
            </w:r>
          </w:p>
        </w:tc>
        <w:tc>
          <w:tcPr>
            <w:tcW w:w="6341" w:type="dxa"/>
            <w:shd w:val="clear" w:color="auto" w:fill="F2F2F2"/>
          </w:tcPr>
          <w:p>
            <w:pPr/>
            <w:r>
              <w:t xml:space="preserve">Current state</w:t>
            </w:r>
          </w:p>
        </w:tc>
      </w:tr>
      <w:tr>
        <w:tc>
          <w:tcPr>
            <w:tcW w:w="3018" w:type="dxa"/>
          </w:tcPr>
          <w:p>
            <w:pPr/>
            <w:r>
              <w:t xml:space="preserve">ERP</w:t>
            </w:r>
          </w:p>
        </w:tc>
        <w:tc>
          <w:tcPr>
            <w:tcW w:w="6341" w:type="dxa"/>
          </w:tcPr>
          <w:p>
            <w:pPr/>
            <w:r>
              <w:t xml:space="preserve">SAP S/4HANA (finance, sales, PO, inventory)</w:t>
            </w:r>
          </w:p>
        </w:tc>
      </w:tr>
      <w:tr>
        <w:tc>
          <w:tcPr>
            <w:tcW w:w="3018" w:type="dxa"/>
          </w:tcPr>
          <w:p>
            <w:pPr/>
            <w:r>
              <w:t xml:space="preserve">Planning</w:t>
            </w:r>
          </w:p>
        </w:tc>
        <w:tc>
          <w:tcPr>
            <w:tcW w:w="6341" w:type="dxa"/>
          </w:tcPr>
          <w:p>
            <w:pPr/>
            <w:r>
              <w:t xml:space="preserve">Jedox. A replacement is planned for next year; SAP planning is under study and the timeline is unknown</w:t>
            </w:r>
          </w:p>
        </w:tc>
      </w:tr>
      <w:tr>
        <w:tc>
          <w:tcPr>
            <w:tcW w:w="3018" w:type="dxa"/>
          </w:tcPr>
          <w:p>
            <w:pPr/>
            <w:r>
              <w:t xml:space="preserve">Warehouse / quality</w:t>
            </w:r>
          </w:p>
        </w:tc>
        <w:tc>
          <w:tcPr>
            <w:tcW w:w="6341" w:type="dxa"/>
          </w:tcPr>
          <w:p>
            <w:pPr/>
            <w:r>
              <w:t xml:space="preserve">Infor WMS; LIMS planned</w:t>
            </w:r>
          </w:p>
        </w:tc>
      </w:tr>
      <w:tr>
        <w:tc>
          <w:tcPr>
            <w:tcW w:w="3018" w:type="dxa"/>
          </w:tcPr>
          <w:p>
            <w:pPr/>
            <w:r>
              <w:t xml:space="preserve">Invoicing</w:t>
            </w:r>
          </w:p>
        </w:tc>
        <w:tc>
          <w:tcPr>
            <w:tcW w:w="6341" w:type="dxa"/>
          </w:tcPr>
          <w:p>
            <w:pPr/>
            <w:r>
              <w:t xml:space="preserve">SAP Concur, integrated with SAP for posting</w:t>
            </w:r>
          </w:p>
        </w:tc>
      </w:tr>
      <w:tr>
        <w:tc>
          <w:tcPr>
            <w:tcW w:w="3018" w:type="dxa"/>
          </w:tcPr>
          <w:p>
            <w:pPr/>
            <w:r>
              <w:t xml:space="preserve">Middleware</w:t>
            </w:r>
          </w:p>
        </w:tc>
        <w:tc>
          <w:tcPr>
            <w:tcW w:w="6341" w:type="dxa"/>
          </w:tcPr>
          <w:p>
            <w:pPr/>
            <w:r>
              <w:t xml:space="preserve">DataSpider</w:t>
            </w:r>
          </w:p>
        </w:tc>
      </w:tr>
      <w:tr>
        <w:tc>
          <w:tcPr>
            <w:tcW w:w="3018" w:type="dxa"/>
          </w:tcPr>
          <w:p>
            <w:pPr/>
            <w:r>
              <w:t xml:space="preserve">Reporting</w:t>
            </w:r>
          </w:p>
        </w:tc>
        <w:tc>
          <w:tcPr>
            <w:tcW w:w="6341" w:type="dxa"/>
          </w:tcPr>
          <w:p>
            <w:pPr/>
            <w:r>
              <w:t xml:space="preserve">Excel; one Power BI dashboard in planning (DIO for FG and WIP from uploaded files)</w:t>
            </w:r>
          </w:p>
        </w:tc>
      </w:tr>
      <w:tr>
        <w:tc>
          <w:tcPr>
            <w:tcW w:w="3018" w:type="dxa"/>
          </w:tcPr>
          <w:p>
            <w:pPr/>
            <w:r>
              <w:t xml:space="preserve">E-signature</w:t>
            </w:r>
          </w:p>
        </w:tc>
        <w:tc>
          <w:tcPr>
            <w:tcW w:w="6341" w:type="dxa"/>
          </w:tcPr>
          <w:p>
            <w:pPr/>
            <w:r>
              <w:t xml:space="preserve">Zoho Sign, adopted this week (previously Adobe PDF signatures). Has an audit trail; integration with other systems to be checked</w:t>
            </w:r>
          </w:p>
        </w:tc>
      </w:tr>
      <w:tr>
        <w:tc>
          <w:tcPr>
            <w:tcW w:w="3018" w:type="dxa"/>
          </w:tcPr>
          <w:p>
            <w:pPr/>
            <w:r>
              <w:t xml:space="preserve">Single sign-on</w:t>
            </w:r>
          </w:p>
        </w:tc>
        <w:tc>
          <w:tcPr>
            <w:tcW w:w="6341" w:type="dxa"/>
          </w:tcPr>
          <w:p>
            <w:pPr/>
            <w:r>
              <w:t xml:space="preserve">Microsoft account only (Outlook). SAP and Zoho are not on SSO</w:t>
            </w:r>
          </w:p>
        </w:tc>
      </w:tr>
    </w:tbl>
    <w:p>
      <w:pPr>
        <w:pStyle w:val="Heading2"/>
      </w:pPr>
      <w:r>
        <w:t xml:space="preserve">4. As-is reporting flow</w:t>
      </w:r>
    </w:p>
    <w:p>
      <w:pPr/>
      <w:r>
        <w:drawing>
          <wp:inline distT="0" distB="0" distL="0" distR="0">
            <wp:extent cx="5486400" cy="2996292"/>
            <wp:docPr id="1" name="image1" descr="As-is KPI reporting · 5 sources, 1 manual step"/>
            <a:graphic xmlns:a="http://schemas.openxmlformats.org/drawingml/2006/main">
              <a:graphicData uri="http://schemas.openxmlformats.org/drawingml/2006/picture">
                <pic:pic xmlns:pic="http://schemas.openxmlformats.org/drawingml/2006/picture">
                  <pic:nvPicPr>
                    <pic:cNvPr id="1" name="image1" descr="As-is KPI reporting · 5 sources, 1 manual step"/>
                    <pic:cNvPicPr/>
                  </pic:nvPicPr>
                  <pic:blipFill>
                    <a:blip r:embed="rId3"/>
                    <a:stretch>
                      <a:fillRect/>
                    </a:stretch>
                  </pic:blipFill>
                  <pic:spPr>
                    <a:xfrm>
                      <a:off x="0" y="0"/>
                      <a:ext cx="5486400" cy="2996292"/>
                    </a:xfrm>
                    <a:prstGeom prst="rect">
                      <a:avLst/>
                    </a:prstGeom>
                  </pic:spPr>
                </pic:pic>
              </a:graphicData>
            </a:graphic>
          </wp:inline>
        </w:drawing>
      </w:r>
    </w:p>
    <w:p>
      <w:pPr/>
      <w:r>
        <w:t xml:space="preserve">As-is KPI reporting · 5 sources, 1 manual step</w:t>
      </w:r>
    </w:p>
    <w:p>
      <w:pPr/>
      <w:r>
        <w:t xml:space="preserve">Every number in the monthly pack passes through a hand-built Excel file, so none of it can be drilled back to the transaction it came from.</w:t>
      </w:r>
    </w:p>
    <w:p>
      <w:pPr>
        <w:pStyle w:val="Heading2"/>
      </w:pPr>
      <w:r>
        <w:t xml:space="preserve">5. Pain areas</w:t>
      </w:r>
    </w:p>
    <w:p>
      <w:pPr/>
      <w:r>
        <w:t xml:space="preserve">Every KPI is rebuilt by hand each month from extracts and logs, so the numbers depend on who compiles them and cannot be drilled into.</w:t>
      </w:r>
    </w:p>
    <w:tbl>
      <w:tblPr>
        <w:tblStyle w:val="TableGrid"/>
        <w:tblW w:w="0" w:type="auto"/>
        <w:tblLayout w:type="fixed"/>
        <w:tblLook w:val="04A0" w:firstRow="1" w:lastRow="0" w:firstColumn="0" w:lastColumn="0" w:noHBand="0" w:noVBand="1"/>
      </w:tblPr>
      <w:tblGrid>
        <w:gridCol w:w="720"/>
        <w:gridCol w:w="4572"/>
        <w:gridCol w:w="4068"/>
      </w:tblGrid>
      <w:tr>
        <w:trPr>
          <w:tblHeader/>
        </w:trPr>
        <w:tc>
          <w:tcPr>
            <w:tcW w:w="720" w:type="dxa"/>
            <w:shd w:val="clear" w:color="auto" w:fill="F2F2F2"/>
          </w:tcPr>
          <w:p>
            <w:pPr/>
            <w:r>
              <w:t xml:space="preserve">#</w:t>
            </w:r>
          </w:p>
        </w:tc>
        <w:tc>
          <w:tcPr>
            <w:tcW w:w="4572" w:type="dxa"/>
            <w:shd w:val="clear" w:color="auto" w:fill="F2F2F2"/>
          </w:tcPr>
          <w:p>
            <w:pPr/>
            <w:r>
              <w:t xml:space="preserve">Pain area</w:t>
            </w:r>
          </w:p>
        </w:tc>
        <w:tc>
          <w:tcPr>
            <w:tcW w:w="4068" w:type="dxa"/>
            <w:shd w:val="clear" w:color="auto" w:fill="F2F2F2"/>
          </w:tcPr>
          <w:p>
            <w:pPr/>
            <w:r>
              <w:t xml:space="preserve">Impact</w:t>
            </w:r>
          </w:p>
        </w:tc>
      </w:tr>
      <w:tr>
        <w:tc>
          <w:tcPr>
            <w:tcW w:w="720" w:type="dxa"/>
          </w:tcPr>
          <w:p>
            <w:pPr/>
            <w:r>
              <w:t xml:space="preserve">P1</w:t>
            </w:r>
          </w:p>
        </w:tc>
        <w:tc>
          <w:tcPr>
            <w:tcW w:w="4572" w:type="dxa"/>
          </w:tcPr>
          <w:p>
            <w:pPr/>
            <w:r>
              <w:t xml:space="preserve">Negotiation history (quoted vs final price) not held in any system</w:t>
            </w:r>
          </w:p>
        </w:tc>
        <w:tc>
          <w:tcPr>
            <w:tcW w:w="4068" w:type="dxa"/>
          </w:tcPr>
          <w:p>
            <w:pPr/>
            <w:r>
              <w:t xml:space="preserve">Effort savings cannot be audited</w:t>
            </w:r>
          </w:p>
        </w:tc>
      </w:tr>
      <w:tr>
        <w:tc>
          <w:tcPr>
            <w:tcW w:w="720" w:type="dxa"/>
          </w:tcPr>
          <w:p>
            <w:pPr/>
            <w:r>
              <w:t xml:space="preserve">P2</w:t>
            </w:r>
          </w:p>
        </w:tc>
        <w:tc>
          <w:tcPr>
            <w:tcW w:w="4572" w:type="dxa"/>
          </w:tcPr>
          <w:p>
            <w:pPr/>
            <w:r>
              <w:t xml:space="preserve">Each report is a separate Excel file with its own formulas</w:t>
            </w:r>
          </w:p>
        </w:tc>
        <w:tc>
          <w:tcPr>
            <w:tcW w:w="4068" w:type="dxa"/>
          </w:tcPr>
          <w:p>
            <w:pPr/>
            <w:r>
              <w:t xml:space="preserve">Effort each month; inconsistent figures; key-person dependency</w:t>
            </w:r>
          </w:p>
        </w:tc>
      </w:tr>
      <w:tr>
        <w:tc>
          <w:tcPr>
            <w:tcW w:w="720" w:type="dxa"/>
          </w:tcPr>
          <w:p>
            <w:pPr/>
            <w:r>
              <w:t xml:space="preserve">P3</w:t>
            </w:r>
          </w:p>
        </w:tc>
        <w:tc>
          <w:tcPr>
            <w:tcW w:w="4572" w:type="dxa"/>
          </w:tcPr>
          <w:p>
            <w:pPr/>
            <w:r>
              <w:t xml:space="preserve">NC, audit, contract and claims logs are kept manually by different teams</w:t>
            </w:r>
          </w:p>
        </w:tc>
        <w:tc>
          <w:tcPr>
            <w:tcW w:w="4068" w:type="dxa"/>
          </w:tcPr>
          <w:p>
            <w:pPr/>
            <w:r>
              <w:t xml:space="preserve">Data gaps; slow responses to management</w:t>
            </w:r>
          </w:p>
        </w:tc>
      </w:tr>
      <w:tr>
        <w:tc>
          <w:tcPr>
            <w:tcW w:w="720" w:type="dxa"/>
          </w:tcPr>
          <w:p>
            <w:pPr/>
            <w:r>
              <w:t xml:space="preserve">P4</w:t>
            </w:r>
          </w:p>
        </w:tc>
        <w:tc>
          <w:tcPr>
            <w:tcW w:w="4572" w:type="dxa"/>
          </w:tcPr>
          <w:p>
            <w:pPr/>
            <w:r>
              <w:t xml:space="preserve">Invoice exceptions (no GR, price or quantity mismatch) found only at posting</w:t>
            </w:r>
          </w:p>
        </w:tc>
        <w:tc>
          <w:tcPr>
            <w:tcW w:w="4068" w:type="dxa"/>
          </w:tcPr>
          <w:p>
            <w:pPr/>
            <w:r>
              <w:t xml:space="preserve">Late payments; repeated supplier follow-up</w:t>
            </w:r>
          </w:p>
        </w:tc>
      </w:tr>
      <w:tr>
        <w:tc>
          <w:tcPr>
            <w:tcW w:w="720" w:type="dxa"/>
          </w:tcPr>
          <w:p>
            <w:pPr/>
            <w:r>
              <w:t xml:space="preserve">P5</w:t>
            </w:r>
          </w:p>
        </w:tc>
        <w:tc>
          <w:tcPr>
            <w:tcW w:w="4572" w:type="dxa"/>
          </w:tcPr>
          <w:p>
            <w:pPr/>
            <w:r>
              <w:t xml:space="preserve">Concur returns posting status but not payment status</w:t>
            </w:r>
          </w:p>
        </w:tc>
        <w:tc>
          <w:tcPr>
            <w:tcW w:w="4068" w:type="dxa"/>
          </w:tcPr>
          <w:p>
            <w:pPr/>
            <w:r>
              <w:t xml:space="preserve">Suppliers and procurement cannot see whether an invoice is paid</w:t>
            </w:r>
          </w:p>
        </w:tc>
      </w:tr>
      <w:tr>
        <w:tc>
          <w:tcPr>
            <w:tcW w:w="720" w:type="dxa"/>
          </w:tcPr>
          <w:p>
            <w:pPr/>
            <w:r>
              <w:t xml:space="preserve">P6</w:t>
            </w:r>
          </w:p>
        </w:tc>
        <w:tc>
          <w:tcPr>
            <w:tcW w:w="4572" w:type="dxa"/>
          </w:tcPr>
          <w:p>
            <w:pPr/>
            <w:r>
              <w:t xml:space="preserve">Hard-copy invoices still required</w:t>
            </w:r>
          </w:p>
        </w:tc>
        <w:tc>
          <w:tcPr>
            <w:tcW w:w="4068" w:type="dxa"/>
          </w:tcPr>
          <w:p>
            <w:pPr/>
            <w:r>
              <w:t xml:space="preserve">Paper handling alongside the digital flow</w:t>
            </w:r>
          </w:p>
        </w:tc>
      </w:tr>
      <w:tr>
        <w:tc>
          <w:tcPr>
            <w:tcW w:w="720" w:type="dxa"/>
          </w:tcPr>
          <w:p>
            <w:pPr/>
            <w:r>
              <w:t xml:space="preserve">P7</w:t>
            </w:r>
          </w:p>
        </w:tc>
        <w:tc>
          <w:tcPr>
            <w:tcW w:w="4572" w:type="dxa"/>
          </w:tcPr>
          <w:p>
            <w:pPr/>
            <w:r>
              <w:t xml:space="preserve">Returns not posted against GR</w:t>
            </w:r>
          </w:p>
        </w:tc>
        <w:tc>
          <w:tcPr>
            <w:tcW w:w="4068" w:type="dxa"/>
          </w:tcPr>
          <w:p>
            <w:pPr/>
            <w:r>
              <w:t xml:space="preserve">Credit notes cannot be matched to invoices; claims tracked by hand</w:t>
            </w:r>
          </w:p>
        </w:tc>
      </w:tr>
      <w:tr>
        <w:tc>
          <w:tcPr>
            <w:tcW w:w="720" w:type="dxa"/>
          </w:tcPr>
          <w:p>
            <w:pPr/>
            <w:r>
              <w:t xml:space="preserve">P8</w:t>
            </w:r>
          </w:p>
        </w:tc>
        <w:tc>
          <w:tcPr>
            <w:tcW w:w="4572" w:type="dxa"/>
          </w:tcPr>
          <w:p>
            <w:pPr/>
            <w:r>
              <w:t xml:space="preserve">DIO and DPO assembled from SAP, Jedox and finance files</w:t>
            </w:r>
          </w:p>
        </w:tc>
        <w:tc>
          <w:tcPr>
            <w:tcW w:w="4068" w:type="dxa"/>
          </w:tcPr>
          <w:p>
            <w:pPr/>
            <w:r>
              <w:t xml:space="preserve">A top-management KPI depends on manual steps</w:t>
            </w:r>
          </w:p>
        </w:tc>
      </w:tr>
      <w:tr>
        <w:tc>
          <w:tcPr>
            <w:tcW w:w="720" w:type="dxa"/>
          </w:tcPr>
          <w:p>
            <w:pPr/>
            <w:r>
              <w:t xml:space="preserve">P9</w:t>
            </w:r>
          </w:p>
        </w:tc>
        <w:tc>
          <w:tcPr>
            <w:tcW w:w="4572" w:type="dxa"/>
          </w:tcPr>
          <w:p>
            <w:pPr/>
            <w:r>
              <w:t xml:space="preserve">Price changes explained by hand for management</w:t>
            </w:r>
          </w:p>
        </w:tc>
        <w:tc>
          <w:tcPr>
            <w:tcW w:w="4068" w:type="dxa"/>
          </w:tcPr>
          <w:p>
            <w:pPr/>
            <w:r>
              <w:t xml:space="preserve">Slow explanations; no market context</w:t>
            </w:r>
          </w:p>
        </w:tc>
      </w:tr>
      <w:tr>
        <w:tc>
          <w:tcPr>
            <w:tcW w:w="720" w:type="dxa"/>
          </w:tcPr>
          <w:p>
            <w:pPr/>
            <w:r>
              <w:t xml:space="preserve">P10</w:t>
            </w:r>
          </w:p>
        </w:tc>
        <w:tc>
          <w:tcPr>
            <w:tcW w:w="4572" w:type="dxa"/>
          </w:tcPr>
          <w:p>
            <w:pPr/>
            <w:r>
              <w:t xml:space="preserve">No SSO beyond Microsoft; several separate logins</w:t>
            </w:r>
          </w:p>
        </w:tc>
        <w:tc>
          <w:tcPr>
            <w:tcW w:w="4068" w:type="dxa"/>
          </w:tcPr>
          <w:p>
            <w:pPr/>
            <w:r>
              <w:t xml:space="preserve">Access management overhead; weaker control</w:t>
            </w:r>
          </w:p>
        </w:tc>
      </w:tr>
      <w:tr>
        <w:tc>
          <w:tcPr>
            <w:tcW w:w="720" w:type="dxa"/>
          </w:tcPr>
          <w:p>
            <w:pPr/>
            <w:r>
              <w:t xml:space="preserve">P11</w:t>
            </w:r>
          </w:p>
        </w:tc>
        <w:tc>
          <w:tcPr>
            <w:tcW w:w="4572" w:type="dxa"/>
          </w:tcPr>
          <w:p>
            <w:pPr/>
            <w:r>
              <w:t xml:space="preserve">Planning system future (Jedox replacement) undecided</w:t>
            </w:r>
          </w:p>
        </w:tc>
        <w:tc>
          <w:tcPr>
            <w:tcW w:w="4068" w:type="dxa"/>
          </w:tcPr>
          <w:p>
            <w:pPr/>
            <w:r>
              <w:t xml:space="preserve">Reporting and integration design may change</w:t>
            </w:r>
          </w:p>
        </w:tc>
      </w:tr>
    </w:tbl>
    <w:p>
      <w:pPr>
        <w:pStyle w:val="Heading2"/>
      </w:pPr>
      <w:r>
        <w:t xml:space="preserve">6. To-be process</w:t>
      </w:r>
    </w:p>
    <w:p>
      <w:pPr/>
      <w:r>
        <w:t xml:space="preserve">In the target design, operational KPIs come straight from platform transactions: savings, NCs, audits, claims, contracts and invoice exceptions. Executive KPIs combine these with SAP and planning data in one analytics layer, with Excel and Power BI export for finance and planning.</w:t>
      </w:r>
    </w:p>
    <w:p>
      <w:pPr/>
      <w:r>
        <w:drawing>
          <wp:inline distT="0" distB="0" distL="0" distR="0">
            <wp:extent cx="5486400" cy="3722914"/>
            <wp:docPr id="2" name="image2" descr="To-be KPI reporting and IT foundations · 5 sources, 3 audiences"/>
            <a:graphic xmlns:a="http://schemas.openxmlformats.org/drawingml/2006/main">
              <a:graphicData uri="http://schemas.openxmlformats.org/drawingml/2006/picture">
                <pic:pic xmlns:pic="http://schemas.openxmlformats.org/drawingml/2006/picture">
                  <pic:nvPicPr>
                    <pic:cNvPr id="2" name="image2" descr="To-be KPI reporting and IT foundations · 5 sources, 3 audiences"/>
                    <pic:cNvPicPr/>
                  </pic:nvPicPr>
                  <pic:blipFill>
                    <a:blip r:embed="rId4"/>
                    <a:stretch>
                      <a:fillRect/>
                    </a:stretch>
                  </pic:blipFill>
                  <pic:spPr>
                    <a:xfrm>
                      <a:off x="0" y="0"/>
                      <a:ext cx="5486400" cy="3722914"/>
                    </a:xfrm>
                    <a:prstGeom prst="rect">
                      <a:avLst/>
                    </a:prstGeom>
                  </pic:spPr>
                </pic:pic>
              </a:graphicData>
            </a:graphic>
          </wp:inline>
        </w:drawing>
      </w:r>
    </w:p>
    <w:p>
      <w:pPr/>
      <w:r>
        <w:t xml:space="preserve">To-be KPI reporting and IT foundations · 5 sources, 3 audiences</w:t>
      </w:r>
    </w:p>
    <w:p>
      <w:pPr/>
      <w:r>
        <w:t xml:space="preserve">What changes:</w:t>
      </w:r>
    </w:p>
    <w:p>
      <w:pPr>
        <w:pStyle w:val="ListParagraph"/>
        <w:numPr>
          <w:ilvl w:val="0"/>
          <w:numId w:val="5"/>
        </w:numPr>
      </w:pPr>
      <w:r>
        <w:rPr>
          <w:b/>
        </w:rPr>
        <w:t xml:space="preserve">Negotiation:</w:t>
      </w:r>
      <w:r>
        <w:t xml:space="preserve"> quotes and negotiation rounds are captured in sourcing, so effort savings are calculated, not typed.</w:t>
      </w:r>
    </w:p>
    <w:p>
      <w:pPr>
        <w:pStyle w:val="ListParagraph"/>
        <w:numPr>
          <w:ilvl w:val="0"/>
          <w:numId w:val="5"/>
        </w:numPr>
      </w:pPr>
      <w:r>
        <w:rPr>
          <w:b/>
        </w:rPr>
        <w:t xml:space="preserve">NCs and audits:</w:t>
      </w:r>
      <w:r>
        <w:t xml:space="preserve"> NC, audit and claims dashboards come from the records created in the quality and RTV flows (see 28 Oct documents). The manual logs are retired.</w:t>
      </w:r>
    </w:p>
    <w:p>
      <w:pPr>
        <w:pStyle w:val="ListParagraph"/>
        <w:numPr>
          <w:ilvl w:val="0"/>
          <w:numId w:val="5"/>
        </w:numPr>
      </w:pPr>
      <w:r>
        <w:rPr>
          <w:b/>
        </w:rPr>
        <w:t xml:space="preserve">Invoice status:</w:t>
      </w:r>
      <w:r>
        <w:t xml:space="preserve"> invoice exceptions and payment status are visible to procurement and suppliers, whether invoicing moves to the platform or stays in SAP Concur.</w:t>
      </w:r>
    </w:p>
    <w:p>
      <w:pPr>
        <w:pStyle w:val="ListParagraph"/>
        <w:numPr>
          <w:ilvl w:val="0"/>
          <w:numId w:val="5"/>
        </w:numPr>
      </w:pPr>
      <w:r>
        <w:rPr>
          <w:b/>
        </w:rPr>
        <w:t xml:space="preserve">DIO and DPO:</w:t>
      </w:r>
      <w:r>
        <w:t xml:space="preserve"> become dashboards on agreed formulas, fed from SAP and the planning system. They are not rebuilt in Excel.</w:t>
      </w:r>
    </w:p>
    <w:p>
      <w:pPr>
        <w:pStyle w:val="ListParagraph"/>
        <w:numPr>
          <w:ilvl w:val="0"/>
          <w:numId w:val="5"/>
        </w:numPr>
      </w:pPr>
      <w:r>
        <w:rPr>
          <w:b/>
        </w:rPr>
        <w:t xml:space="preserve">Access and signing:</w:t>
      </w:r>
      <w:r>
        <w:t xml:space="preserve"> users sign in through Microsoft SSO, and contracts, audit summaries and debit notes are signed electronically with an audit trail.</w:t>
      </w:r>
    </w:p>
    <w:p>
      <w:pPr>
        <w:pStyle w:val="Heading2"/>
      </w:pPr>
      <w:r>
        <w:t xml:space="preserve">7. Functional requirements</w:t>
      </w:r>
    </w:p>
    <w:p>
      <w:pPr/>
      <w:r>
        <w:t xml:space="preserve">Eighteen requirements came out of Session 4. Priorities are Durvah's proposal for Ajinomoto to confirm.</w:t>
      </w:r>
    </w:p>
    <w:tbl>
      <w:tblPr>
        <w:tblStyle w:val="TableGrid"/>
        <w:tblW w:w="0" w:type="auto"/>
        <w:tblLayout w:type="fixed"/>
        <w:tblLook w:val="04A0" w:firstRow="1" w:lastRow="0" w:firstColumn="0" w:lastColumn="0" w:noHBand="0" w:noVBand="1"/>
      </w:tblPr>
      <w:tblGrid>
        <w:gridCol w:w="868"/>
        <w:gridCol w:w="2545"/>
        <w:gridCol w:w="4920"/>
        <w:gridCol w:w="1027"/>
      </w:tblGrid>
      <w:tr>
        <w:trPr>
          <w:tblHeader/>
        </w:trPr>
        <w:tc>
          <w:tcPr>
            <w:tcW w:w="868" w:type="dxa"/>
            <w:shd w:val="clear" w:color="auto" w:fill="F2F2F2"/>
          </w:tcPr>
          <w:p>
            <w:pPr/>
            <w:r>
              <w:t xml:space="preserve">ID</w:t>
            </w:r>
          </w:p>
        </w:tc>
        <w:tc>
          <w:tcPr>
            <w:tcW w:w="2545" w:type="dxa"/>
            <w:shd w:val="clear" w:color="auto" w:fill="F2F2F2"/>
          </w:tcPr>
          <w:p>
            <w:pPr/>
            <w:r>
              <w:t xml:space="preserve">Area</w:t>
            </w:r>
          </w:p>
        </w:tc>
        <w:tc>
          <w:tcPr>
            <w:tcW w:w="4920" w:type="dxa"/>
            <w:shd w:val="clear" w:color="auto" w:fill="F2F2F2"/>
          </w:tcPr>
          <w:p>
            <w:pPr/>
            <w:r>
              <w:t xml:space="preserve">Requirement</w:t>
            </w:r>
          </w:p>
        </w:tc>
        <w:tc>
          <w:tcPr>
            <w:tcW w:w="1027" w:type="dxa"/>
            <w:shd w:val="clear" w:color="auto" w:fill="F2F2F2"/>
          </w:tcPr>
          <w:p>
            <w:pPr/>
            <w:r>
              <w:t xml:space="preserve">Priority</w:t>
            </w:r>
          </w:p>
        </w:tc>
      </w:tr>
      <w:tr>
        <w:tc>
          <w:tcPr>
            <w:tcW w:w="868" w:type="dxa"/>
          </w:tcPr>
          <w:p>
            <w:pPr/>
            <w:r>
              <w:t xml:space="preserve">AR-01</w:t>
            </w:r>
          </w:p>
        </w:tc>
        <w:tc>
          <w:tcPr>
            <w:tcW w:w="2545" w:type="dxa"/>
          </w:tcPr>
          <w:p>
            <w:pPr/>
            <w:r>
              <w:t xml:space="preserve">Savings</w:t>
            </w:r>
          </w:p>
        </w:tc>
        <w:tc>
          <w:tcPr>
            <w:tcW w:w="4920" w:type="dxa"/>
          </w:tcPr>
          <w:p>
            <w:pPr/>
            <w:r>
              <w:t xml:space="preserve">Calculate actual savings (budget vs PO price) and effort savings (quoted vs negotiated) per material, month, RM/PM and local/import, with forex conversion</w:t>
            </w:r>
          </w:p>
        </w:tc>
        <w:tc>
          <w:tcPr>
            <w:tcW w:w="1027" w:type="dxa"/>
          </w:tcPr>
          <w:p>
            <w:pPr/>
            <w:r>
              <w:t xml:space="preserve">Must</w:t>
            </w:r>
          </w:p>
        </w:tc>
      </w:tr>
      <w:tr>
        <w:tc>
          <w:tcPr>
            <w:tcW w:w="868" w:type="dxa"/>
          </w:tcPr>
          <w:p>
            <w:pPr/>
            <w:r>
              <w:t xml:space="preserve">AR-02</w:t>
            </w:r>
          </w:p>
        </w:tc>
        <w:tc>
          <w:tcPr>
            <w:tcW w:w="2545" w:type="dxa"/>
          </w:tcPr>
          <w:p>
            <w:pPr/>
            <w:r>
              <w:t xml:space="preserve">Negotiation record</w:t>
            </w:r>
          </w:p>
        </w:tc>
        <w:tc>
          <w:tcPr>
            <w:tcW w:w="4920" w:type="dxa"/>
          </w:tcPr>
          <w:p>
            <w:pPr/>
            <w:r>
              <w:t xml:space="preserve">Capture every quote round and the final negotiated price in sourcing, so effort savings can be audited</w:t>
            </w:r>
          </w:p>
        </w:tc>
        <w:tc>
          <w:tcPr>
            <w:tcW w:w="1027" w:type="dxa"/>
          </w:tcPr>
          <w:p>
            <w:pPr/>
            <w:r>
              <w:t xml:space="preserve">Must</w:t>
            </w:r>
          </w:p>
        </w:tc>
      </w:tr>
      <w:tr>
        <w:tc>
          <w:tcPr>
            <w:tcW w:w="868" w:type="dxa"/>
          </w:tcPr>
          <w:p>
            <w:pPr/>
            <w:r>
              <w:t xml:space="preserve">AR-03</w:t>
            </w:r>
          </w:p>
        </w:tc>
        <w:tc>
          <w:tcPr>
            <w:tcW w:w="2545" w:type="dxa"/>
          </w:tcPr>
          <w:p>
            <w:pPr/>
            <w:r>
              <w:t xml:space="preserve">Spend analysis</w:t>
            </w:r>
          </w:p>
        </w:tc>
        <w:tc>
          <w:tcPr>
            <w:tcW w:w="4920" w:type="dxa"/>
          </w:tcPr>
          <w:p>
            <w:pPr/>
            <w:r>
              <w:t xml:space="preserve">Spend by supplier and material: quantity, total value, average price, vs budget</w:t>
            </w:r>
          </w:p>
        </w:tc>
        <w:tc>
          <w:tcPr>
            <w:tcW w:w="1027" w:type="dxa"/>
          </w:tcPr>
          <w:p>
            <w:pPr/>
            <w:r>
              <w:t xml:space="preserve">Must</w:t>
            </w:r>
          </w:p>
        </w:tc>
      </w:tr>
      <w:tr>
        <w:tc>
          <w:tcPr>
            <w:tcW w:w="868" w:type="dxa"/>
          </w:tcPr>
          <w:p>
            <w:pPr/>
            <w:r>
              <w:t xml:space="preserve">AR-04</w:t>
            </w:r>
          </w:p>
        </w:tc>
        <w:tc>
          <w:tcPr>
            <w:tcW w:w="2545" w:type="dxa"/>
          </w:tcPr>
          <w:p>
            <w:pPr/>
            <w:r>
              <w:t xml:space="preserve">Pricing database</w:t>
            </w:r>
          </w:p>
        </w:tc>
        <w:tc>
          <w:tcPr>
            <w:tcW w:w="4920" w:type="dxa"/>
          </w:tcPr>
          <w:p>
            <w:pPr/>
            <w:r>
              <w:t xml:space="preserve">Price history per material and supplier with reason for change; supports management explanation of increases</w:t>
            </w:r>
          </w:p>
        </w:tc>
        <w:tc>
          <w:tcPr>
            <w:tcW w:w="1027" w:type="dxa"/>
          </w:tcPr>
          <w:p>
            <w:pPr/>
            <w:r>
              <w:t xml:space="preserve">Must</w:t>
            </w:r>
          </w:p>
        </w:tc>
      </w:tr>
      <w:tr>
        <w:tc>
          <w:tcPr>
            <w:tcW w:w="868" w:type="dxa"/>
          </w:tcPr>
          <w:p>
            <w:pPr/>
            <w:r>
              <w:t xml:space="preserve">AR-05</w:t>
            </w:r>
          </w:p>
        </w:tc>
        <w:tc>
          <w:tcPr>
            <w:tcW w:w="2545" w:type="dxa"/>
          </w:tcPr>
          <w:p>
            <w:pPr/>
            <w:r>
              <w:t xml:space="preserve">Market insights</w:t>
            </w:r>
          </w:p>
        </w:tc>
        <w:tc>
          <w:tcPr>
            <w:tcW w:w="4920" w:type="dxa"/>
          </w:tcPr>
          <w:p>
            <w:pPr/>
            <w:r>
              <w:t xml:space="preserve">AI-assisted context on price drivers by material and origin (phase 2)</w:t>
            </w:r>
          </w:p>
        </w:tc>
        <w:tc>
          <w:tcPr>
            <w:tcW w:w="1027" w:type="dxa"/>
          </w:tcPr>
          <w:p>
            <w:pPr/>
            <w:r>
              <w:t xml:space="preserve">Could</w:t>
            </w:r>
          </w:p>
        </w:tc>
      </w:tr>
      <w:tr>
        <w:tc>
          <w:tcPr>
            <w:tcW w:w="868" w:type="dxa"/>
          </w:tcPr>
          <w:p>
            <w:pPr/>
            <w:r>
              <w:t xml:space="preserve">AR-06</w:t>
            </w:r>
          </w:p>
        </w:tc>
        <w:tc>
          <w:tcPr>
            <w:tcW w:w="2545" w:type="dxa"/>
          </w:tcPr>
          <w:p>
            <w:pPr/>
            <w:r>
              <w:t xml:space="preserve">NC dashboard</w:t>
            </w:r>
          </w:p>
        </w:tc>
        <w:tc>
          <w:tcPr>
            <w:tcW w:w="4920" w:type="dxa"/>
          </w:tcPr>
          <w:p>
            <w:pPr/>
            <w:r>
              <w:t xml:space="preserve">NC count by supplier, month, class and category from system NC records; replaces the manual NC log</w:t>
            </w:r>
          </w:p>
        </w:tc>
        <w:tc>
          <w:tcPr>
            <w:tcW w:w="1027" w:type="dxa"/>
          </w:tcPr>
          <w:p>
            <w:pPr/>
            <w:r>
              <w:t xml:space="preserve">Must</w:t>
            </w:r>
          </w:p>
        </w:tc>
      </w:tr>
      <w:tr>
        <w:tc>
          <w:tcPr>
            <w:tcW w:w="868" w:type="dxa"/>
          </w:tcPr>
          <w:p>
            <w:pPr/>
            <w:r>
              <w:t xml:space="preserve">AR-07</w:t>
            </w:r>
          </w:p>
        </w:tc>
        <w:tc>
          <w:tcPr>
            <w:tcW w:w="2545" w:type="dxa"/>
          </w:tcPr>
          <w:p>
            <w:pPr/>
            <w:r>
              <w:t xml:space="preserve">Audit dashboard</w:t>
            </w:r>
          </w:p>
        </w:tc>
        <w:tc>
          <w:tcPr>
            <w:tcW w:w="4920" w:type="dxa"/>
          </w:tcPr>
          <w:p>
            <w:pPr/>
            <w:r>
              <w:t xml:space="preserve">Audits planned, completed and rescheduled with results; open findings and closure status</w:t>
            </w:r>
          </w:p>
        </w:tc>
        <w:tc>
          <w:tcPr>
            <w:tcW w:w="1027" w:type="dxa"/>
          </w:tcPr>
          <w:p>
            <w:pPr/>
            <w:r>
              <w:t xml:space="preserve">Must</w:t>
            </w:r>
          </w:p>
        </w:tc>
      </w:tr>
      <w:tr>
        <w:tc>
          <w:tcPr>
            <w:tcW w:w="868" w:type="dxa"/>
          </w:tcPr>
          <w:p>
            <w:pPr/>
            <w:r>
              <w:t xml:space="preserve">AR-08</w:t>
            </w:r>
          </w:p>
        </w:tc>
        <w:tc>
          <w:tcPr>
            <w:tcW w:w="2545" w:type="dxa"/>
          </w:tcPr>
          <w:p>
            <w:pPr/>
            <w:r>
              <w:t xml:space="preserve">Audit finding closure</w:t>
            </w:r>
          </w:p>
        </w:tc>
        <w:tc>
          <w:tcPr>
            <w:tcW w:w="4920" w:type="dxa"/>
          </w:tcPr>
          <w:p>
            <w:pPr/>
            <w:r>
              <w:t xml:space="preserve">Supplier submits CAR with evidence and implementation date; system reminds the supplier to submit effectiveness evidence about one month later; QA, R&amp;D or procurement auditor approves closure</w:t>
            </w:r>
          </w:p>
        </w:tc>
        <w:tc>
          <w:tcPr>
            <w:tcW w:w="1027" w:type="dxa"/>
          </w:tcPr>
          <w:p>
            <w:pPr/>
            <w:r>
              <w:t xml:space="preserve">Must</w:t>
            </w:r>
          </w:p>
        </w:tc>
      </w:tr>
      <w:tr>
        <w:tc>
          <w:tcPr>
            <w:tcW w:w="868" w:type="dxa"/>
          </w:tcPr>
          <w:p>
            <w:pPr/>
            <w:r>
              <w:t xml:space="preserve">AR-09</w:t>
            </w:r>
          </w:p>
        </w:tc>
        <w:tc>
          <w:tcPr>
            <w:tcW w:w="2545" w:type="dxa"/>
          </w:tcPr>
          <w:p>
            <w:pPr/>
            <w:r>
              <w:t xml:space="preserve">Critical NC verification</w:t>
            </w:r>
          </w:p>
        </w:tc>
        <w:tc>
          <w:tcPr>
            <w:tcW w:w="4920" w:type="dxa"/>
          </w:tcPr>
          <w:p>
            <w:pPr/>
            <w:r>
              <w:t xml:space="preserve">QC receiving and QC production verify deliveries before a critical NC closes (approval step)</w:t>
            </w:r>
          </w:p>
        </w:tc>
        <w:tc>
          <w:tcPr>
            <w:tcW w:w="1027" w:type="dxa"/>
          </w:tcPr>
          <w:p>
            <w:pPr/>
            <w:r>
              <w:t xml:space="preserve">Must</w:t>
            </w:r>
          </w:p>
        </w:tc>
      </w:tr>
      <w:tr>
        <w:tc>
          <w:tcPr>
            <w:tcW w:w="868" w:type="dxa"/>
          </w:tcPr>
          <w:p>
            <w:pPr/>
            <w:r>
              <w:t xml:space="preserve">AR-10</w:t>
            </w:r>
          </w:p>
        </w:tc>
        <w:tc>
          <w:tcPr>
            <w:tcW w:w="2545" w:type="dxa"/>
          </w:tcPr>
          <w:p>
            <w:pPr/>
            <w:r>
              <w:t xml:space="preserve">Claims tracking</w:t>
            </w:r>
          </w:p>
        </w:tc>
        <w:tc>
          <w:tcPr>
            <w:tcW w:w="4920" w:type="dxa"/>
          </w:tcPr>
          <w:p>
            <w:pPr/>
            <w:r>
              <w:t xml:space="preserve">Debit note and claim memo per NC with signed approval (procurement director); supplier credit note uploaded and linked to the invoice; ageing dashboard for finance</w:t>
            </w:r>
          </w:p>
        </w:tc>
        <w:tc>
          <w:tcPr>
            <w:tcW w:w="1027" w:type="dxa"/>
          </w:tcPr>
          <w:p>
            <w:pPr/>
            <w:r>
              <w:t xml:space="preserve">Must</w:t>
            </w:r>
          </w:p>
        </w:tc>
      </w:tr>
      <w:tr>
        <w:tc>
          <w:tcPr>
            <w:tcW w:w="868" w:type="dxa"/>
          </w:tcPr>
          <w:p>
            <w:pPr/>
            <w:r>
              <w:t xml:space="preserve">AR-11</w:t>
            </w:r>
          </w:p>
        </w:tc>
        <w:tc>
          <w:tcPr>
            <w:tcW w:w="2545" w:type="dxa"/>
          </w:tcPr>
          <w:p>
            <w:pPr/>
            <w:r>
              <w:t xml:space="preserve">Invoice exceptions</w:t>
            </w:r>
          </w:p>
        </w:tc>
        <w:tc>
          <w:tcPr>
            <w:tcW w:w="4920" w:type="dxa"/>
          </w:tcPr>
          <w:p>
            <w:pPr/>
            <w:r>
              <w:t xml:space="preserve">Outstanding-invoice dashboard by reason (no GR, price, quantity), ageing and supplier; supplier sees status. If invoicing stays in Concur, Concur and SAP data feed this report</w:t>
            </w:r>
          </w:p>
        </w:tc>
        <w:tc>
          <w:tcPr>
            <w:tcW w:w="1027" w:type="dxa"/>
          </w:tcPr>
          <w:p>
            <w:pPr/>
            <w:r>
              <w:t xml:space="preserve">Must</w:t>
            </w:r>
          </w:p>
        </w:tc>
      </w:tr>
      <w:tr>
        <w:tc>
          <w:tcPr>
            <w:tcW w:w="868" w:type="dxa"/>
          </w:tcPr>
          <w:p>
            <w:pPr/>
            <w:r>
              <w:t xml:space="preserve">AR-12</w:t>
            </w:r>
          </w:p>
        </w:tc>
        <w:tc>
          <w:tcPr>
            <w:tcW w:w="2545" w:type="dxa"/>
          </w:tcPr>
          <w:p>
            <w:pPr/>
            <w:r>
              <w:t xml:space="preserve">Contracts dashboard</w:t>
            </w:r>
          </w:p>
        </w:tc>
        <w:tc>
          <w:tcPr>
            <w:tcW w:w="4920" w:type="dxa"/>
          </w:tcPr>
          <w:p>
            <w:pPr/>
            <w:r>
              <w:t xml:space="preserve">Contracts by status, validity and expiry</w:t>
            </w:r>
          </w:p>
        </w:tc>
        <w:tc>
          <w:tcPr>
            <w:tcW w:w="1027" w:type="dxa"/>
          </w:tcPr>
          <w:p>
            <w:pPr/>
            <w:r>
              <w:t xml:space="preserve">Should</w:t>
            </w:r>
          </w:p>
        </w:tc>
      </w:tr>
      <w:tr>
        <w:tc>
          <w:tcPr>
            <w:tcW w:w="868" w:type="dxa"/>
          </w:tcPr>
          <w:p>
            <w:pPr/>
            <w:r>
              <w:t xml:space="preserve">AR-13</w:t>
            </w:r>
          </w:p>
        </w:tc>
        <w:tc>
          <w:tcPr>
            <w:tcW w:w="2545" w:type="dxa"/>
          </w:tcPr>
          <w:p>
            <w:pPr/>
            <w:r>
              <w:t xml:space="preserve">Payment terms programme</w:t>
            </w:r>
          </w:p>
        </w:tc>
        <w:tc>
          <w:tcPr>
            <w:tcW w:w="4920" w:type="dxa"/>
          </w:tcPr>
          <w:p>
            <w:pPr/>
            <w:r>
              <w:t xml:space="preserve">Current and negotiated payment terms per supplier, with progress tracking</w:t>
            </w:r>
          </w:p>
        </w:tc>
        <w:tc>
          <w:tcPr>
            <w:tcW w:w="1027" w:type="dxa"/>
          </w:tcPr>
          <w:p>
            <w:pPr/>
            <w:r>
              <w:t xml:space="preserve">Should</w:t>
            </w:r>
          </w:p>
        </w:tc>
      </w:tr>
      <w:tr>
        <w:tc>
          <w:tcPr>
            <w:tcW w:w="868" w:type="dxa"/>
          </w:tcPr>
          <w:p>
            <w:pPr/>
            <w:r>
              <w:t xml:space="preserve">AR-14</w:t>
            </w:r>
          </w:p>
        </w:tc>
        <w:tc>
          <w:tcPr>
            <w:tcW w:w="2545" w:type="dxa"/>
          </w:tcPr>
          <w:p>
            <w:pPr/>
            <w:r>
              <w:t xml:space="preserve">DIO and DPO</w:t>
            </w:r>
          </w:p>
        </w:tc>
        <w:tc>
          <w:tcPr>
            <w:tcW w:w="4920" w:type="dxa"/>
          </w:tcPr>
          <w:p>
            <w:pPr/>
            <w:r>
              <w:t xml:space="preserve">Dashboard for RM/PM (and WIP/FG where planning provides it) against target, using SAP and planning data with formulas agreed with finance</w:t>
            </w:r>
          </w:p>
        </w:tc>
        <w:tc>
          <w:tcPr>
            <w:tcW w:w="1027" w:type="dxa"/>
          </w:tcPr>
          <w:p>
            <w:pPr/>
            <w:r>
              <w:t xml:space="preserve">Should</w:t>
            </w:r>
          </w:p>
        </w:tc>
      </w:tr>
      <w:tr>
        <w:tc>
          <w:tcPr>
            <w:tcW w:w="868" w:type="dxa"/>
          </w:tcPr>
          <w:p>
            <w:pPr/>
            <w:r>
              <w:t xml:space="preserve">AR-15</w:t>
            </w:r>
          </w:p>
        </w:tc>
        <w:tc>
          <w:tcPr>
            <w:tcW w:w="2545" w:type="dxa"/>
          </w:tcPr>
          <w:p>
            <w:pPr/>
            <w:r>
              <w:t xml:space="preserve">Development tracker</w:t>
            </w:r>
          </w:p>
        </w:tc>
        <w:tc>
          <w:tcPr>
            <w:tcW w:w="4920" w:type="dxa"/>
          </w:tcPr>
          <w:p>
            <w:pPr/>
            <w:r>
              <w:t xml:space="preserve">Track new material and supplier assessments as projects with stages and dates (phase 2 candidate)</w:t>
            </w:r>
          </w:p>
        </w:tc>
        <w:tc>
          <w:tcPr>
            <w:tcW w:w="1027" w:type="dxa"/>
          </w:tcPr>
          <w:p>
            <w:pPr/>
            <w:r>
              <w:t xml:space="preserve">Could</w:t>
            </w:r>
          </w:p>
        </w:tc>
      </w:tr>
      <w:tr>
        <w:tc>
          <w:tcPr>
            <w:tcW w:w="868" w:type="dxa"/>
          </w:tcPr>
          <w:p>
            <w:pPr/>
            <w:r>
              <w:t xml:space="preserve">AR-16</w:t>
            </w:r>
          </w:p>
        </w:tc>
        <w:tc>
          <w:tcPr>
            <w:tcW w:w="2545" w:type="dxa"/>
          </w:tcPr>
          <w:p>
            <w:pPr/>
            <w:r>
              <w:t xml:space="preserve">Exports and BI</w:t>
            </w:r>
          </w:p>
        </w:tc>
        <w:tc>
          <w:tcPr>
            <w:tcW w:w="4920" w:type="dxa"/>
          </w:tcPr>
          <w:p>
            <w:pPr/>
            <w:r>
              <w:t xml:space="preserve">All reports exportable to Excel; data available to Power BI</w:t>
            </w:r>
          </w:p>
        </w:tc>
        <w:tc>
          <w:tcPr>
            <w:tcW w:w="1027" w:type="dxa"/>
          </w:tcPr>
          <w:p>
            <w:pPr/>
            <w:r>
              <w:t xml:space="preserve">Must</w:t>
            </w:r>
          </w:p>
        </w:tc>
      </w:tr>
      <w:tr>
        <w:tc>
          <w:tcPr>
            <w:tcW w:w="868" w:type="dxa"/>
          </w:tcPr>
          <w:p>
            <w:pPr/>
            <w:r>
              <w:t xml:space="preserve">IT-01</w:t>
            </w:r>
          </w:p>
        </w:tc>
        <w:tc>
          <w:tcPr>
            <w:tcW w:w="2545" w:type="dxa"/>
          </w:tcPr>
          <w:p>
            <w:pPr/>
            <w:r>
              <w:t xml:space="preserve">Single sign-on</w:t>
            </w:r>
          </w:p>
        </w:tc>
        <w:tc>
          <w:tcPr>
            <w:tcW w:w="4920" w:type="dxa"/>
          </w:tcPr>
          <w:p>
            <w:pPr/>
            <w:r>
              <w:t xml:space="preserve">Platform login through APC's Microsoft (Entra ID) SSO; licences assigned per user</w:t>
            </w:r>
          </w:p>
        </w:tc>
        <w:tc>
          <w:tcPr>
            <w:tcW w:w="1027" w:type="dxa"/>
          </w:tcPr>
          <w:p>
            <w:pPr/>
            <w:r>
              <w:t xml:space="preserve">Must</w:t>
            </w:r>
          </w:p>
        </w:tc>
      </w:tr>
      <w:tr>
        <w:tc>
          <w:tcPr>
            <w:tcW w:w="868" w:type="dxa"/>
          </w:tcPr>
          <w:p>
            <w:pPr/>
            <w:r>
              <w:t xml:space="preserve">IT-02</w:t>
            </w:r>
          </w:p>
        </w:tc>
        <w:tc>
          <w:tcPr>
            <w:tcW w:w="2545" w:type="dxa"/>
          </w:tcPr>
          <w:p>
            <w:pPr/>
            <w:r>
              <w:t xml:space="preserve">E-signature</w:t>
            </w:r>
          </w:p>
        </w:tc>
        <w:tc>
          <w:tcPr>
            <w:tcW w:w="4920" w:type="dxa"/>
          </w:tcPr>
          <w:p>
            <w:pPr/>
            <w:r>
              <w:t xml:space="preserve">Integrate Zoho Sign (or native e-signature) for contracts, audit summaries, debit notes and performance reports, with audit trail</w:t>
            </w:r>
          </w:p>
        </w:tc>
        <w:tc>
          <w:tcPr>
            <w:tcW w:w="1027" w:type="dxa"/>
          </w:tcPr>
          <w:p>
            <w:pPr/>
            <w:r>
              <w:t xml:space="preserve">Should</w:t>
            </w:r>
          </w:p>
        </w:tc>
      </w:tr>
    </w:tbl>
    <w:p>
      <w:pPr>
        <w:pStyle w:val="Heading2"/>
      </w:pPr>
      <w:r>
        <w:t xml:space="preserve">8. Open questions</w:t>
      </w:r>
    </w:p>
    <w:tbl>
      <w:tblPr>
        <w:tblStyle w:val="TableGrid"/>
        <w:tblW w:w="0" w:type="auto"/>
        <w:tblLayout w:type="fixed"/>
        <w:tblLook w:val="04A0" w:firstRow="1" w:lastRow="0" w:firstColumn="0" w:lastColumn="0" w:noHBand="0" w:noVBand="1"/>
      </w:tblPr>
      <w:tblGrid>
        <w:gridCol w:w="808"/>
        <w:gridCol w:w="5525"/>
        <w:gridCol w:w="3026"/>
      </w:tblGrid>
      <w:tr>
        <w:trPr>
          <w:tblHeader/>
        </w:trPr>
        <w:tc>
          <w:tcPr>
            <w:tcW w:w="808" w:type="dxa"/>
            <w:shd w:val="clear" w:color="auto" w:fill="F2F2F2"/>
          </w:tcPr>
          <w:p>
            <w:pPr/>
            <w:r>
              <w:t xml:space="preserve">#</w:t>
            </w:r>
          </w:p>
        </w:tc>
        <w:tc>
          <w:tcPr>
            <w:tcW w:w="5525" w:type="dxa"/>
            <w:shd w:val="clear" w:color="auto" w:fill="F2F2F2"/>
          </w:tcPr>
          <w:p>
            <w:pPr/>
            <w:r>
              <w:t xml:space="preserve">Question</w:t>
            </w:r>
          </w:p>
        </w:tc>
        <w:tc>
          <w:tcPr>
            <w:tcW w:w="3026" w:type="dxa"/>
            <w:shd w:val="clear" w:color="auto" w:fill="F2F2F2"/>
          </w:tcPr>
          <w:p>
            <w:pPr/>
            <w:r>
              <w:t xml:space="preserve">For</w:t>
            </w:r>
          </w:p>
        </w:tc>
      </w:tr>
      <w:tr>
        <w:tc>
          <w:tcPr>
            <w:tcW w:w="808" w:type="dxa"/>
          </w:tcPr>
          <w:p>
            <w:pPr/>
            <w:r>
              <w:t xml:space="preserve">Q1</w:t>
            </w:r>
          </w:p>
        </w:tc>
        <w:tc>
          <w:tcPr>
            <w:tcW w:w="5525" w:type="dxa"/>
          </w:tcPr>
          <w:p>
            <w:pPr/>
            <w:r>
              <w:t xml:space="preserve">Will invoicing move from SAP Concur to the new platform, or stay in Concur with an integration? Is the hard-copy original still legally required?</w:t>
            </w:r>
          </w:p>
        </w:tc>
        <w:tc>
          <w:tcPr>
            <w:tcW w:w="3026" w:type="dxa"/>
          </w:tcPr>
          <w:p>
            <w:pPr/>
            <w:r>
              <w:t xml:space="preserve">Finance</w:t>
            </w:r>
          </w:p>
        </w:tc>
      </w:tr>
      <w:tr>
        <w:tc>
          <w:tcPr>
            <w:tcW w:w="808" w:type="dxa"/>
          </w:tcPr>
          <w:p>
            <w:pPr/>
            <w:r>
              <w:t xml:space="preserve">Q2</w:t>
            </w:r>
          </w:p>
        </w:tc>
        <w:tc>
          <w:tcPr>
            <w:tcW w:w="5525" w:type="dxa"/>
          </w:tcPr>
          <w:p>
            <w:pPr/>
            <w:r>
              <w:t xml:space="preserve">What are the exact DIO and DPO formulas, data sources and targets?</w:t>
            </w:r>
          </w:p>
        </w:tc>
        <w:tc>
          <w:tcPr>
            <w:tcW w:w="3026" w:type="dxa"/>
          </w:tcPr>
          <w:p>
            <w:pPr/>
            <w:r>
              <w:t xml:space="preserve">Finance (Bryan Roman)</w:t>
            </w:r>
          </w:p>
        </w:tc>
      </w:tr>
      <w:tr>
        <w:tc>
          <w:tcPr>
            <w:tcW w:w="808" w:type="dxa"/>
          </w:tcPr>
          <w:p>
            <w:pPr/>
            <w:r>
              <w:t xml:space="preserve">Q3</w:t>
            </w:r>
          </w:p>
        </w:tc>
        <w:tc>
          <w:tcPr>
            <w:tcW w:w="5525" w:type="dxa"/>
          </w:tcPr>
          <w:p>
            <w:pPr/>
            <w:r>
              <w:t xml:space="preserve">Will Jedox be replaced next year, by what and when? Will SAP planning modules be adopted?</w:t>
            </w:r>
          </w:p>
        </w:tc>
        <w:tc>
          <w:tcPr>
            <w:tcW w:w="3026" w:type="dxa"/>
          </w:tcPr>
          <w:p>
            <w:pPr/>
            <w:r>
              <w:t xml:space="preserve">IT, planning</w:t>
            </w:r>
          </w:p>
        </w:tc>
      </w:tr>
      <w:tr>
        <w:tc>
          <w:tcPr>
            <w:tcW w:w="808" w:type="dxa"/>
          </w:tcPr>
          <w:p>
            <w:pPr/>
            <w:r>
              <w:t xml:space="preserve">Q4</w:t>
            </w:r>
          </w:p>
        </w:tc>
        <w:tc>
          <w:tcPr>
            <w:tcW w:w="5525" w:type="dxa"/>
          </w:tcPr>
          <w:p>
            <w:pPr/>
            <w:r>
              <w:t xml:space="preserve">Can the planning Power BI dashboard and its data be shared? Should Power BI remain the executive reporting layer?</w:t>
            </w:r>
          </w:p>
        </w:tc>
        <w:tc>
          <w:tcPr>
            <w:tcW w:w="3026" w:type="dxa"/>
          </w:tcPr>
          <w:p>
            <w:pPr/>
            <w:r>
              <w:t xml:space="preserve">Planning (Rachelle), IT</w:t>
            </w:r>
          </w:p>
        </w:tc>
      </w:tr>
      <w:tr>
        <w:tc>
          <w:tcPr>
            <w:tcW w:w="808" w:type="dxa"/>
          </w:tcPr>
          <w:p>
            <w:pPr/>
            <w:r>
              <w:t xml:space="preserve">Q5</w:t>
            </w:r>
          </w:p>
        </w:tc>
        <w:tc>
          <w:tcPr>
            <w:tcW w:w="5525" w:type="dxa"/>
          </w:tcPr>
          <w:p>
            <w:pPr/>
            <w:r>
              <w:t xml:space="preserve">Can Zoho Sign integrate with external platforms (API), and is it licensed for procurement users?</w:t>
            </w:r>
          </w:p>
        </w:tc>
        <w:tc>
          <w:tcPr>
            <w:tcW w:w="3026" w:type="dxa"/>
          </w:tcPr>
          <w:p>
            <w:pPr/>
            <w:r>
              <w:t xml:space="preserve">IT, Chris Ballesteros</w:t>
            </w:r>
          </w:p>
        </w:tc>
      </w:tr>
      <w:tr>
        <w:tc>
          <w:tcPr>
            <w:tcW w:w="808" w:type="dxa"/>
          </w:tcPr>
          <w:p>
            <w:pPr/>
            <w:r>
              <w:t xml:space="preserve">Q6</w:t>
            </w:r>
          </w:p>
        </w:tc>
        <w:tc>
          <w:tcPr>
            <w:tcW w:w="5525" w:type="dxa"/>
          </w:tcPr>
          <w:p>
            <w:pPr/>
            <w:r>
              <w:t xml:space="preserve">Is SSO via Microsoft Entra ID acceptable for the new platform, including SAP access later?</w:t>
            </w:r>
          </w:p>
        </w:tc>
        <w:tc>
          <w:tcPr>
            <w:tcW w:w="3026" w:type="dxa"/>
          </w:tcPr>
          <w:p>
            <w:pPr/>
            <w:r>
              <w:t xml:space="preserve">IT</w:t>
            </w:r>
          </w:p>
        </w:tc>
      </w:tr>
      <w:tr>
        <w:tc>
          <w:tcPr>
            <w:tcW w:w="808" w:type="dxa"/>
          </w:tcPr>
          <w:p>
            <w:pPr/>
            <w:r>
              <w:t xml:space="preserve">Q7</w:t>
            </w:r>
          </w:p>
        </w:tc>
        <w:tc>
          <w:tcPr>
            <w:tcW w:w="5525" w:type="dxa"/>
          </w:tcPr>
          <w:p>
            <w:pPr/>
            <w:r>
              <w:t xml:space="preserve">Are the production loss report and the development tracker in phase 1 scope?</w:t>
            </w:r>
          </w:p>
        </w:tc>
        <w:tc>
          <w:tcPr>
            <w:tcW w:w="3026" w:type="dxa"/>
          </w:tcPr>
          <w:p>
            <w:pPr/>
            <w:r>
              <w:t xml:space="preserve">Chris Ballesteros</w:t>
            </w:r>
          </w:p>
        </w:tc>
      </w:tr>
      <w:tr>
        <w:tc>
          <w:tcPr>
            <w:tcW w:w="808" w:type="dxa"/>
          </w:tcPr>
          <w:p>
            <w:pPr/>
            <w:r>
              <w:t xml:space="preserve">Q8</w:t>
            </w:r>
          </w:p>
        </w:tc>
        <w:tc>
          <w:tcPr>
            <w:tcW w:w="5525" w:type="dxa"/>
          </w:tcPr>
          <w:p>
            <w:pPr/>
            <w:r>
              <w:t xml:space="preserve">What role does DataSpider play in the new integrations, and who supports it?</w:t>
            </w:r>
          </w:p>
        </w:tc>
        <w:tc>
          <w:tcPr>
            <w:tcW w:w="3026" w:type="dxa"/>
          </w:tcPr>
          <w:p>
            <w:pPr/>
            <w:r>
              <w:t xml:space="preserve">IT</w:t>
            </w:r>
          </w:p>
        </w:tc>
      </w:tr>
    </w:tbl>
    <w:p>
      <w:pPr>
        <w:pStyle w:val="Heading2"/>
      </w:pPr>
      <w:r>
        <w:t xml:space="preserve">9. Action items</w:t>
      </w:r>
    </w:p>
    <w:p>
      <w:pPr/>
      <w:r>
        <w:t xml:space="preserve">Eight actions came out of Session 4. Durvah needs the report templates with their formulas (A1) to design the dashboards. Owners are proposed from the discussion; please confirm.</w:t>
      </w:r>
    </w:p>
    <w:tbl>
      <w:tblPr>
        <w:tblStyle w:val="TableGrid"/>
        <w:tblW w:w="0" w:type="auto"/>
        <w:tblLayout w:type="fixed"/>
        <w:tblLook w:val="04A0" w:firstRow="1" w:lastRow="0" w:firstColumn="0" w:lastColumn="0" w:noHBand="0" w:noVBand="1"/>
      </w:tblPr>
      <w:tblGrid>
        <w:gridCol w:w="720"/>
        <w:gridCol w:w="4920"/>
        <w:gridCol w:w="1618"/>
        <w:gridCol w:w="1193"/>
        <w:gridCol w:w="909"/>
      </w:tblGrid>
      <w:tr>
        <w:trPr>
          <w:tblHeader/>
        </w:trPr>
        <w:tc>
          <w:tcPr>
            <w:tcW w:w="720" w:type="dxa"/>
            <w:shd w:val="clear" w:color="auto" w:fill="F2F2F2"/>
          </w:tcPr>
          <w:p>
            <w:pPr/>
            <w:r>
              <w:t xml:space="preserve">#</w:t>
            </w:r>
          </w:p>
        </w:tc>
        <w:tc>
          <w:tcPr>
            <w:tcW w:w="4920" w:type="dxa"/>
            <w:shd w:val="clear" w:color="auto" w:fill="F2F2F2"/>
          </w:tcPr>
          <w:p>
            <w:pPr/>
            <w:r>
              <w:t xml:space="preserve">Action</w:t>
            </w:r>
          </w:p>
        </w:tc>
        <w:tc>
          <w:tcPr>
            <w:tcW w:w="1618" w:type="dxa"/>
            <w:shd w:val="clear" w:color="auto" w:fill="F2F2F2"/>
          </w:tcPr>
          <w:p>
            <w:pPr/>
            <w:r>
              <w:t xml:space="preserve">Owner</w:t>
            </w:r>
          </w:p>
        </w:tc>
        <w:tc>
          <w:tcPr>
            <w:tcW w:w="1193" w:type="dxa"/>
            <w:shd w:val="clear" w:color="auto" w:fill="F2F2F2"/>
          </w:tcPr>
          <w:p>
            <w:pPr/>
            <w:r>
              <w:t xml:space="preserve">Due</w:t>
            </w:r>
          </w:p>
        </w:tc>
        <w:tc>
          <w:tcPr>
            <w:tcW w:w="909" w:type="dxa"/>
            <w:shd w:val="clear" w:color="auto" w:fill="F2F2F2"/>
          </w:tcPr>
          <w:p>
            <w:pPr/>
            <w:r>
              <w:t xml:space="preserve">Status</w:t>
            </w:r>
          </w:p>
        </w:tc>
      </w:tr>
      <w:tr>
        <w:tc>
          <w:tcPr>
            <w:tcW w:w="720" w:type="dxa"/>
          </w:tcPr>
          <w:p>
            <w:pPr/>
            <w:r>
              <w:t xml:space="preserve">A1</w:t>
            </w:r>
          </w:p>
        </w:tc>
        <w:tc>
          <w:tcPr>
            <w:tcW w:w="4920" w:type="dxa"/>
          </w:tcPr>
          <w:p>
            <w:pPr/>
            <w:r>
              <w:t xml:space="preserve">Share all KPI report templates (savings, NC, audit, contracts, payment terms, price monitoring) with formulas; dummy data is fine</w:t>
            </w:r>
          </w:p>
        </w:tc>
        <w:tc>
          <w:tcPr>
            <w:tcW w:w="1618" w:type="dxa"/>
          </w:tcPr>
          <w:p>
            <w:pPr/>
            <w:r>
              <w:t xml:space="preserve">Procurement report owners</w:t>
            </w:r>
          </w:p>
        </w:tc>
        <w:tc>
          <w:tcPr>
            <w:tcW w:w="1193" w:type="dxa"/>
          </w:tcPr>
          <w:p>
            <w:pPr/>
            <w:r>
              <w:t xml:space="preserve">This week</w:t>
            </w:r>
          </w:p>
        </w:tc>
        <w:tc>
          <w:tcPr>
            <w:tcW w:w="909" w:type="dxa"/>
          </w:tcPr>
          <w:p>
            <w:pPr/>
            <w:r>
              <w:t xml:space="preserve">Open</w:t>
            </w:r>
          </w:p>
        </w:tc>
      </w:tr>
      <w:tr>
        <w:tc>
          <w:tcPr>
            <w:tcW w:w="720" w:type="dxa"/>
          </w:tcPr>
          <w:p>
            <w:pPr/>
            <w:r>
              <w:t xml:space="preserve">A2</w:t>
            </w:r>
          </w:p>
        </w:tc>
        <w:tc>
          <w:tcPr>
            <w:tcW w:w="4920" w:type="dxa"/>
          </w:tcPr>
          <w:p>
            <w:pPr/>
            <w:r>
              <w:t xml:space="preserve">Share the DIO and DPO workbook with formulas and data sources</w:t>
            </w:r>
          </w:p>
        </w:tc>
        <w:tc>
          <w:tcPr>
            <w:tcW w:w="1618" w:type="dxa"/>
          </w:tcPr>
          <w:p>
            <w:pPr/>
            <w:r>
              <w:t xml:space="preserve">Finance (Bryan Roman)</w:t>
            </w:r>
          </w:p>
        </w:tc>
        <w:tc>
          <w:tcPr>
            <w:tcW w:w="1193" w:type="dxa"/>
          </w:tcPr>
          <w:p>
            <w:pPr/>
            <w:r>
              <w:t xml:space="preserve">This week</w:t>
            </w:r>
          </w:p>
        </w:tc>
        <w:tc>
          <w:tcPr>
            <w:tcW w:w="909" w:type="dxa"/>
          </w:tcPr>
          <w:p>
            <w:pPr/>
            <w:r>
              <w:t xml:space="preserve">Open</w:t>
            </w:r>
          </w:p>
        </w:tc>
      </w:tr>
      <w:tr>
        <w:tc>
          <w:tcPr>
            <w:tcW w:w="720" w:type="dxa"/>
          </w:tcPr>
          <w:p>
            <w:pPr/>
            <w:r>
              <w:t xml:space="preserve">A3</w:t>
            </w:r>
          </w:p>
        </w:tc>
        <w:tc>
          <w:tcPr>
            <w:tcW w:w="4920" w:type="dxa"/>
          </w:tcPr>
          <w:p>
            <w:pPr/>
            <w:r>
              <w:t xml:space="preserve">Share the outstanding invoice and outstanding claims monitoring templates</w:t>
            </w:r>
          </w:p>
        </w:tc>
        <w:tc>
          <w:tcPr>
            <w:tcW w:w="1618" w:type="dxa"/>
          </w:tcPr>
          <w:p>
            <w:pPr/>
            <w:r>
              <w:t xml:space="preserve">Finance (AP and claims)</w:t>
            </w:r>
          </w:p>
        </w:tc>
        <w:tc>
          <w:tcPr>
            <w:tcW w:w="1193" w:type="dxa"/>
          </w:tcPr>
          <w:p>
            <w:pPr/>
            <w:r>
              <w:t xml:space="preserve">This week</w:t>
            </w:r>
          </w:p>
        </w:tc>
        <w:tc>
          <w:tcPr>
            <w:tcW w:w="909" w:type="dxa"/>
          </w:tcPr>
          <w:p>
            <w:pPr/>
            <w:r>
              <w:t xml:space="preserve">Open</w:t>
            </w:r>
          </w:p>
        </w:tc>
      </w:tr>
      <w:tr>
        <w:tc>
          <w:tcPr>
            <w:tcW w:w="720" w:type="dxa"/>
          </w:tcPr>
          <w:p>
            <w:pPr/>
            <w:r>
              <w:t xml:space="preserve">A4</w:t>
            </w:r>
          </w:p>
        </w:tc>
        <w:tc>
          <w:tcPr>
            <w:tcW w:w="4920" w:type="dxa"/>
          </w:tcPr>
          <w:p>
            <w:pPr/>
            <w:r>
              <w:t xml:space="preserve">Share the NC log template and the supplier master and pricing database once cleaned up</w:t>
            </w:r>
          </w:p>
        </w:tc>
        <w:tc>
          <w:tcPr>
            <w:tcW w:w="1618" w:type="dxa"/>
          </w:tcPr>
          <w:p>
            <w:pPr/>
            <w:r>
              <w:t xml:space="preserve">Procurement / QA</w:t>
            </w:r>
          </w:p>
        </w:tc>
        <w:tc>
          <w:tcPr>
            <w:tcW w:w="1193" w:type="dxa"/>
          </w:tcPr>
          <w:p>
            <w:pPr/>
            <w:r>
              <w:t xml:space="preserve">Next week</w:t>
            </w:r>
          </w:p>
        </w:tc>
        <w:tc>
          <w:tcPr>
            <w:tcW w:w="909" w:type="dxa"/>
          </w:tcPr>
          <w:p>
            <w:pPr/>
            <w:r>
              <w:t xml:space="preserve">Open</w:t>
            </w:r>
          </w:p>
        </w:tc>
      </w:tr>
      <w:tr>
        <w:tc>
          <w:tcPr>
            <w:tcW w:w="720" w:type="dxa"/>
          </w:tcPr>
          <w:p>
            <w:pPr/>
            <w:r>
              <w:t xml:space="preserve">A5</w:t>
            </w:r>
          </w:p>
        </w:tc>
        <w:tc>
          <w:tcPr>
            <w:tcW w:w="4920" w:type="dxa"/>
          </w:tcPr>
          <w:p>
            <w:pPr/>
            <w:r>
              <w:t xml:space="preserve">Arrange a view of the planning Power BI dashboard</w:t>
            </w:r>
          </w:p>
        </w:tc>
        <w:tc>
          <w:tcPr>
            <w:tcW w:w="1618" w:type="dxa"/>
          </w:tcPr>
          <w:p>
            <w:pPr/>
            <w:r>
              <w:t xml:space="preserve">Chris Ballesteros with Rachelle</w:t>
            </w:r>
          </w:p>
        </w:tc>
        <w:tc>
          <w:tcPr>
            <w:tcW w:w="1193" w:type="dxa"/>
          </w:tcPr>
          <w:p>
            <w:pPr/>
            <w:r>
              <w:t xml:space="preserve">This week</w:t>
            </w:r>
          </w:p>
        </w:tc>
        <w:tc>
          <w:tcPr>
            <w:tcW w:w="909" w:type="dxa"/>
          </w:tcPr>
          <w:p>
            <w:pPr/>
            <w:r>
              <w:t xml:space="preserve">Open</w:t>
            </w:r>
          </w:p>
        </w:tc>
      </w:tr>
      <w:tr>
        <w:tc>
          <w:tcPr>
            <w:tcW w:w="720" w:type="dxa"/>
          </w:tcPr>
          <w:p>
            <w:pPr/>
            <w:r>
              <w:t xml:space="preserve">A6</w:t>
            </w:r>
          </w:p>
        </w:tc>
        <w:tc>
          <w:tcPr>
            <w:tcW w:w="4920" w:type="dxa"/>
          </w:tcPr>
          <w:p>
            <w:pPr/>
            <w:r>
              <w:t xml:space="preserve">Confirm the planning system roadmap (Jedox replacement, SAP planning study)</w:t>
            </w:r>
          </w:p>
        </w:tc>
        <w:tc>
          <w:tcPr>
            <w:tcW w:w="1618" w:type="dxa"/>
          </w:tcPr>
          <w:p>
            <w:pPr/>
            <w:r>
              <w:t xml:space="preserve">IT</w:t>
            </w:r>
          </w:p>
        </w:tc>
        <w:tc>
          <w:tcPr>
            <w:tcW w:w="1193" w:type="dxa"/>
          </w:tcPr>
          <w:p>
            <w:pPr/>
            <w:r>
              <w:t xml:space="preserve">30 Oct IT session</w:t>
            </w:r>
          </w:p>
        </w:tc>
        <w:tc>
          <w:tcPr>
            <w:tcW w:w="909" w:type="dxa"/>
          </w:tcPr>
          <w:p>
            <w:pPr/>
            <w:r>
              <w:t xml:space="preserve">Open</w:t>
            </w:r>
          </w:p>
        </w:tc>
      </w:tr>
      <w:tr>
        <w:tc>
          <w:tcPr>
            <w:tcW w:w="720" w:type="dxa"/>
          </w:tcPr>
          <w:p>
            <w:pPr/>
            <w:r>
              <w:t xml:space="preserve">A7</w:t>
            </w:r>
          </w:p>
        </w:tc>
        <w:tc>
          <w:tcPr>
            <w:tcW w:w="4920" w:type="dxa"/>
          </w:tcPr>
          <w:p>
            <w:pPr/>
            <w:r>
              <w:t xml:space="preserve">Confirm Zoho Sign integration options and SSO approach</w:t>
            </w:r>
          </w:p>
        </w:tc>
        <w:tc>
          <w:tcPr>
            <w:tcW w:w="1618" w:type="dxa"/>
          </w:tcPr>
          <w:p>
            <w:pPr/>
            <w:r>
              <w:t xml:space="preserve">IT</w:t>
            </w:r>
          </w:p>
        </w:tc>
        <w:tc>
          <w:tcPr>
            <w:tcW w:w="1193" w:type="dxa"/>
          </w:tcPr>
          <w:p>
            <w:pPr/>
            <w:r>
              <w:t xml:space="preserve">30 Oct IT session</w:t>
            </w:r>
          </w:p>
        </w:tc>
        <w:tc>
          <w:tcPr>
            <w:tcW w:w="909" w:type="dxa"/>
          </w:tcPr>
          <w:p>
            <w:pPr/>
            <w:r>
              <w:t xml:space="preserve">Open</w:t>
            </w:r>
          </w:p>
        </w:tc>
      </w:tr>
      <w:tr>
        <w:tc>
          <w:tcPr>
            <w:tcW w:w="720" w:type="dxa"/>
          </w:tcPr>
          <w:p>
            <w:pPr/>
            <w:r>
              <w:t xml:space="preserve">A8</w:t>
            </w:r>
          </w:p>
        </w:tc>
        <w:tc>
          <w:tcPr>
            <w:tcW w:w="4920" w:type="dxa"/>
          </w:tcPr>
          <w:p>
            <w:pPr/>
            <w:r>
              <w:t xml:space="preserve">Present the proposed architecture and recommendations to APC management and IT</w:t>
            </w:r>
          </w:p>
        </w:tc>
        <w:tc>
          <w:tcPr>
            <w:tcW w:w="1618" w:type="dxa"/>
          </w:tcPr>
          <w:p>
            <w:pPr/>
            <w:r>
              <w:t xml:space="preserve">Durvah (Kishore, Sunit)</w:t>
            </w:r>
          </w:p>
        </w:tc>
        <w:tc>
          <w:tcPr>
            <w:tcW w:w="1193" w:type="dxa"/>
          </w:tcPr>
          <w:p>
            <w:pPr/>
            <w:r>
              <w:t xml:space="preserve">30 Oct, 10:00 (tbc)</w:t>
            </w:r>
          </w:p>
        </w:tc>
        <w:tc>
          <w:tcPr>
            <w:tcW w:w="909" w:type="dxa"/>
          </w:tcPr>
          <w:p>
            <w:pPr/>
            <w:r>
              <w:t xml:space="preserve">Open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Ajinomoto Philippines – KPI Reports, Dashboards &amp; IT Integration Requirements</dc:title>
  <dc:description>Claude Docs node/85a2bdae-696d@6 docx-w7</dc:description>
  <cp:revision>6</cp:revision>
</cp:coreProperties>
</file>