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Ajinomoto Philippines – IT Landscape &amp; Integration Requirements</w:t>
      </w:r>
    </w:p>
    <w:p>
      <w:pPr/>
      <w:r>
        <w:t xml:space="preserve">Workshop Session 4, IT and technical integrations · </w:t>
      </w:r>
      <w:r>
        <w:t xml:space="preserve">Oct 29, 2026</w:t>
      </w:r>
      <w:r>
        <w:t xml:space="preserve"> · </w:t>
      </w:r>
      <w:r>
        <w:t xml:space="preserve">@Srini</w:t>
      </w:r>
    </w:p>
    <w:p>
      <w:pPr>
        <w:pStyle w:val="Heading2"/>
      </w:pPr>
      <w:r>
        <w:t xml:space="preserve">1. Workshop context and scope</w:t>
      </w:r>
    </w:p>
    <w:p>
      <w:pPr/>
      <w:r>
        <w:t xml:space="preserve">All of APC's application interfaces run through one middleware, DataSpider, with SAP S/4HANA at the centre. The new procurement platform can therefore plug into the existing hub rather than adding point-to-point links. It should read quality results from WMS rather than integrating with LIMS directly.</w:t>
      </w:r>
    </w:p>
    <w:tbl>
      <w:tblPr>
        <w:tblStyle w:val="TableGrid"/>
        <w:tblW w:w="0" w:type="auto"/>
        <w:tblLayout w:type="fixed"/>
        <w:tblLook w:val="04A0" w:firstRow="1" w:lastRow="0" w:firstColumn="0" w:lastColumn="0" w:noHBand="0" w:noVBand="1"/>
      </w:tblPr>
      <w:tblGrid>
        <w:gridCol w:w="2241"/>
        <w:gridCol w:w="7118"/>
      </w:tblGrid>
      <w:tr>
        <w:trPr>
          <w:tblHeader/>
        </w:trPr>
        <w:tc>
          <w:tcPr>
            <w:tcW w:w="2241" w:type="dxa"/>
            <w:shd w:val="clear" w:color="auto" w:fill="F2F2F2"/>
          </w:tcPr>
          <w:p>
            <w:pPr/>
            <w:r>
              <w:t xml:space="preserve">Item</w:t>
            </w:r>
          </w:p>
        </w:tc>
        <w:tc>
          <w:tcPr>
            <w:tcW w:w="7118" w:type="dxa"/>
            <w:shd w:val="clear" w:color="auto" w:fill="F2F2F2"/>
          </w:tcPr>
          <w:p>
            <w:pPr/>
            <w:r>
              <w:t xml:space="preserve">Detail</w:t>
            </w:r>
          </w:p>
        </w:tc>
      </w:tr>
      <w:tr>
        <w:tc>
          <w:tcPr>
            <w:tcW w:w="2241" w:type="dxa"/>
          </w:tcPr>
          <w:p>
            <w:pPr/>
            <w:r>
              <w:t xml:space="preserve">Client</w:t>
            </w:r>
          </w:p>
        </w:tc>
        <w:tc>
          <w:tcPr>
            <w:tcW w:w="7118" w:type="dxa"/>
          </w:tcPr>
          <w:p>
            <w:pPr/>
            <w:r>
              <w:t xml:space="preserve">Ajinomoto Philippines Corporation (APC), Project Beacon</w:t>
            </w:r>
          </w:p>
        </w:tc>
      </w:tr>
      <w:tr>
        <w:tc>
          <w:tcPr>
            <w:tcW w:w="2241" w:type="dxa"/>
          </w:tcPr>
          <w:p>
            <w:pPr/>
            <w:r>
              <w:t xml:space="preserve">Session</w:t>
            </w:r>
          </w:p>
        </w:tc>
        <w:tc>
          <w:tcPr>
            <w:tcW w:w="7118" w:type="dxa"/>
          </w:tcPr>
          <w:p>
            <w:pPr/>
            <w:r>
              <w:t xml:space="preserve">Workshop Session 4 – IT and technical integrations, 29 Oct 2026 (after the KPI part)</w:t>
            </w:r>
          </w:p>
        </w:tc>
      </w:tr>
      <w:tr>
        <w:tc>
          <w:tcPr>
            <w:tcW w:w="2241" w:type="dxa"/>
          </w:tcPr>
          <w:p>
            <w:pPr/>
            <w:r>
              <w:t xml:space="preserve">Durvah team</w:t>
            </w:r>
          </w:p>
        </w:tc>
        <w:tc>
          <w:tcPr>
            <w:tcW w:w="7118" w:type="dxa"/>
          </w:tcPr>
          <w:p>
            <w:pPr/>
            <w:r>
              <w:t xml:space="preserve">Kishore, Sunit Nighut</w:t>
            </w:r>
          </w:p>
        </w:tc>
      </w:tr>
      <w:tr>
        <w:tc>
          <w:tcPr>
            <w:tcW w:w="2241" w:type="dxa"/>
          </w:tcPr>
          <w:p>
            <w:pPr/>
            <w:r>
              <w:t xml:space="preserve">Ajinomoto</w:t>
            </w:r>
          </w:p>
        </w:tc>
        <w:tc>
          <w:tcPr>
            <w:tcW w:w="7118" w:type="dxa"/>
          </w:tcPr>
          <w:p>
            <w:pPr/>
            <w:r>
              <w:t xml:space="preserve">Chris Ballesteros (Beacon lead), IT (Darylann Malabo, Joannacris Escanilla, Johnleonard Salvadico, Nhorien Tayco), procurement, finance</w:t>
            </w:r>
          </w:p>
        </w:tc>
      </w:tr>
      <w:tr>
        <w:tc>
          <w:tcPr>
            <w:tcW w:w="2241" w:type="dxa"/>
          </w:tcPr>
          <w:p>
            <w:pPr/>
            <w:r>
              <w:t xml:space="preserve">Inputs</w:t>
            </w:r>
          </w:p>
        </w:tc>
        <w:tc>
          <w:tcPr>
            <w:tcW w:w="7118" w:type="dxa"/>
          </w:tcPr>
          <w:p>
            <w:pPr/>
            <w:r>
              <w:t xml:space="preserve">Session transcript and APC's “IT Applications Architecture” diagram</w:t>
            </w:r>
          </w:p>
        </w:tc>
      </w:tr>
      <w:tr>
        <w:tc>
          <w:tcPr>
            <w:tcW w:w="2241" w:type="dxa"/>
          </w:tcPr>
          <w:p>
            <w:pPr/>
            <w:r>
              <w:t xml:space="preserve">Related</w:t>
            </w:r>
          </w:p>
        </w:tc>
        <w:tc>
          <w:tcPr>
            <w:tcW w:w="7118" w:type="dxa"/>
          </w:tcPr>
          <w:p>
            <w:pPr/>
            <w:r>
              <w:t xml:space="preserve">KPI reports and dashboards (same session, separate document); all earlier workshop documents</w:t>
            </w:r>
          </w:p>
        </w:tc>
      </w:tr>
      <w:tr>
        <w:tc>
          <w:tcPr>
            <w:tcW w:w="2241" w:type="dxa"/>
          </w:tcPr>
          <w:p>
            <w:pPr/>
            <w:r>
              <w:t xml:space="preserve">Next</w:t>
            </w:r>
          </w:p>
        </w:tc>
        <w:tc>
          <w:tcPr>
            <w:tcW w:w="7118" w:type="dxa"/>
          </w:tcPr>
          <w:p>
            <w:pPr/>
            <w:r>
              <w:t xml:space="preserve">Durvah presents its consolidated understanding from Day 1 to date on 30 Oct</w:t>
            </w:r>
          </w:p>
        </w:tc>
      </w:tr>
    </w:tbl>
    <w:p>
      <w:pPr>
        <w:pStyle w:val="Heading2"/>
      </w:pPr>
      <w:r>
        <w:t xml:space="preserve">2. Current system landscape</w:t>
      </w:r>
    </w:p>
    <w:p>
      <w:pPr/>
      <w:r>
        <w:t xml:space="preserve">SAP S/4HANA on Azure is the system of record for finance, sales, purchasing and inventory. DataSpider links it to Jedox, Infor WMS and the HTMS sales portal, while Concur, Citi Bank, HR and the sales analytics stack connect to SAP directly.</w:t>
      </w:r>
    </w:p>
    <w:p>
      <w:pPr/>
      <w:r>
        <w:rPr>
          <w:b/>
        </w:rPr>
        <w:t xml:space="preserve">Existing system landscape (APC IT Applications Architecture)</w:t>
      </w:r>
    </w:p>
    <w:p>
      <w:pPr/>
      <w:r>
        <w:drawing>
          <wp:inline distT="0" distB="0" distL="0" distR="0">
            <wp:extent cx="5486400" cy="6257008"/>
            <wp:docPr id="1" name="image1" descr="APC IT Applications Architecture – existing system landscape"/>
            <a:graphic xmlns:a="http://schemas.openxmlformats.org/drawingml/2006/main">
              <a:graphicData uri="http://schemas.openxmlformats.org/drawingml/2006/picture">
                <pic:pic xmlns:pic="http://schemas.openxmlformats.org/drawingml/2006/picture">
                  <pic:nvPicPr>
                    <pic:cNvPr id="1" name="image1" descr="APC IT Applications Architecture – existing system landscape"/>
                    <pic:cNvPicPr/>
                  </pic:nvPicPr>
                  <pic:blipFill>
                    <a:blip r:embed="rId3"/>
                    <a:stretch>
                      <a:fillRect/>
                    </a:stretch>
                  </pic:blipFill>
                  <pic:spPr>
                    <a:xfrm>
                      <a:off x="0" y="0"/>
                      <a:ext cx="5486400" cy="6257008"/>
                    </a:xfrm>
                    <a:prstGeom prst="rect">
                      <a:avLst/>
                    </a:prstGeom>
                  </pic:spPr>
                </pic:pic>
              </a:graphicData>
            </a:graphic>
          </wp:inline>
        </w:drawing>
      </w:r>
    </w:p>
    <w:p>
      <w:pPr/>
      <w:r>
        <w:rPr>
          <w:i/>
        </w:rPr>
        <w:t xml:space="preserve">Source: APC IT, shared during Workshop Session 4, 29 Oct 2026.</w:t>
      </w:r>
    </w:p>
    <w:p>
      <w:pPr/>
      <w:r>
        <w:rPr>
          <w:b/>
        </w:rPr>
        <w:t xml:space="preserve">Annotated view</w:t>
      </w:r>
      <w:r>
        <w:t xml:space="preserve">, the same landscape redrawn with interface purposes and the planned LIMS:</w:t>
      </w:r>
    </w:p>
    <w:p>
      <w:pPr/>
      <w:r>
        <w:drawing>
          <wp:inline distT="0" distB="0" distL="0" distR="0">
            <wp:extent cx="5486400" cy="4384221"/>
            <wp:docPr id="2" name="image2" descr="Current IT applications architecture · redrawn from APC's diagram"/>
            <a:graphic xmlns:a="http://schemas.openxmlformats.org/drawingml/2006/main">
              <a:graphicData uri="http://schemas.openxmlformats.org/drawingml/2006/picture">
                <pic:pic xmlns:pic="http://schemas.openxmlformats.org/drawingml/2006/picture">
                  <pic:nvPicPr>
                    <pic:cNvPr id="2" name="image2" descr="Current IT applications architecture · redrawn from APC's diagram"/>
                    <pic:cNvPicPr/>
                  </pic:nvPicPr>
                  <pic:blipFill>
                    <a:blip r:embed="rId4"/>
                    <a:stretch>
                      <a:fillRect/>
                    </a:stretch>
                  </pic:blipFill>
                  <pic:spPr>
                    <a:xfrm>
                      <a:off x="0" y="0"/>
                      <a:ext cx="5486400" cy="4384221"/>
                    </a:xfrm>
                    <a:prstGeom prst="rect">
                      <a:avLst/>
                    </a:prstGeom>
                  </pic:spPr>
                </pic:pic>
              </a:graphicData>
            </a:graphic>
          </wp:inline>
        </w:drawing>
      </w:r>
    </w:p>
    <w:p>
      <w:pPr/>
      <w:r>
        <w:t xml:space="preserve">Current IT applications architecture · redrawn from APC's diagram</w:t>
      </w:r>
    </w:p>
    <w:p>
      <w:pPr/>
      <w:r>
        <w:t xml:space="preserve">LIMS is not yet live. It will update WMS, and through WMS's existing DataSpider link the results can reach SAP and the new platform.</w:t>
      </w:r>
    </w:p>
    <w:p>
      <w:pPr>
        <w:pStyle w:val="Heading2"/>
      </w:pPr>
      <w:r>
        <w:t xml:space="preserve">3. Current integrations and notes</w:t>
      </w:r>
    </w:p>
    <w:p>
      <w:pPr/>
      <w:r>
        <w:t xml:space="preserve">SAP connects directly to Concur, Citi Bank, ESS HRIS and the sales analytics servers. Every other application reaches SAP through DataSpider.</w:t>
      </w:r>
    </w:p>
    <w:tbl>
      <w:tblPr>
        <w:tblStyle w:val="TableGrid"/>
        <w:tblW w:w="0" w:type="auto"/>
        <w:tblLayout w:type="fixed"/>
        <w:tblLook w:val="04A0" w:firstRow="1" w:lastRow="0" w:firstColumn="0" w:lastColumn="0" w:noHBand="0" w:noVBand="1"/>
      </w:tblPr>
      <w:tblGrid>
        <w:gridCol w:w="720"/>
        <w:gridCol w:w="1864"/>
        <w:gridCol w:w="2048"/>
        <w:gridCol w:w="1586"/>
        <w:gridCol w:w="3142"/>
      </w:tblGrid>
      <w:tr>
        <w:trPr>
          <w:tblHeader/>
        </w:trPr>
        <w:tc>
          <w:tcPr>
            <w:tcW w:w="720" w:type="dxa"/>
            <w:shd w:val="clear" w:color="auto" w:fill="F2F2F2"/>
          </w:tcPr>
          <w:p>
            <w:pPr/>
            <w:r>
              <w:t xml:space="preserve">#</w:t>
            </w:r>
          </w:p>
        </w:tc>
        <w:tc>
          <w:tcPr>
            <w:tcW w:w="1864" w:type="dxa"/>
            <w:shd w:val="clear" w:color="auto" w:fill="F2F2F2"/>
          </w:tcPr>
          <w:p>
            <w:pPr/>
            <w:r>
              <w:t xml:space="preserve">From</w:t>
            </w:r>
          </w:p>
        </w:tc>
        <w:tc>
          <w:tcPr>
            <w:tcW w:w="2048" w:type="dxa"/>
            <w:shd w:val="clear" w:color="auto" w:fill="F2F2F2"/>
          </w:tcPr>
          <w:p>
            <w:pPr/>
            <w:r>
              <w:t xml:space="preserve">To</w:t>
            </w:r>
          </w:p>
        </w:tc>
        <w:tc>
          <w:tcPr>
            <w:tcW w:w="1586" w:type="dxa"/>
            <w:shd w:val="clear" w:color="auto" w:fill="F2F2F2"/>
          </w:tcPr>
          <w:p>
            <w:pPr/>
            <w:r>
              <w:t xml:space="preserve">Route and method</w:t>
            </w:r>
          </w:p>
        </w:tc>
        <w:tc>
          <w:tcPr>
            <w:tcW w:w="3142" w:type="dxa"/>
            <w:shd w:val="clear" w:color="auto" w:fill="F2F2F2"/>
          </w:tcPr>
          <w:p>
            <w:pPr/>
            <w:r>
              <w:t xml:space="preserve">Purpose</w:t>
            </w:r>
          </w:p>
        </w:tc>
      </w:tr>
      <w:tr>
        <w:tc>
          <w:tcPr>
            <w:tcW w:w="720" w:type="dxa"/>
          </w:tcPr>
          <w:p>
            <w:pPr/>
            <w:r>
              <w:t xml:space="preserve">I1</w:t>
            </w:r>
          </w:p>
        </w:tc>
        <w:tc>
          <w:tcPr>
            <w:tcW w:w="1864" w:type="dxa"/>
          </w:tcPr>
          <w:p>
            <w:pPr/>
            <w:r>
              <w:t xml:space="preserve">SAP S/4HANA</w:t>
            </w:r>
          </w:p>
        </w:tc>
        <w:tc>
          <w:tcPr>
            <w:tcW w:w="2048" w:type="dxa"/>
          </w:tcPr>
          <w:p>
            <w:pPr/>
            <w:r>
              <w:t xml:space="preserve">SAP Concur</w:t>
            </w:r>
          </w:p>
        </w:tc>
        <w:tc>
          <w:tcPr>
            <w:tcW w:w="1586" w:type="dxa"/>
          </w:tcPr>
          <w:p>
            <w:pPr/>
            <w:r>
              <w:t xml:space="preserve">Direct, two-way; ABAP batch program posts invoices</w:t>
            </w:r>
          </w:p>
        </w:tc>
        <w:tc>
          <w:tcPr>
            <w:tcW w:w="3142" w:type="dxa"/>
          </w:tcPr>
          <w:p>
            <w:pPr/>
            <w:r>
              <w:t xml:space="preserve">Invoice capture (OCR) and matching in Concur; posting status back to SAP. Payment status not returned</w:t>
            </w:r>
          </w:p>
        </w:tc>
      </w:tr>
      <w:tr>
        <w:tc>
          <w:tcPr>
            <w:tcW w:w="720" w:type="dxa"/>
          </w:tcPr>
          <w:p>
            <w:pPr/>
            <w:r>
              <w:t xml:space="preserve">I2</w:t>
            </w:r>
          </w:p>
        </w:tc>
        <w:tc>
          <w:tcPr>
            <w:tcW w:w="1864" w:type="dxa"/>
          </w:tcPr>
          <w:p>
            <w:pPr/>
            <w:r>
              <w:t xml:space="preserve">SAP S/4HANA</w:t>
            </w:r>
          </w:p>
        </w:tc>
        <w:tc>
          <w:tcPr>
            <w:tcW w:w="2048" w:type="dxa"/>
          </w:tcPr>
          <w:p>
            <w:pPr/>
            <w:r>
              <w:t xml:space="preserve">Citi Bank</w:t>
            </w:r>
          </w:p>
        </w:tc>
        <w:tc>
          <w:tcPr>
            <w:tcW w:w="1586" w:type="dxa"/>
          </w:tcPr>
          <w:p>
            <w:pPr/>
            <w:r>
              <w:t xml:space="preserve">Direct, outbound</w:t>
            </w:r>
          </w:p>
        </w:tc>
        <w:tc>
          <w:tcPr>
            <w:tcW w:w="3142" w:type="dxa"/>
          </w:tcPr>
          <w:p>
            <w:pPr/>
            <w:r>
              <w:t xml:space="preserve">Payments</w:t>
            </w:r>
          </w:p>
        </w:tc>
      </w:tr>
      <w:tr>
        <w:tc>
          <w:tcPr>
            <w:tcW w:w="720" w:type="dxa"/>
          </w:tcPr>
          <w:p>
            <w:pPr/>
            <w:r>
              <w:t xml:space="preserve">I3</w:t>
            </w:r>
          </w:p>
        </w:tc>
        <w:tc>
          <w:tcPr>
            <w:tcW w:w="1864" w:type="dxa"/>
          </w:tcPr>
          <w:p>
            <w:pPr/>
            <w:r>
              <w:t xml:space="preserve">SAP S/4HANA</w:t>
            </w:r>
          </w:p>
        </w:tc>
        <w:tc>
          <w:tcPr>
            <w:tcW w:w="2048" w:type="dxa"/>
          </w:tcPr>
          <w:p>
            <w:pPr/>
            <w:r>
              <w:t xml:space="preserve">ESS HRIS</w:t>
            </w:r>
          </w:p>
        </w:tc>
        <w:tc>
          <w:tcPr>
            <w:tcW w:w="1586" w:type="dxa"/>
          </w:tcPr>
          <w:p>
            <w:pPr/>
            <w:r>
              <w:t xml:space="preserve">Direct, outbound</w:t>
            </w:r>
          </w:p>
        </w:tc>
        <w:tc>
          <w:tcPr>
            <w:tcW w:w="3142" w:type="dxa"/>
          </w:tcPr>
          <w:p>
            <w:pPr/>
            <w:r>
              <w:t xml:space="preserve">HR / employee data</w:t>
            </w:r>
          </w:p>
        </w:tc>
      </w:tr>
      <w:tr>
        <w:tc>
          <w:tcPr>
            <w:tcW w:w="720" w:type="dxa"/>
          </w:tcPr>
          <w:p>
            <w:pPr/>
            <w:r>
              <w:t xml:space="preserve">I4</w:t>
            </w:r>
          </w:p>
        </w:tc>
        <w:tc>
          <w:tcPr>
            <w:tcW w:w="1864" w:type="dxa"/>
          </w:tcPr>
          <w:p>
            <w:pPr/>
            <w:r>
              <w:t xml:space="preserve">SAP S/4HANA</w:t>
            </w:r>
          </w:p>
        </w:tc>
        <w:tc>
          <w:tcPr>
            <w:tcW w:w="2048" w:type="dxa"/>
          </w:tcPr>
          <w:p>
            <w:pPr/>
            <w:r>
              <w:t xml:space="preserve">SLSS and OLAP servers (on-premise)</w:t>
            </w:r>
          </w:p>
        </w:tc>
        <w:tc>
          <w:tcPr>
            <w:tcW w:w="1586" w:type="dxa"/>
          </w:tcPr>
          <w:p>
            <w:pPr/>
            <w:r>
              <w:t xml:space="preserve">CSV extracts</w:t>
            </w:r>
          </w:p>
        </w:tc>
        <w:tc>
          <w:tcPr>
            <w:tcW w:w="3142" w:type="dxa"/>
          </w:tcPr>
          <w:p>
            <w:pPr/>
            <w:r>
              <w:t xml:space="preserve">Sales data for analysis</w:t>
            </w:r>
          </w:p>
        </w:tc>
      </w:tr>
      <w:tr>
        <w:tc>
          <w:tcPr>
            <w:tcW w:w="720" w:type="dxa"/>
          </w:tcPr>
          <w:p>
            <w:pPr/>
            <w:r>
              <w:t xml:space="preserve">I5</w:t>
            </w:r>
          </w:p>
        </w:tc>
        <w:tc>
          <w:tcPr>
            <w:tcW w:w="1864" w:type="dxa"/>
          </w:tcPr>
          <w:p>
            <w:pPr/>
            <w:r>
              <w:t xml:space="preserve">OLAP server</w:t>
            </w:r>
          </w:p>
        </w:tc>
        <w:tc>
          <w:tcPr>
            <w:tcW w:w="2048" w:type="dxa"/>
          </w:tcPr>
          <w:p>
            <w:pPr/>
            <w:r>
              <w:t xml:space="preserve">Azure Blob, then Azure Analysis cube</w:t>
            </w:r>
          </w:p>
        </w:tc>
        <w:tc>
          <w:tcPr>
            <w:tcW w:w="1586" w:type="dxa"/>
          </w:tcPr>
          <w:p>
            <w:pPr/>
            <w:r>
              <w:t xml:space="preserve">File load</w:t>
            </w:r>
          </w:p>
        </w:tc>
        <w:tc>
          <w:tcPr>
            <w:tcW w:w="3142" w:type="dxa"/>
          </w:tcPr>
          <w:p>
            <w:pPr/>
            <w:r>
              <w:t xml:space="preserve">Sales analytics; Excel pivot analysis on user PCs</w:t>
            </w:r>
          </w:p>
        </w:tc>
      </w:tr>
      <w:tr>
        <w:tc>
          <w:tcPr>
            <w:tcW w:w="720" w:type="dxa"/>
          </w:tcPr>
          <w:p>
            <w:pPr/>
            <w:r>
              <w:t xml:space="preserve">I6</w:t>
            </w:r>
          </w:p>
        </w:tc>
        <w:tc>
          <w:tcPr>
            <w:tcW w:w="1864" w:type="dxa"/>
          </w:tcPr>
          <w:p>
            <w:pPr/>
            <w:r>
              <w:t xml:space="preserve">SAP S/4HANA</w:t>
            </w:r>
          </w:p>
        </w:tc>
        <w:tc>
          <w:tcPr>
            <w:tcW w:w="2048" w:type="dxa"/>
          </w:tcPr>
          <w:p>
            <w:pPr/>
            <w:r>
              <w:t xml:space="preserve">Jedox (SaaS: FP&amp;A finance; SCP / SPLD supply planning)</w:t>
            </w:r>
          </w:p>
        </w:tc>
        <w:tc>
          <w:tcPr>
            <w:tcW w:w="1586" w:type="dxa"/>
          </w:tcPr>
          <w:p>
            <w:pPr/>
            <w:r>
              <w:t xml:space="preserve">DataSpider, two-way</w:t>
            </w:r>
          </w:p>
        </w:tc>
        <w:tc>
          <w:tcPr>
            <w:tcW w:w="3142" w:type="dxa"/>
          </w:tcPr>
          <w:p>
            <w:pPr/>
            <w:r>
              <w:t xml:space="preserve">Sales, vendor master and finance data for planning and budgeting</w:t>
            </w:r>
          </w:p>
        </w:tc>
      </w:tr>
      <w:tr>
        <w:tc>
          <w:tcPr>
            <w:tcW w:w="720" w:type="dxa"/>
          </w:tcPr>
          <w:p>
            <w:pPr/>
            <w:r>
              <w:t xml:space="preserve">I7</w:t>
            </w:r>
          </w:p>
        </w:tc>
        <w:tc>
          <w:tcPr>
            <w:tcW w:w="1864" w:type="dxa"/>
          </w:tcPr>
          <w:p>
            <w:pPr/>
            <w:r>
              <w:t xml:space="preserve">SAP S/4HANA</w:t>
            </w:r>
          </w:p>
        </w:tc>
        <w:tc>
          <w:tcPr>
            <w:tcW w:w="2048" w:type="dxa"/>
          </w:tcPr>
          <w:p>
            <w:pPr/>
            <w:r>
              <w:t xml:space="preserve">Infor WMS (SaaS: RM/PM and FG warehouses)</w:t>
            </w:r>
          </w:p>
        </w:tc>
        <w:tc>
          <w:tcPr>
            <w:tcW w:w="1586" w:type="dxa"/>
          </w:tcPr>
          <w:p>
            <w:pPr/>
            <w:r>
              <w:t xml:space="preserve">DataSpider, two-way</w:t>
            </w:r>
          </w:p>
        </w:tc>
        <w:tc>
          <w:tcPr>
            <w:tcW w:w="3142" w:type="dxa"/>
          </w:tcPr>
          <w:p>
            <w:pPr/>
            <w:r>
              <w:t xml:space="preserve">PO to WMS; receipts, transfers, issues and shipments to SAP</w:t>
            </w:r>
          </w:p>
        </w:tc>
      </w:tr>
      <w:tr>
        <w:tc>
          <w:tcPr>
            <w:tcW w:w="720" w:type="dxa"/>
          </w:tcPr>
          <w:p>
            <w:pPr/>
            <w:r>
              <w:t xml:space="preserve">I8</w:t>
            </w:r>
          </w:p>
        </w:tc>
        <w:tc>
          <w:tcPr>
            <w:tcW w:w="1864" w:type="dxa"/>
          </w:tcPr>
          <w:p>
            <w:pPr/>
            <w:r>
              <w:t xml:space="preserve">SAP S/4HANA</w:t>
            </w:r>
          </w:p>
        </w:tc>
        <w:tc>
          <w:tcPr>
            <w:tcW w:w="2048" w:type="dxa"/>
          </w:tcPr>
          <w:p>
            <w:pPr/>
            <w:r>
              <w:t xml:space="preserve">HTMS portal (Azure VM) and handy terminals</w:t>
            </w:r>
          </w:p>
        </w:tc>
        <w:tc>
          <w:tcPr>
            <w:tcW w:w="1586" w:type="dxa"/>
          </w:tcPr>
          <w:p>
            <w:pPr/>
            <w:r>
              <w:t xml:space="preserve">DataSpider, two-way</w:t>
            </w:r>
          </w:p>
        </w:tc>
        <w:tc>
          <w:tcPr>
            <w:tcW w:w="3142" w:type="dxa"/>
          </w:tcPr>
          <w:p>
            <w:pPr/>
            <w:r>
              <w:t xml:space="preserve">Sales terminals (POS-like)</w:t>
            </w:r>
          </w:p>
        </w:tc>
      </w:tr>
      <w:tr>
        <w:tc>
          <w:tcPr>
            <w:tcW w:w="720" w:type="dxa"/>
          </w:tcPr>
          <w:p>
            <w:pPr/>
            <w:r>
              <w:t xml:space="preserve">I9</w:t>
            </w:r>
          </w:p>
        </w:tc>
        <w:tc>
          <w:tcPr>
            <w:tcW w:w="1864" w:type="dxa"/>
          </w:tcPr>
          <w:p>
            <w:pPr/>
            <w:r>
              <w:t xml:space="preserve">Jedox</w:t>
            </w:r>
          </w:p>
        </w:tc>
        <w:tc>
          <w:tcPr>
            <w:tcW w:w="2048" w:type="dxa"/>
          </w:tcPr>
          <w:p>
            <w:pPr/>
            <w:r>
              <w:t xml:space="preserve">Infor WMS</w:t>
            </w:r>
          </w:p>
        </w:tc>
        <w:tc>
          <w:tcPr>
            <w:tcW w:w="1586" w:type="dxa"/>
          </w:tcPr>
          <w:p>
            <w:pPr/>
            <w:r>
              <w:t xml:space="preserve">None (manual)</w:t>
            </w:r>
          </w:p>
        </w:tc>
        <w:tc>
          <w:tcPr>
            <w:tcW w:w="3142" w:type="dxa"/>
          </w:tcPr>
          <w:p>
            <w:pPr/>
            <w:r>
              <w:t xml:space="preserve">Not integrated</w:t>
            </w:r>
          </w:p>
        </w:tc>
      </w:tr>
      <w:tr>
        <w:tc>
          <w:tcPr>
            <w:tcW w:w="720" w:type="dxa"/>
          </w:tcPr>
          <w:p>
            <w:pPr/>
            <w:r>
              <w:t xml:space="preserve">I10</w:t>
            </w:r>
          </w:p>
        </w:tc>
        <w:tc>
          <w:tcPr>
            <w:tcW w:w="1864" w:type="dxa"/>
          </w:tcPr>
          <w:p>
            <w:pPr/>
            <w:r>
              <w:t xml:space="preserve">LIMS (planned)</w:t>
            </w:r>
          </w:p>
        </w:tc>
        <w:tc>
          <w:tcPr>
            <w:tcW w:w="2048" w:type="dxa"/>
          </w:tcPr>
          <w:p>
            <w:pPr/>
            <w:r>
              <w:t xml:space="preserve">Infor WMS</w:t>
            </w:r>
          </w:p>
        </w:tc>
        <w:tc>
          <w:tcPr>
            <w:tcW w:w="1586" w:type="dxa"/>
          </w:tcPr>
          <w:p>
            <w:pPr/>
            <w:r>
              <w:t xml:space="preserve">Planned</w:t>
            </w:r>
          </w:p>
        </w:tc>
        <w:tc>
          <w:tcPr>
            <w:tcW w:w="3142" w:type="dxa"/>
          </w:tcPr>
          <w:p>
            <w:pPr/>
            <w:r>
              <w:t xml:space="preserve">Lab results (pass/fail) to WMS; integration is in the LIMS project scope</w:t>
            </w:r>
          </w:p>
        </w:tc>
      </w:tr>
    </w:tbl>
    <w:p>
      <w:pPr/>
      <w:r>
        <w:rPr>
          <w:b/>
        </w:rPr>
        <w:t xml:space="preserve">Notes from the discussion</w:t>
      </w:r>
    </w:p>
    <w:p>
      <w:pPr>
        <w:pStyle w:val="ListParagraph"/>
        <w:numPr>
          <w:ilvl w:val="0"/>
          <w:numId w:val="2"/>
        </w:numPr>
      </w:pPr>
      <w:r>
        <w:rPr>
          <w:b/>
        </w:rPr>
        <w:t xml:space="preserve">Hosting:</w:t>
      </w:r>
      <w:r>
        <w:t xml:space="preserve"> SAP, DataSpider, the HTMS portal and the Azure analytics run on Azure. Concur, Jedox and Infor are cloud/SaaS. The SLSS and OLAP servers are on-premise.</w:t>
      </w:r>
    </w:p>
    <w:p>
      <w:pPr>
        <w:pStyle w:val="ListParagraph"/>
        <w:numPr>
          <w:ilvl w:val="0"/>
          <w:numId w:val="2"/>
        </w:numPr>
      </w:pPr>
      <w:r>
        <w:rPr>
          <w:b/>
        </w:rPr>
        <w:t xml:space="preserve">API capability:</w:t>
      </w:r>
    </w:p>
    <w:p>
      <w:pPr>
        <w:pStyle w:val="ListParagraph"/>
        <w:numPr>
          <w:ilvl w:val="1"/>
          <w:numId w:val="3"/>
        </w:numPr>
      </w:pPr>
      <w:r>
        <w:t xml:space="preserve">SAP supports REST APIs and file interfaces, though custom APIs may be needed through APC's SAP vendor.</w:t>
      </w:r>
    </w:p>
    <w:p>
      <w:pPr>
        <w:pStyle w:val="ListParagraph"/>
        <w:numPr>
          <w:ilvl w:val="1"/>
          <w:numId w:val="3"/>
        </w:numPr>
      </w:pPr>
      <w:r>
        <w:t xml:space="preserve">Jedox has an existing API connection.</w:t>
      </w:r>
    </w:p>
    <w:p>
      <w:pPr>
        <w:pStyle w:val="ListParagraph"/>
        <w:numPr>
          <w:ilvl w:val="1"/>
          <w:numId w:val="3"/>
        </w:numPr>
      </w:pPr>
      <w:r>
        <w:t xml:space="preserve">Infor WMS is expected to support APIs.</w:t>
      </w:r>
    </w:p>
    <w:p>
      <w:pPr>
        <w:pStyle w:val="ListParagraph"/>
        <w:numPr>
          <w:ilvl w:val="1"/>
          <w:numId w:val="3"/>
        </w:numPr>
      </w:pPr>
      <w:r>
        <w:t xml:space="preserve">LIMS API capability is unknown.</w:t>
      </w:r>
    </w:p>
    <w:p>
      <w:pPr>
        <w:pStyle w:val="ListParagraph"/>
        <w:numPr>
          <w:ilvl w:val="0"/>
          <w:numId w:val="2"/>
        </w:numPr>
      </w:pPr>
      <w:r>
        <w:rPr>
          <w:b/>
        </w:rPr>
        <w:t xml:space="preserve">Support:</w:t>
      </w:r>
      <w:r>
        <w:t xml:space="preserve"> APC IT builds ABAP integrations in-house. Third-party vendors support WMS and other systems.</w:t>
      </w:r>
    </w:p>
    <w:p>
      <w:pPr>
        <w:pStyle w:val="ListParagraph"/>
        <w:numPr>
          <w:ilvl w:val="0"/>
          <w:numId w:val="2"/>
        </w:numPr>
      </w:pPr>
      <w:r>
        <w:rPr>
          <w:b/>
        </w:rPr>
        <w:t xml:space="preserve">LIMS:</w:t>
      </w:r>
      <w:r>
        <w:t xml:space="preserve"> deployment is targeted for April–May next year. APC procurement has asked to join the LIMS project meetings but has not been invited.</w:t>
      </w:r>
    </w:p>
    <w:p>
      <w:pPr>
        <w:pStyle w:val="ListParagraph"/>
        <w:numPr>
          <w:ilvl w:val="0"/>
          <w:numId w:val="2"/>
        </w:numPr>
      </w:pPr>
      <w:r>
        <w:rPr>
          <w:b/>
        </w:rPr>
        <w:t xml:space="preserve">Invoices:</w:t>
      </w:r>
      <w:r>
        <w:t xml:space="preserve"> SAP Concur reads scanned invoices by OCR and matches them to PO and GR, and approved invoices post to SAP by a batch job.</w:t>
      </w:r>
    </w:p>
    <w:p>
      <w:pPr>
        <w:pStyle w:val="ListParagraph"/>
        <w:numPr>
          <w:ilvl w:val="0"/>
          <w:numId w:val="2"/>
        </w:numPr>
      </w:pPr>
      <w:r>
        <w:rPr>
          <w:b/>
        </w:rPr>
        <w:t xml:space="preserve">Analytics:</w:t>
      </w:r>
      <w:r>
        <w:t xml:space="preserve"> Azure analytics covers sales only. Planning has a separate Power BI dashboard.</w:t>
      </w:r>
    </w:p>
    <w:p>
      <w:pPr>
        <w:pStyle w:val="ListParagraph"/>
        <w:numPr>
          <w:ilvl w:val="0"/>
          <w:numId w:val="2"/>
        </w:numPr>
      </w:pPr>
      <w:r>
        <w:rPr>
          <w:b/>
        </w:rPr>
        <w:t xml:space="preserve">Other tools:</w:t>
      </w:r>
    </w:p>
    <w:p>
      <w:pPr>
        <w:pStyle w:val="ListParagraph"/>
        <w:numPr>
          <w:ilvl w:val="1"/>
          <w:numId w:val="4"/>
        </w:numPr>
      </w:pPr>
      <w:r>
        <w:t xml:space="preserve">Zoho Sign was adopted this week for e-signature.</w:t>
      </w:r>
    </w:p>
    <w:p>
      <w:pPr>
        <w:pStyle w:val="ListParagraph"/>
        <w:numPr>
          <w:ilvl w:val="1"/>
          <w:numId w:val="4"/>
        </w:numPr>
      </w:pPr>
      <w:r>
        <w:t xml:space="preserve">There is no CRM; sales is evaluating Salesforce and Zoho, and sales has a customer portal.</w:t>
      </w:r>
    </w:p>
    <w:p>
      <w:pPr>
        <w:pStyle w:val="ListParagraph"/>
        <w:numPr>
          <w:ilvl w:val="1"/>
          <w:numId w:val="4"/>
        </w:numPr>
      </w:pPr>
      <w:r>
        <w:t xml:space="preserve">The only single sign-on today is Microsoft (Outlook); SAP and Zoho are not on SSO.</w:t>
      </w:r>
    </w:p>
    <w:p>
      <w:pPr>
        <w:pStyle w:val="Heading2"/>
      </w:pPr>
      <w:r>
        <w:t xml:space="preserve">4. Pain areas</w:t>
      </w:r>
    </w:p>
    <w:p>
      <w:pPr/>
      <w:r>
        <w:t xml:space="preserve">The landscape is integrated for transactions but not for supplier collaboration or procurement analytics, which still run on email and Excel.</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Pain area</w:t>
            </w:r>
          </w:p>
        </w:tc>
        <w:tc>
          <w:tcPr>
            <w:tcW w:w="3720" w:type="dxa"/>
            <w:shd w:val="clear" w:color="auto" w:fill="F2F2F2"/>
          </w:tcPr>
          <w:p>
            <w:pPr/>
            <w:r>
              <w:t xml:space="preserve">Impact</w:t>
            </w:r>
          </w:p>
        </w:tc>
      </w:tr>
      <w:tr>
        <w:tc>
          <w:tcPr>
            <w:tcW w:w="720" w:type="dxa"/>
          </w:tcPr>
          <w:p>
            <w:pPr/>
            <w:r>
              <w:t xml:space="preserve">P1</w:t>
            </w:r>
          </w:p>
        </w:tc>
        <w:tc>
          <w:tcPr>
            <w:tcW w:w="4920" w:type="dxa"/>
          </w:tcPr>
          <w:p>
            <w:pPr/>
            <w:r>
              <w:t xml:space="preserve">No system for supplier collaboration (onboarding, sourcing, PO acknowledgement, ASN, NCR)</w:t>
            </w:r>
          </w:p>
        </w:tc>
        <w:tc>
          <w:tcPr>
            <w:tcW w:w="3720" w:type="dxa"/>
          </w:tcPr>
          <w:p>
            <w:pPr/>
            <w:r>
              <w:t xml:space="preserve">Email and Excel across all supplier processes</w:t>
            </w:r>
          </w:p>
        </w:tc>
      </w:tr>
      <w:tr>
        <w:tc>
          <w:tcPr>
            <w:tcW w:w="720" w:type="dxa"/>
          </w:tcPr>
          <w:p>
            <w:pPr/>
            <w:r>
              <w:t xml:space="preserve">P2</w:t>
            </w:r>
          </w:p>
        </w:tc>
        <w:tc>
          <w:tcPr>
            <w:tcW w:w="4920" w:type="dxa"/>
          </w:tcPr>
          <w:p>
            <w:pPr/>
            <w:r>
              <w:t xml:space="preserve">Jedox and Infor WMS not integrated</w:t>
            </w:r>
          </w:p>
        </w:tc>
        <w:tc>
          <w:tcPr>
            <w:tcW w:w="3720" w:type="dxa"/>
          </w:tcPr>
          <w:p>
            <w:pPr/>
            <w:r>
              <w:t xml:space="preserve">Planning and warehouse data reconciled by hand</w:t>
            </w:r>
          </w:p>
        </w:tc>
      </w:tr>
      <w:tr>
        <w:tc>
          <w:tcPr>
            <w:tcW w:w="720" w:type="dxa"/>
          </w:tcPr>
          <w:p>
            <w:pPr/>
            <w:r>
              <w:t xml:space="preserve">P3</w:t>
            </w:r>
          </w:p>
        </w:tc>
        <w:tc>
          <w:tcPr>
            <w:tcW w:w="4920" w:type="dxa"/>
          </w:tcPr>
          <w:p>
            <w:pPr/>
            <w:r>
              <w:t xml:space="preserve">Concur returns posting status but not payment status</w:t>
            </w:r>
          </w:p>
        </w:tc>
        <w:tc>
          <w:tcPr>
            <w:tcW w:w="3720" w:type="dxa"/>
          </w:tcPr>
          <w:p>
            <w:pPr/>
            <w:r>
              <w:t xml:space="preserve">Procurement and suppliers cannot see what is paid</w:t>
            </w:r>
          </w:p>
        </w:tc>
      </w:tr>
      <w:tr>
        <w:tc>
          <w:tcPr>
            <w:tcW w:w="720" w:type="dxa"/>
          </w:tcPr>
          <w:p>
            <w:pPr/>
            <w:r>
              <w:t xml:space="preserve">P4</w:t>
            </w:r>
          </w:p>
        </w:tc>
        <w:tc>
          <w:tcPr>
            <w:tcW w:w="4920" w:type="dxa"/>
          </w:tcPr>
          <w:p>
            <w:pPr/>
            <w:r>
              <w:t xml:space="preserve">Analytics stack (SLSS, OLAP, Azure cube) covers sales only; planning uses a separate Power BI</w:t>
            </w:r>
          </w:p>
        </w:tc>
        <w:tc>
          <w:tcPr>
            <w:tcW w:w="3720" w:type="dxa"/>
          </w:tcPr>
          <w:p>
            <w:pPr/>
            <w:r>
              <w:t xml:space="preserve">No procurement analytics; scattered reporting tools</w:t>
            </w:r>
          </w:p>
        </w:tc>
      </w:tr>
      <w:tr>
        <w:tc>
          <w:tcPr>
            <w:tcW w:w="720" w:type="dxa"/>
          </w:tcPr>
          <w:p>
            <w:pPr/>
            <w:r>
              <w:t xml:space="preserve">P5</w:t>
            </w:r>
          </w:p>
        </w:tc>
        <w:tc>
          <w:tcPr>
            <w:tcW w:w="4920" w:type="dxa"/>
          </w:tcPr>
          <w:p>
            <w:pPr/>
            <w:r>
              <w:t xml:space="preserve">LIMS integration design unknown to procurement; procurement not in LIMS meetings</w:t>
            </w:r>
          </w:p>
        </w:tc>
        <w:tc>
          <w:tcPr>
            <w:tcW w:w="3720" w:type="dxa"/>
          </w:tcPr>
          <w:p>
            <w:pPr/>
            <w:r>
              <w:t xml:space="preserve">Risk that quality data cannot reach the new platform in the needed form</w:t>
            </w:r>
          </w:p>
        </w:tc>
      </w:tr>
      <w:tr>
        <w:tc>
          <w:tcPr>
            <w:tcW w:w="720" w:type="dxa"/>
          </w:tcPr>
          <w:p>
            <w:pPr/>
            <w:r>
              <w:t xml:space="preserve">P6</w:t>
            </w:r>
          </w:p>
        </w:tc>
        <w:tc>
          <w:tcPr>
            <w:tcW w:w="4920" w:type="dxa"/>
          </w:tcPr>
          <w:p>
            <w:pPr/>
            <w:r>
              <w:t xml:space="preserve">API readiness of Jedox, WMS and LIMS not confirmed; SAP may need custom APIs</w:t>
            </w:r>
          </w:p>
        </w:tc>
        <w:tc>
          <w:tcPr>
            <w:tcW w:w="3720" w:type="dxa"/>
          </w:tcPr>
          <w:p>
            <w:pPr/>
            <w:r>
              <w:t xml:space="preserve">Integration effort and vendor dependency uncertain</w:t>
            </w:r>
          </w:p>
        </w:tc>
      </w:tr>
      <w:tr>
        <w:tc>
          <w:tcPr>
            <w:tcW w:w="720" w:type="dxa"/>
          </w:tcPr>
          <w:p>
            <w:pPr/>
            <w:r>
              <w:t xml:space="preserve">P7</w:t>
            </w:r>
          </w:p>
        </w:tc>
        <w:tc>
          <w:tcPr>
            <w:tcW w:w="4920" w:type="dxa"/>
          </w:tcPr>
          <w:p>
            <w:pPr/>
            <w:r>
              <w:t xml:space="preserve">Planning system future (Jedox replacement or SAP planning) undecided</w:t>
            </w:r>
          </w:p>
        </w:tc>
        <w:tc>
          <w:tcPr>
            <w:tcW w:w="3720" w:type="dxa"/>
          </w:tcPr>
          <w:p>
            <w:pPr/>
            <w:r>
              <w:t xml:space="preserve">Integration design may have to change</w:t>
            </w:r>
          </w:p>
        </w:tc>
      </w:tr>
      <w:tr>
        <w:tc>
          <w:tcPr>
            <w:tcW w:w="720" w:type="dxa"/>
          </w:tcPr>
          <w:p>
            <w:pPr/>
            <w:r>
              <w:t xml:space="preserve">P8</w:t>
            </w:r>
          </w:p>
        </w:tc>
        <w:tc>
          <w:tcPr>
            <w:tcW w:w="4920" w:type="dxa"/>
          </w:tcPr>
          <w:p>
            <w:pPr/>
            <w:r>
              <w:t xml:space="preserve">No SSO beyond Microsoft</w:t>
            </w:r>
          </w:p>
        </w:tc>
        <w:tc>
          <w:tcPr>
            <w:tcW w:w="3720" w:type="dxa"/>
          </w:tcPr>
          <w:p>
            <w:pPr/>
            <w:r>
              <w:t xml:space="preserve">Separate logins; weaker access control</w:t>
            </w:r>
          </w:p>
        </w:tc>
      </w:tr>
    </w:tbl>
    <w:p>
      <w:pPr>
        <w:pStyle w:val="Heading2"/>
      </w:pPr>
      <w:r>
        <w:t xml:space="preserve">5. To-be target architecture</w:t>
      </w:r>
    </w:p>
    <w:p>
      <w:pPr/>
      <w:r>
        <w:t xml:space="preserve">The proposed design adds the procurement platform as one more system on the DataSpider hub, so there are no new point-to-point links.</w:t>
      </w:r>
    </w:p>
    <w:p>
      <w:pPr/>
      <w:r>
        <w:drawing>
          <wp:inline distT="0" distB="0" distL="0" distR="0">
            <wp:extent cx="5486400" cy="4098471"/>
            <wp:docPr id="3" name="image3" descr="Proposed target architecture · platform on the DataSpider hub"/>
            <a:graphic xmlns:a="http://schemas.openxmlformats.org/drawingml/2006/main">
              <a:graphicData uri="http://schemas.openxmlformats.org/drawingml/2006/picture">
                <pic:pic xmlns:pic="http://schemas.openxmlformats.org/drawingml/2006/picture">
                  <pic:nvPicPr>
                    <pic:cNvPr id="3" name="image3" descr="Proposed target architecture · platform on the DataSpider hub"/>
                    <pic:cNvPicPr/>
                  </pic:nvPicPr>
                  <pic:blipFill>
                    <a:blip r:embed="rId5"/>
                    <a:stretch>
                      <a:fillRect/>
                    </a:stretch>
                  </pic:blipFill>
                  <pic:spPr>
                    <a:xfrm>
                      <a:off x="0" y="0"/>
                      <a:ext cx="5486400" cy="4098471"/>
                    </a:xfrm>
                    <a:prstGeom prst="rect">
                      <a:avLst/>
                    </a:prstGeom>
                  </pic:spPr>
                </pic:pic>
              </a:graphicData>
            </a:graphic>
          </wp:inline>
        </w:drawing>
      </w:r>
    </w:p>
    <w:p>
      <w:pPr/>
      <w:r>
        <w:t xml:space="preserve">Proposed target architecture · platform on the DataSpider hub</w:t>
      </w:r>
    </w:p>
    <w:p>
      <w:pPr/>
      <w:r>
        <w:t xml:space="preserve">What changes:</w:t>
      </w:r>
    </w:p>
    <w:p>
      <w:pPr>
        <w:pStyle w:val="ListParagraph"/>
        <w:numPr>
          <w:ilvl w:val="0"/>
          <w:numId w:val="5"/>
        </w:numPr>
      </w:pPr>
      <w:r>
        <w:rPr>
          <w:b/>
        </w:rPr>
        <w:t xml:space="preserve">Users:</w:t>
      </w:r>
      <w:r>
        <w:t xml:space="preserve"> internal users sign in through Microsoft SSO, and suppliers log in to the portal at no cost to them.</w:t>
      </w:r>
    </w:p>
    <w:p>
      <w:pPr>
        <w:pStyle w:val="ListParagraph"/>
        <w:numPr>
          <w:ilvl w:val="0"/>
          <w:numId w:val="5"/>
        </w:numPr>
      </w:pPr>
      <w:r>
        <w:rPr>
          <w:b/>
        </w:rPr>
        <w:t xml:space="preserve">SAP:</w:t>
      </w:r>
      <w:r>
        <w:t xml:space="preserve"> stays the record for masters, PO, GR, returns, invoice posting and payments.</w:t>
      </w:r>
    </w:p>
    <w:p>
      <w:pPr>
        <w:pStyle w:val="ListParagraph"/>
        <w:numPr>
          <w:ilvl w:val="0"/>
          <w:numId w:val="5"/>
        </w:numPr>
      </w:pPr>
      <w:r>
        <w:rPr>
          <w:b/>
        </w:rPr>
        <w:t xml:space="preserve">WMS:</w:t>
      </w:r>
      <w:r>
        <w:t xml:space="preserve"> receives supplier ASNs and returns receipt, inspection and LIMS results, so the platform needs no direct LIMS link.</w:t>
      </w:r>
    </w:p>
    <w:p>
      <w:pPr>
        <w:pStyle w:val="ListParagraph"/>
        <w:numPr>
          <w:ilvl w:val="0"/>
          <w:numId w:val="5"/>
        </w:numPr>
      </w:pPr>
      <w:r>
        <w:rPr>
          <w:b/>
        </w:rPr>
        <w:t xml:space="preserve">Planning:</w:t>
      </w:r>
      <w:r>
        <w:t xml:space="preserve"> the planning engine (Jedox or SAP, still to be decided) exchanges forecasts, required dates and commitments.</w:t>
      </w:r>
    </w:p>
    <w:p>
      <w:pPr>
        <w:pStyle w:val="ListParagraph"/>
        <w:numPr>
          <w:ilvl w:val="0"/>
          <w:numId w:val="5"/>
        </w:numPr>
      </w:pPr>
      <w:r>
        <w:rPr>
          <w:b/>
        </w:rPr>
        <w:t xml:space="preserve">Still open:</w:t>
      </w:r>
      <w:r>
        <w:t xml:space="preserve"> Concur either stays and is integrated, or is replaced by platform invoicing. PO creation can sit in SAP or the platform (see section 7).</w:t>
      </w:r>
    </w:p>
    <w:p>
      <w:pPr>
        <w:pStyle w:val="Heading2"/>
      </w:pPr>
      <w:r>
        <w:t xml:space="preserve">6. Integration and technical requirements</w:t>
      </w:r>
    </w:p>
    <w:p>
      <w:pPr/>
      <w:r>
        <w:t xml:space="preserve">Fourteen technical requirements came out of this part of the session. Field mapping, validations and touch points will be detailed during implementation. Priorities are Durvah's proposal for Ajinomoto to confirm.</w:t>
      </w:r>
    </w:p>
    <w:tbl>
      <w:tblPr>
        <w:tblStyle w:val="TableGrid"/>
        <w:tblW w:w="0" w:type="auto"/>
        <w:tblLayout w:type="fixed"/>
        <w:tblLook w:val="04A0" w:firstRow="1" w:lastRow="0" w:firstColumn="0" w:lastColumn="0" w:noHBand="0" w:noVBand="1"/>
      </w:tblPr>
      <w:tblGrid>
        <w:gridCol w:w="790"/>
        <w:gridCol w:w="2346"/>
        <w:gridCol w:w="4920"/>
        <w:gridCol w:w="1304"/>
      </w:tblGrid>
      <w:tr>
        <w:trPr>
          <w:tblHeader/>
        </w:trPr>
        <w:tc>
          <w:tcPr>
            <w:tcW w:w="790" w:type="dxa"/>
            <w:shd w:val="clear" w:color="auto" w:fill="F2F2F2"/>
          </w:tcPr>
          <w:p>
            <w:pPr/>
            <w:r>
              <w:t xml:space="preserve">ID</w:t>
            </w:r>
          </w:p>
        </w:tc>
        <w:tc>
          <w:tcPr>
            <w:tcW w:w="2346" w:type="dxa"/>
            <w:shd w:val="clear" w:color="auto" w:fill="F2F2F2"/>
          </w:tcPr>
          <w:p>
            <w:pPr/>
            <w:r>
              <w:t xml:space="preserve">Area</w:t>
            </w:r>
          </w:p>
        </w:tc>
        <w:tc>
          <w:tcPr>
            <w:tcW w:w="4920" w:type="dxa"/>
            <w:shd w:val="clear" w:color="auto" w:fill="F2F2F2"/>
          </w:tcPr>
          <w:p>
            <w:pPr/>
            <w:r>
              <w:t xml:space="preserve">Requirement</w:t>
            </w:r>
          </w:p>
        </w:tc>
        <w:tc>
          <w:tcPr>
            <w:tcW w:w="1304" w:type="dxa"/>
            <w:shd w:val="clear" w:color="auto" w:fill="F2F2F2"/>
          </w:tcPr>
          <w:p>
            <w:pPr/>
            <w:r>
              <w:t xml:space="preserve">Priority</w:t>
            </w:r>
          </w:p>
        </w:tc>
      </w:tr>
      <w:tr>
        <w:tc>
          <w:tcPr>
            <w:tcW w:w="790" w:type="dxa"/>
          </w:tcPr>
          <w:p>
            <w:pPr/>
            <w:r>
              <w:t xml:space="preserve">IT-01</w:t>
            </w:r>
          </w:p>
        </w:tc>
        <w:tc>
          <w:tcPr>
            <w:tcW w:w="2346" w:type="dxa"/>
          </w:tcPr>
          <w:p>
            <w:pPr/>
            <w:r>
              <w:t xml:space="preserve">Middleware</w:t>
            </w:r>
          </w:p>
        </w:tc>
        <w:tc>
          <w:tcPr>
            <w:tcW w:w="4920" w:type="dxa"/>
          </w:tcPr>
          <w:p>
            <w:pPr/>
            <w:r>
              <w:t xml:space="preserve">All platform–SAP–WMS–planning interfaces run through DataSpider using REST APIs or file transfer</w:t>
            </w:r>
          </w:p>
        </w:tc>
        <w:tc>
          <w:tcPr>
            <w:tcW w:w="1304" w:type="dxa"/>
          </w:tcPr>
          <w:p>
            <w:pPr/>
            <w:r>
              <w:t xml:space="preserve">Must</w:t>
            </w:r>
          </w:p>
        </w:tc>
      </w:tr>
      <w:tr>
        <w:tc>
          <w:tcPr>
            <w:tcW w:w="790" w:type="dxa"/>
          </w:tcPr>
          <w:p>
            <w:pPr/>
            <w:r>
              <w:t xml:space="preserve">IT-02</w:t>
            </w:r>
          </w:p>
        </w:tc>
        <w:tc>
          <w:tcPr>
            <w:tcW w:w="2346" w:type="dxa"/>
          </w:tcPr>
          <w:p>
            <w:pPr/>
            <w:r>
              <w:t xml:space="preserve">SAP master data</w:t>
            </w:r>
          </w:p>
        </w:tc>
        <w:tc>
          <w:tcPr>
            <w:tcW w:w="4920" w:type="dxa"/>
          </w:tcPr>
          <w:p>
            <w:pPr/>
            <w:r>
              <w:t xml:space="preserve">Vendor master create/change/block out to SAP; material, plant and payment-terms masters in from SAP</w:t>
            </w:r>
          </w:p>
        </w:tc>
        <w:tc>
          <w:tcPr>
            <w:tcW w:w="1304" w:type="dxa"/>
          </w:tcPr>
          <w:p>
            <w:pPr/>
            <w:r>
              <w:t xml:space="preserve">Must</w:t>
            </w:r>
          </w:p>
        </w:tc>
      </w:tr>
      <w:tr>
        <w:tc>
          <w:tcPr>
            <w:tcW w:w="790" w:type="dxa"/>
          </w:tcPr>
          <w:p>
            <w:pPr/>
            <w:r>
              <w:t xml:space="preserve">IT-03</w:t>
            </w:r>
          </w:p>
        </w:tc>
        <w:tc>
          <w:tcPr>
            <w:tcW w:w="2346" w:type="dxa"/>
          </w:tcPr>
          <w:p>
            <w:pPr/>
            <w:r>
              <w:t xml:space="preserve">SAP PR and PO</w:t>
            </w:r>
          </w:p>
        </w:tc>
        <w:tc>
          <w:tcPr>
            <w:tcW w:w="4920" w:type="dxa"/>
          </w:tcPr>
          <w:p>
            <w:pPr/>
            <w:r>
              <w:t xml:space="preserve">PRs in from SAP (or the planning engine); POs created in SAP or the platform (decision pending) and synced both ways, including change orders and schedule lines</w:t>
            </w:r>
          </w:p>
        </w:tc>
        <w:tc>
          <w:tcPr>
            <w:tcW w:w="1304" w:type="dxa"/>
          </w:tcPr>
          <w:p>
            <w:pPr/>
            <w:r>
              <w:t xml:space="preserve">Must</w:t>
            </w:r>
          </w:p>
        </w:tc>
      </w:tr>
      <w:tr>
        <w:tc>
          <w:tcPr>
            <w:tcW w:w="790" w:type="dxa"/>
          </w:tcPr>
          <w:p>
            <w:pPr/>
            <w:r>
              <w:t xml:space="preserve">IT-04</w:t>
            </w:r>
          </w:p>
        </w:tc>
        <w:tc>
          <w:tcPr>
            <w:tcW w:w="2346" w:type="dxa"/>
          </w:tcPr>
          <w:p>
            <w:pPr/>
            <w:r>
              <w:t xml:space="preserve">Agreements</w:t>
            </w:r>
          </w:p>
        </w:tc>
        <w:tc>
          <w:tcPr>
            <w:tcW w:w="4920" w:type="dxa"/>
          </w:tcPr>
          <w:p>
            <w:pPr/>
            <w:r>
              <w:t xml:space="preserve">Price agreements / outline agreements out to SAP</w:t>
            </w:r>
          </w:p>
        </w:tc>
        <w:tc>
          <w:tcPr>
            <w:tcW w:w="1304" w:type="dxa"/>
          </w:tcPr>
          <w:p>
            <w:pPr/>
            <w:r>
              <w:t xml:space="preserve">Must</w:t>
            </w:r>
          </w:p>
        </w:tc>
      </w:tr>
      <w:tr>
        <w:tc>
          <w:tcPr>
            <w:tcW w:w="790" w:type="dxa"/>
          </w:tcPr>
          <w:p>
            <w:pPr/>
            <w:r>
              <w:t xml:space="preserve">IT-05</w:t>
            </w:r>
          </w:p>
        </w:tc>
        <w:tc>
          <w:tcPr>
            <w:tcW w:w="2346" w:type="dxa"/>
          </w:tcPr>
          <w:p>
            <w:pPr/>
            <w:r>
              <w:t xml:space="preserve">Goods receipt and returns</w:t>
            </w:r>
          </w:p>
        </w:tc>
        <w:tc>
          <w:tcPr>
            <w:tcW w:w="4920" w:type="dxa"/>
          </w:tcPr>
          <w:p>
            <w:pPr/>
            <w:r>
              <w:t xml:space="preserve">GR, returns against PO and GR, and stock status in from SAP or WMS per PO line</w:t>
            </w:r>
          </w:p>
        </w:tc>
        <w:tc>
          <w:tcPr>
            <w:tcW w:w="1304" w:type="dxa"/>
          </w:tcPr>
          <w:p>
            <w:pPr/>
            <w:r>
              <w:t xml:space="preserve">Must</w:t>
            </w:r>
          </w:p>
        </w:tc>
      </w:tr>
      <w:tr>
        <w:tc>
          <w:tcPr>
            <w:tcW w:w="790" w:type="dxa"/>
          </w:tcPr>
          <w:p>
            <w:pPr/>
            <w:r>
              <w:t xml:space="preserve">IT-06</w:t>
            </w:r>
          </w:p>
        </w:tc>
        <w:tc>
          <w:tcPr>
            <w:tcW w:w="2346" w:type="dxa"/>
          </w:tcPr>
          <w:p>
            <w:pPr/>
            <w:r>
              <w:t xml:space="preserve">WMS ASN</w:t>
            </w:r>
          </w:p>
        </w:tc>
        <w:tc>
          <w:tcPr>
            <w:tcW w:w="4920" w:type="dxa"/>
          </w:tcPr>
          <w:p>
            <w:pPr/>
            <w:r>
              <w:t xml:space="preserve">Supplier ASN out to Infor WMS via DataSpider; receipt and inspection results back</w:t>
            </w:r>
          </w:p>
        </w:tc>
        <w:tc>
          <w:tcPr>
            <w:tcW w:w="1304" w:type="dxa"/>
          </w:tcPr>
          <w:p>
            <w:pPr/>
            <w:r>
              <w:t xml:space="preserve">Must</w:t>
            </w:r>
          </w:p>
        </w:tc>
      </w:tr>
      <w:tr>
        <w:tc>
          <w:tcPr>
            <w:tcW w:w="790" w:type="dxa"/>
          </w:tcPr>
          <w:p>
            <w:pPr/>
            <w:r>
              <w:t xml:space="preserve">IT-07</w:t>
            </w:r>
          </w:p>
        </w:tc>
        <w:tc>
          <w:tcPr>
            <w:tcW w:w="2346" w:type="dxa"/>
          </w:tcPr>
          <w:p>
            <w:pPr/>
            <w:r>
              <w:t xml:space="preserve">Quality results</w:t>
            </w:r>
          </w:p>
        </w:tc>
        <w:tc>
          <w:tcPr>
            <w:tcW w:w="4920" w:type="dxa"/>
          </w:tcPr>
          <w:p>
            <w:pPr/>
            <w:r>
              <w:t xml:space="preserve">LIMS pass/fail and COA references obtained through WMS, not by a direct LIMS interface</w:t>
            </w:r>
          </w:p>
        </w:tc>
        <w:tc>
          <w:tcPr>
            <w:tcW w:w="1304" w:type="dxa"/>
          </w:tcPr>
          <w:p>
            <w:pPr/>
            <w:r>
              <w:t xml:space="preserve">Must</w:t>
            </w:r>
          </w:p>
        </w:tc>
      </w:tr>
      <w:tr>
        <w:tc>
          <w:tcPr>
            <w:tcW w:w="790" w:type="dxa"/>
          </w:tcPr>
          <w:p>
            <w:pPr/>
            <w:r>
              <w:t xml:space="preserve">IT-08</w:t>
            </w:r>
          </w:p>
        </w:tc>
        <w:tc>
          <w:tcPr>
            <w:tcW w:w="2346" w:type="dxa"/>
          </w:tcPr>
          <w:p>
            <w:pPr/>
            <w:r>
              <w:t xml:space="preserve">Planning</w:t>
            </w:r>
          </w:p>
        </w:tc>
        <w:tc>
          <w:tcPr>
            <w:tcW w:w="4920" w:type="dxa"/>
          </w:tcPr>
          <w:p>
            <w:pPr/>
            <w:r>
              <w:t xml:space="preserve">Forecast and required dates in from the planning system (Jedox or SAP); supplier commitments out</w:t>
            </w:r>
          </w:p>
        </w:tc>
        <w:tc>
          <w:tcPr>
            <w:tcW w:w="1304" w:type="dxa"/>
          </w:tcPr>
          <w:p>
            <w:pPr/>
            <w:r>
              <w:t xml:space="preserve">Must</w:t>
            </w:r>
          </w:p>
        </w:tc>
      </w:tr>
      <w:tr>
        <w:tc>
          <w:tcPr>
            <w:tcW w:w="790" w:type="dxa"/>
          </w:tcPr>
          <w:p>
            <w:pPr/>
            <w:r>
              <w:t xml:space="preserve">IT-09</w:t>
            </w:r>
          </w:p>
        </w:tc>
        <w:tc>
          <w:tcPr>
            <w:tcW w:w="2346" w:type="dxa"/>
          </w:tcPr>
          <w:p>
            <w:pPr/>
            <w:r>
              <w:t xml:space="preserve">Invoicing</w:t>
            </w:r>
          </w:p>
        </w:tc>
        <w:tc>
          <w:tcPr>
            <w:tcW w:w="4920" w:type="dxa"/>
          </w:tcPr>
          <w:p>
            <w:pPr/>
            <w:r>
              <w:t xml:space="preserve">Either replace Concur with platform invoicing (OCR, two- and three-way match, posting to SAP) or integrate Concur status into the platform; payment status from SAP</w:t>
            </w:r>
          </w:p>
        </w:tc>
        <w:tc>
          <w:tcPr>
            <w:tcW w:w="1304" w:type="dxa"/>
          </w:tcPr>
          <w:p>
            <w:pPr/>
            <w:r>
              <w:t xml:space="preserve">Must – option to decide</w:t>
            </w:r>
          </w:p>
        </w:tc>
      </w:tr>
      <w:tr>
        <w:tc>
          <w:tcPr>
            <w:tcW w:w="790" w:type="dxa"/>
          </w:tcPr>
          <w:p>
            <w:pPr/>
            <w:r>
              <w:t xml:space="preserve">IT-10</w:t>
            </w:r>
          </w:p>
        </w:tc>
        <w:tc>
          <w:tcPr>
            <w:tcW w:w="2346" w:type="dxa"/>
          </w:tcPr>
          <w:p>
            <w:pPr/>
            <w:r>
              <w:t xml:space="preserve">Single sign-on</w:t>
            </w:r>
          </w:p>
        </w:tc>
        <w:tc>
          <w:tcPr>
            <w:tcW w:w="4920" w:type="dxa"/>
          </w:tcPr>
          <w:p>
            <w:pPr/>
            <w:r>
              <w:t xml:space="preserve">Internal users sign in with Microsoft (Entra ID) SSO; suppliers use portal credentials with strong authentication</w:t>
            </w:r>
          </w:p>
        </w:tc>
        <w:tc>
          <w:tcPr>
            <w:tcW w:w="1304" w:type="dxa"/>
          </w:tcPr>
          <w:p>
            <w:pPr/>
            <w:r>
              <w:t xml:space="preserve">Must</w:t>
            </w:r>
          </w:p>
        </w:tc>
      </w:tr>
      <w:tr>
        <w:tc>
          <w:tcPr>
            <w:tcW w:w="790" w:type="dxa"/>
          </w:tcPr>
          <w:p>
            <w:pPr/>
            <w:r>
              <w:t xml:space="preserve">IT-11</w:t>
            </w:r>
          </w:p>
        </w:tc>
        <w:tc>
          <w:tcPr>
            <w:tcW w:w="2346" w:type="dxa"/>
          </w:tcPr>
          <w:p>
            <w:pPr/>
            <w:r>
              <w:t xml:space="preserve">E-signature</w:t>
            </w:r>
          </w:p>
        </w:tc>
        <w:tc>
          <w:tcPr>
            <w:tcW w:w="4920" w:type="dxa"/>
          </w:tcPr>
          <w:p>
            <w:pPr/>
            <w:r>
              <w:t xml:space="preserve">Integrate Zoho Sign (or native e-signature) with audit trail</w:t>
            </w:r>
          </w:p>
        </w:tc>
        <w:tc>
          <w:tcPr>
            <w:tcW w:w="1304" w:type="dxa"/>
          </w:tcPr>
          <w:p>
            <w:pPr/>
            <w:r>
              <w:t xml:space="preserve">Should</w:t>
            </w:r>
          </w:p>
        </w:tc>
      </w:tr>
      <w:tr>
        <w:tc>
          <w:tcPr>
            <w:tcW w:w="790" w:type="dxa"/>
          </w:tcPr>
          <w:p>
            <w:pPr/>
            <w:r>
              <w:t xml:space="preserve">IT-12</w:t>
            </w:r>
          </w:p>
        </w:tc>
        <w:tc>
          <w:tcPr>
            <w:tcW w:w="2346" w:type="dxa"/>
          </w:tcPr>
          <w:p>
            <w:pPr/>
            <w:r>
              <w:t xml:space="preserve">Analytics export</w:t>
            </w:r>
          </w:p>
        </w:tc>
        <w:tc>
          <w:tcPr>
            <w:tcW w:w="4920" w:type="dxa"/>
          </w:tcPr>
          <w:p>
            <w:pPr/>
            <w:r>
              <w:t xml:space="preserve">Data available to Power BI and Excel; optional feed to the Azure analytics stack</w:t>
            </w:r>
          </w:p>
        </w:tc>
        <w:tc>
          <w:tcPr>
            <w:tcW w:w="1304" w:type="dxa"/>
          </w:tcPr>
          <w:p>
            <w:pPr/>
            <w:r>
              <w:t xml:space="preserve">Should</w:t>
            </w:r>
          </w:p>
        </w:tc>
      </w:tr>
      <w:tr>
        <w:tc>
          <w:tcPr>
            <w:tcW w:w="790" w:type="dxa"/>
          </w:tcPr>
          <w:p>
            <w:pPr/>
            <w:r>
              <w:t xml:space="preserve">IT-13</w:t>
            </w:r>
          </w:p>
        </w:tc>
        <w:tc>
          <w:tcPr>
            <w:tcW w:w="2346" w:type="dxa"/>
          </w:tcPr>
          <w:p>
            <w:pPr/>
            <w:r>
              <w:t xml:space="preserve">Hosting and data</w:t>
            </w:r>
          </w:p>
        </w:tc>
        <w:tc>
          <w:tcPr>
            <w:tcW w:w="4920" w:type="dxa"/>
          </w:tcPr>
          <w:p>
            <w:pPr/>
            <w:r>
              <w:t xml:space="preserve">Cloud SaaS acceptable; APC data stored in agreed regions; AI features controlled by APC</w:t>
            </w:r>
          </w:p>
        </w:tc>
        <w:tc>
          <w:tcPr>
            <w:tcW w:w="1304" w:type="dxa"/>
          </w:tcPr>
          <w:p>
            <w:pPr/>
            <w:r>
              <w:t xml:space="preserve">Must</w:t>
            </w:r>
          </w:p>
        </w:tc>
      </w:tr>
      <w:tr>
        <w:tc>
          <w:tcPr>
            <w:tcW w:w="790" w:type="dxa"/>
          </w:tcPr>
          <w:p>
            <w:pPr/>
            <w:r>
              <w:t xml:space="preserve">IT-14</w:t>
            </w:r>
          </w:p>
        </w:tc>
        <w:tc>
          <w:tcPr>
            <w:tcW w:w="2346" w:type="dxa"/>
          </w:tcPr>
          <w:p>
            <w:pPr/>
            <w:r>
              <w:t xml:space="preserve">ESG data</w:t>
            </w:r>
          </w:p>
        </w:tc>
        <w:tc>
          <w:tcPr>
            <w:tcW w:w="4920" w:type="dxa"/>
          </w:tcPr>
          <w:p>
            <w:pPr/>
            <w:r>
              <w:t xml:space="preserve">Supplier ESG questionnaires in the portal; external ESG data feeds optional, given limited coverage of local suppliers</w:t>
            </w:r>
          </w:p>
        </w:tc>
        <w:tc>
          <w:tcPr>
            <w:tcW w:w="1304" w:type="dxa"/>
          </w:tcPr>
          <w:p>
            <w:pPr/>
            <w:r>
              <w:t xml:space="preserve">Could</w:t>
            </w:r>
          </w:p>
        </w:tc>
      </w:tr>
    </w:tbl>
    <w:p>
      <w:pPr>
        <w:pStyle w:val="Heading2"/>
      </w:pPr>
      <w:r>
        <w:t xml:space="preserve">7. Design decisions</w:t>
      </w:r>
    </w:p>
    <w:tbl>
      <w:tblPr>
        <w:tblStyle w:val="TableGrid"/>
        <w:tblW w:w="0" w:type="auto"/>
        <w:tblLayout w:type="fixed"/>
        <w:tblLook w:val="04A0" w:firstRow="1" w:lastRow="0" w:firstColumn="0" w:lastColumn="0" w:noHBand="0" w:noVBand="1"/>
      </w:tblPr>
      <w:tblGrid>
        <w:gridCol w:w="720"/>
        <w:gridCol w:w="2300"/>
        <w:gridCol w:w="2215"/>
        <w:gridCol w:w="4125"/>
      </w:tblGrid>
      <w:tr>
        <w:trPr>
          <w:tblHeader/>
        </w:trPr>
        <w:tc>
          <w:tcPr>
            <w:tcW w:w="720" w:type="dxa"/>
            <w:shd w:val="clear" w:color="auto" w:fill="F2F2F2"/>
          </w:tcPr>
          <w:p>
            <w:pPr/>
            <w:r>
              <w:t xml:space="preserve">#</w:t>
            </w:r>
          </w:p>
        </w:tc>
        <w:tc>
          <w:tcPr>
            <w:tcW w:w="2300" w:type="dxa"/>
            <w:shd w:val="clear" w:color="auto" w:fill="F2F2F2"/>
          </w:tcPr>
          <w:p>
            <w:pPr/>
            <w:r>
              <w:t xml:space="preserve">Topic</w:t>
            </w:r>
          </w:p>
        </w:tc>
        <w:tc>
          <w:tcPr>
            <w:tcW w:w="2215" w:type="dxa"/>
            <w:shd w:val="clear" w:color="auto" w:fill="F2F2F2"/>
          </w:tcPr>
          <w:p>
            <w:pPr/>
            <w:r>
              <w:t xml:space="preserve">Status</w:t>
            </w:r>
          </w:p>
        </w:tc>
        <w:tc>
          <w:tcPr>
            <w:tcW w:w="4125" w:type="dxa"/>
            <w:shd w:val="clear" w:color="auto" w:fill="F2F2F2"/>
          </w:tcPr>
          <w:p>
            <w:pPr/>
            <w:r>
              <w:t xml:space="preserve">Decision or options</w:t>
            </w:r>
          </w:p>
        </w:tc>
      </w:tr>
      <w:tr>
        <w:tc>
          <w:tcPr>
            <w:tcW w:w="720" w:type="dxa"/>
          </w:tcPr>
          <w:p>
            <w:pPr/>
            <w:r>
              <w:t xml:space="preserve">D1</w:t>
            </w:r>
          </w:p>
        </w:tc>
        <w:tc>
          <w:tcPr>
            <w:tcW w:w="2300" w:type="dxa"/>
          </w:tcPr>
          <w:p>
            <w:pPr/>
            <w:r>
              <w:t xml:space="preserve">Integration route</w:t>
            </w:r>
          </w:p>
        </w:tc>
        <w:tc>
          <w:tcPr>
            <w:tcW w:w="2215" w:type="dxa"/>
          </w:tcPr>
          <w:p>
            <w:pPr/>
            <w:r>
              <w:t xml:space="preserve">Agreed in principle</w:t>
            </w:r>
          </w:p>
        </w:tc>
        <w:tc>
          <w:tcPr>
            <w:tcW w:w="4125" w:type="dxa"/>
          </w:tcPr>
          <w:p>
            <w:pPr/>
            <w:r>
              <w:t xml:space="preserve">Use DataSpider for all new interfaces; fewer applications and links</w:t>
            </w:r>
          </w:p>
        </w:tc>
      </w:tr>
      <w:tr>
        <w:tc>
          <w:tcPr>
            <w:tcW w:w="720" w:type="dxa"/>
          </w:tcPr>
          <w:p>
            <w:pPr/>
            <w:r>
              <w:t xml:space="preserve">D2</w:t>
            </w:r>
          </w:p>
        </w:tc>
        <w:tc>
          <w:tcPr>
            <w:tcW w:w="2300" w:type="dxa"/>
          </w:tcPr>
          <w:p>
            <w:pPr/>
            <w:r>
              <w:t xml:space="preserve">LIMS data</w:t>
            </w:r>
          </w:p>
        </w:tc>
        <w:tc>
          <w:tcPr>
            <w:tcW w:w="2215" w:type="dxa"/>
          </w:tcPr>
          <w:p>
            <w:pPr/>
            <w:r>
              <w:t xml:space="preserve">Agreed in principle</w:t>
            </w:r>
          </w:p>
        </w:tc>
        <w:tc>
          <w:tcPr>
            <w:tcW w:w="4125" w:type="dxa"/>
          </w:tcPr>
          <w:p>
            <w:pPr/>
            <w:r>
              <w:t xml:space="preserve">Take lab results from WMS, which LIMS will update; no direct platform–LIMS link</w:t>
            </w:r>
          </w:p>
        </w:tc>
      </w:tr>
      <w:tr>
        <w:tc>
          <w:tcPr>
            <w:tcW w:w="720" w:type="dxa"/>
          </w:tcPr>
          <w:p>
            <w:pPr/>
            <w:r>
              <w:t xml:space="preserve">D3</w:t>
            </w:r>
          </w:p>
        </w:tc>
        <w:tc>
          <w:tcPr>
            <w:tcW w:w="2300" w:type="dxa"/>
          </w:tcPr>
          <w:p>
            <w:pPr/>
            <w:r>
              <w:t xml:space="preserve">PO creation</w:t>
            </w:r>
          </w:p>
        </w:tc>
        <w:tc>
          <w:tcPr>
            <w:tcW w:w="2215" w:type="dxa"/>
          </w:tcPr>
          <w:p>
            <w:pPr/>
            <w:r>
              <w:t xml:space="preserve">Open</w:t>
            </w:r>
          </w:p>
        </w:tc>
        <w:tc>
          <w:tcPr>
            <w:tcW w:w="4125" w:type="dxa"/>
          </w:tcPr>
          <w:p>
            <w:pPr/>
            <w:r>
              <w:t xml:space="preserve">Keep PO creation in SAP and publish to the portal, or create in the platform and post to SAP. APC to check legal and regulatory PO format requirements</w:t>
            </w:r>
          </w:p>
        </w:tc>
      </w:tr>
      <w:tr>
        <w:tc>
          <w:tcPr>
            <w:tcW w:w="720" w:type="dxa"/>
          </w:tcPr>
          <w:p>
            <w:pPr/>
            <w:r>
              <w:t xml:space="preserve">D4</w:t>
            </w:r>
          </w:p>
        </w:tc>
        <w:tc>
          <w:tcPr>
            <w:tcW w:w="2300" w:type="dxa"/>
          </w:tcPr>
          <w:p>
            <w:pPr/>
            <w:r>
              <w:t xml:space="preserve">Invoicing</w:t>
            </w:r>
          </w:p>
        </w:tc>
        <w:tc>
          <w:tcPr>
            <w:tcW w:w="2215" w:type="dxa"/>
          </w:tcPr>
          <w:p>
            <w:pPr/>
            <w:r>
              <w:t xml:space="preserve">Open</w:t>
            </w:r>
          </w:p>
        </w:tc>
        <w:tc>
          <w:tcPr>
            <w:tcW w:w="4125" w:type="dxa"/>
          </w:tcPr>
          <w:p>
            <w:pPr/>
            <w:r>
              <w:t xml:space="preserve">Move invoice capture and matching from Concur to the platform, or keep Concur and integrate status</w:t>
            </w:r>
          </w:p>
        </w:tc>
      </w:tr>
      <w:tr>
        <w:tc>
          <w:tcPr>
            <w:tcW w:w="720" w:type="dxa"/>
          </w:tcPr>
          <w:p>
            <w:pPr/>
            <w:r>
              <w:t xml:space="preserve">D5</w:t>
            </w:r>
          </w:p>
        </w:tc>
        <w:tc>
          <w:tcPr>
            <w:tcW w:w="2300" w:type="dxa"/>
          </w:tcPr>
          <w:p>
            <w:pPr/>
            <w:r>
              <w:t xml:space="preserve">MRP and allocation</w:t>
            </w:r>
          </w:p>
        </w:tc>
        <w:tc>
          <w:tcPr>
            <w:tcW w:w="2215" w:type="dxa"/>
          </w:tcPr>
          <w:p>
            <w:pPr/>
            <w:r>
              <w:t xml:space="preserve">Open</w:t>
            </w:r>
          </w:p>
        </w:tc>
        <w:tc>
          <w:tcPr>
            <w:tcW w:w="4125" w:type="dxa"/>
          </w:tcPr>
          <w:p>
            <w:pPr/>
            <w:r>
              <w:t xml:space="preserve">SAP vs Jedox (see Sessions 2 and 3); depends on the planning-system roadmap</w:t>
            </w:r>
          </w:p>
        </w:tc>
      </w:tr>
      <w:tr>
        <w:tc>
          <w:tcPr>
            <w:tcW w:w="720" w:type="dxa"/>
          </w:tcPr>
          <w:p>
            <w:pPr/>
            <w:r>
              <w:t xml:space="preserve">D6</w:t>
            </w:r>
          </w:p>
        </w:tc>
        <w:tc>
          <w:tcPr>
            <w:tcW w:w="2300" w:type="dxa"/>
          </w:tcPr>
          <w:p>
            <w:pPr/>
            <w:r>
              <w:t xml:space="preserve">SSO</w:t>
            </w:r>
          </w:p>
        </w:tc>
        <w:tc>
          <w:tcPr>
            <w:tcW w:w="2215" w:type="dxa"/>
          </w:tcPr>
          <w:p>
            <w:pPr/>
            <w:r>
              <w:t xml:space="preserve">Agreed in principle</w:t>
            </w:r>
          </w:p>
        </w:tc>
        <w:tc>
          <w:tcPr>
            <w:tcW w:w="4125" w:type="dxa"/>
          </w:tcPr>
          <w:p>
            <w:pPr/>
            <w:r>
              <w:t xml:space="preserve">Microsoft SSO for internal users; licences assigned per user account</w:t>
            </w:r>
          </w:p>
        </w:tc>
      </w:tr>
    </w:tbl>
    <w:p>
      <w:pPr>
        <w:pStyle w:val="Heading2"/>
      </w:pPr>
      <w:r>
        <w:t xml:space="preserve">8. Open questions</w:t>
      </w:r>
    </w:p>
    <w:tbl>
      <w:tblPr>
        <w:tblStyle w:val="TableGrid"/>
        <w:tblW w:w="0" w:type="auto"/>
        <w:tblLayout w:type="fixed"/>
        <w:tblLook w:val="04A0" w:firstRow="1" w:lastRow="0" w:firstColumn="0" w:lastColumn="0" w:noHBand="0" w:noVBand="1"/>
      </w:tblPr>
      <w:tblGrid>
        <w:gridCol w:w="744"/>
        <w:gridCol w:w="5086"/>
        <w:gridCol w:w="3528"/>
      </w:tblGrid>
      <w:tr>
        <w:trPr>
          <w:tblHeader/>
        </w:trPr>
        <w:tc>
          <w:tcPr>
            <w:tcW w:w="744" w:type="dxa"/>
            <w:shd w:val="clear" w:color="auto" w:fill="F2F2F2"/>
          </w:tcPr>
          <w:p>
            <w:pPr/>
            <w:r>
              <w:t xml:space="preserve">#</w:t>
            </w:r>
          </w:p>
        </w:tc>
        <w:tc>
          <w:tcPr>
            <w:tcW w:w="5086" w:type="dxa"/>
            <w:shd w:val="clear" w:color="auto" w:fill="F2F2F2"/>
          </w:tcPr>
          <w:p>
            <w:pPr/>
            <w:r>
              <w:t xml:space="preserve">Question</w:t>
            </w:r>
          </w:p>
        </w:tc>
        <w:tc>
          <w:tcPr>
            <w:tcW w:w="3528" w:type="dxa"/>
            <w:shd w:val="clear" w:color="auto" w:fill="F2F2F2"/>
          </w:tcPr>
          <w:p>
            <w:pPr/>
            <w:r>
              <w:t xml:space="preserve">For</w:t>
            </w:r>
          </w:p>
        </w:tc>
      </w:tr>
      <w:tr>
        <w:tc>
          <w:tcPr>
            <w:tcW w:w="744" w:type="dxa"/>
          </w:tcPr>
          <w:p>
            <w:pPr/>
            <w:r>
              <w:t xml:space="preserve">Q1</w:t>
            </w:r>
          </w:p>
        </w:tc>
        <w:tc>
          <w:tcPr>
            <w:tcW w:w="5086" w:type="dxa"/>
          </w:tcPr>
          <w:p>
            <w:pPr/>
            <w:r>
              <w:t xml:space="preserve">Do Jedox, Infor WMS and LIMS support REST APIs, and which endpoints exist today?</w:t>
            </w:r>
          </w:p>
        </w:tc>
        <w:tc>
          <w:tcPr>
            <w:tcW w:w="3528" w:type="dxa"/>
          </w:tcPr>
          <w:p>
            <w:pPr/>
            <w:r>
              <w:t xml:space="preserve">IT with vendors</w:t>
            </w:r>
          </w:p>
        </w:tc>
      </w:tr>
      <w:tr>
        <w:tc>
          <w:tcPr>
            <w:tcW w:w="744" w:type="dxa"/>
          </w:tcPr>
          <w:p>
            <w:pPr/>
            <w:r>
              <w:t xml:space="preserve">Q2</w:t>
            </w:r>
          </w:p>
        </w:tc>
        <w:tc>
          <w:tcPr>
            <w:tcW w:w="5086" w:type="dxa"/>
          </w:tcPr>
          <w:p>
            <w:pPr/>
            <w:r>
              <w:t xml:space="preserve">Will LIMS send pass/fail and COA references to WMS automatically, at batch and GR level?</w:t>
            </w:r>
          </w:p>
        </w:tc>
        <w:tc>
          <w:tcPr>
            <w:tcW w:w="3528" w:type="dxa"/>
          </w:tcPr>
          <w:p>
            <w:pPr/>
            <w:r>
              <w:t xml:space="preserve">LIMS project team</w:t>
            </w:r>
          </w:p>
        </w:tc>
      </w:tr>
      <w:tr>
        <w:tc>
          <w:tcPr>
            <w:tcW w:w="744" w:type="dxa"/>
          </w:tcPr>
          <w:p>
            <w:pPr/>
            <w:r>
              <w:t xml:space="preserve">Q3</w:t>
            </w:r>
          </w:p>
        </w:tc>
        <w:tc>
          <w:tcPr>
            <w:tcW w:w="5086" w:type="dxa"/>
          </w:tcPr>
          <w:p>
            <w:pPr/>
            <w:r>
              <w:t xml:space="preserve">Can procurement and Durvah join the LIMS project meetings?</w:t>
            </w:r>
          </w:p>
        </w:tc>
        <w:tc>
          <w:tcPr>
            <w:tcW w:w="3528" w:type="dxa"/>
          </w:tcPr>
          <w:p>
            <w:pPr/>
            <w:r>
              <w:t xml:space="preserve">Chris Ballesteros, LIMS team</w:t>
            </w:r>
          </w:p>
        </w:tc>
      </w:tr>
      <w:tr>
        <w:tc>
          <w:tcPr>
            <w:tcW w:w="744" w:type="dxa"/>
          </w:tcPr>
          <w:p>
            <w:pPr/>
            <w:r>
              <w:t xml:space="preserve">Q4</w:t>
            </w:r>
          </w:p>
        </w:tc>
        <w:tc>
          <w:tcPr>
            <w:tcW w:w="5086" w:type="dxa"/>
          </w:tcPr>
          <w:p>
            <w:pPr/>
            <w:r>
              <w:t xml:space="preserve">Which planning system will replace Jedox next year, and when?</w:t>
            </w:r>
          </w:p>
        </w:tc>
        <w:tc>
          <w:tcPr>
            <w:tcW w:w="3528" w:type="dxa"/>
          </w:tcPr>
          <w:p>
            <w:pPr/>
            <w:r>
              <w:t xml:space="preserve">IT, planning</w:t>
            </w:r>
          </w:p>
        </w:tc>
      </w:tr>
      <w:tr>
        <w:tc>
          <w:tcPr>
            <w:tcW w:w="744" w:type="dxa"/>
          </w:tcPr>
          <w:p>
            <w:pPr/>
            <w:r>
              <w:t xml:space="preserve">Q5</w:t>
            </w:r>
          </w:p>
        </w:tc>
        <w:tc>
          <w:tcPr>
            <w:tcW w:w="5086" w:type="dxa"/>
          </w:tcPr>
          <w:p>
            <w:pPr/>
            <w:r>
              <w:t xml:space="preserve">Are there legal or regulatory requirements on PO format and issuance that decide where POs are created?</w:t>
            </w:r>
          </w:p>
        </w:tc>
        <w:tc>
          <w:tcPr>
            <w:tcW w:w="3528" w:type="dxa"/>
          </w:tcPr>
          <w:p>
            <w:pPr/>
            <w:r>
              <w:t xml:space="preserve">Procurement, legal</w:t>
            </w:r>
          </w:p>
        </w:tc>
      </w:tr>
      <w:tr>
        <w:tc>
          <w:tcPr>
            <w:tcW w:w="744" w:type="dxa"/>
          </w:tcPr>
          <w:p>
            <w:pPr/>
            <w:r>
              <w:t xml:space="preserve">Q6</w:t>
            </w:r>
          </w:p>
        </w:tc>
        <w:tc>
          <w:tcPr>
            <w:tcW w:w="5086" w:type="dxa"/>
          </w:tcPr>
          <w:p>
            <w:pPr/>
            <w:r>
              <w:t xml:space="preserve">Will finance move invoicing off Concur, or keep it?</w:t>
            </w:r>
          </w:p>
        </w:tc>
        <w:tc>
          <w:tcPr>
            <w:tcW w:w="3528" w:type="dxa"/>
          </w:tcPr>
          <w:p>
            <w:pPr/>
            <w:r>
              <w:t xml:space="preserve">Finance</w:t>
            </w:r>
          </w:p>
        </w:tc>
      </w:tr>
      <w:tr>
        <w:tc>
          <w:tcPr>
            <w:tcW w:w="744" w:type="dxa"/>
          </w:tcPr>
          <w:p>
            <w:pPr/>
            <w:r>
              <w:t xml:space="preserve">Q7</w:t>
            </w:r>
          </w:p>
        </w:tc>
        <w:tc>
          <w:tcPr>
            <w:tcW w:w="5086" w:type="dxa"/>
          </w:tcPr>
          <w:p>
            <w:pPr/>
            <w:r>
              <w:t xml:space="preserve">How is the existing HCM interface built, and can it serve as a reference pattern?</w:t>
            </w:r>
          </w:p>
        </w:tc>
        <w:tc>
          <w:tcPr>
            <w:tcW w:w="3528" w:type="dxa"/>
          </w:tcPr>
          <w:p>
            <w:pPr/>
            <w:r>
              <w:t xml:space="preserve">IT</w:t>
            </w:r>
          </w:p>
        </w:tc>
      </w:tr>
      <w:tr>
        <w:tc>
          <w:tcPr>
            <w:tcW w:w="744" w:type="dxa"/>
          </w:tcPr>
          <w:p>
            <w:pPr/>
            <w:r>
              <w:t xml:space="preserve">Q8</w:t>
            </w:r>
          </w:p>
        </w:tc>
        <w:tc>
          <w:tcPr>
            <w:tcW w:w="5086" w:type="dxa"/>
          </w:tcPr>
          <w:p>
            <w:pPr/>
            <w:r>
              <w:t xml:space="preserve">Who supports DataSpider, and is there capacity for new interfaces?</w:t>
            </w:r>
          </w:p>
        </w:tc>
        <w:tc>
          <w:tcPr>
            <w:tcW w:w="3528" w:type="dxa"/>
          </w:tcPr>
          <w:p>
            <w:pPr/>
            <w:r>
              <w:t xml:space="preserve">IT</w:t>
            </w:r>
          </w:p>
        </w:tc>
      </w:tr>
    </w:tbl>
    <w:p>
      <w:pPr>
        <w:pStyle w:val="Heading2"/>
      </w:pPr>
      <w:r>
        <w:t xml:space="preserve">9. Action items</w:t>
      </w:r>
    </w:p>
    <w:p>
      <w:pPr/>
      <w:r>
        <w:t xml:space="preserve">Seven actions came out of this part of the session. Confirming API readiness (A1) and the LIMS–WMS design (A2) unblock the integration design. Owners are proposed from the discussion; please confirm.</w:t>
      </w:r>
    </w:p>
    <w:tbl>
      <w:tblPr>
        <w:tblStyle w:val="TableGrid"/>
        <w:tblW w:w="0" w:type="auto"/>
        <w:tblLayout w:type="fixed"/>
        <w:tblLook w:val="04A0" w:firstRow="1" w:lastRow="0" w:firstColumn="0" w:lastColumn="0" w:noHBand="0" w:noVBand="1"/>
      </w:tblPr>
      <w:tblGrid>
        <w:gridCol w:w="720"/>
        <w:gridCol w:w="4594"/>
        <w:gridCol w:w="1549"/>
        <w:gridCol w:w="1588"/>
        <w:gridCol w:w="909"/>
      </w:tblGrid>
      <w:tr>
        <w:trPr>
          <w:tblHeader/>
        </w:trPr>
        <w:tc>
          <w:tcPr>
            <w:tcW w:w="720" w:type="dxa"/>
            <w:shd w:val="clear" w:color="auto" w:fill="F2F2F2"/>
          </w:tcPr>
          <w:p>
            <w:pPr/>
            <w:r>
              <w:t xml:space="preserve">#</w:t>
            </w:r>
          </w:p>
        </w:tc>
        <w:tc>
          <w:tcPr>
            <w:tcW w:w="4594" w:type="dxa"/>
            <w:shd w:val="clear" w:color="auto" w:fill="F2F2F2"/>
          </w:tcPr>
          <w:p>
            <w:pPr/>
            <w:r>
              <w:t xml:space="preserve">Action</w:t>
            </w:r>
          </w:p>
        </w:tc>
        <w:tc>
          <w:tcPr>
            <w:tcW w:w="1549" w:type="dxa"/>
            <w:shd w:val="clear" w:color="auto" w:fill="F2F2F2"/>
          </w:tcPr>
          <w:p>
            <w:pPr/>
            <w:r>
              <w:t xml:space="preserve">Owner</w:t>
            </w:r>
          </w:p>
        </w:tc>
        <w:tc>
          <w:tcPr>
            <w:tcW w:w="1588" w:type="dxa"/>
            <w:shd w:val="clear" w:color="auto" w:fill="F2F2F2"/>
          </w:tcPr>
          <w:p>
            <w:pPr/>
            <w:r>
              <w:t xml:space="preserve">Due</w:t>
            </w:r>
          </w:p>
        </w:tc>
        <w:tc>
          <w:tcPr>
            <w:tcW w:w="909" w:type="dxa"/>
            <w:shd w:val="clear" w:color="auto" w:fill="F2F2F2"/>
          </w:tcPr>
          <w:p>
            <w:pPr/>
            <w:r>
              <w:t xml:space="preserve">Status</w:t>
            </w:r>
          </w:p>
        </w:tc>
      </w:tr>
      <w:tr>
        <w:tc>
          <w:tcPr>
            <w:tcW w:w="720" w:type="dxa"/>
          </w:tcPr>
          <w:p>
            <w:pPr/>
            <w:r>
              <w:t xml:space="preserve">A1</w:t>
            </w:r>
          </w:p>
        </w:tc>
        <w:tc>
          <w:tcPr>
            <w:tcW w:w="4594" w:type="dxa"/>
          </w:tcPr>
          <w:p>
            <w:pPr/>
            <w:r>
              <w:t xml:space="preserve">Confirm API capability and existing interfaces for Jedox, Infor WMS and LIMS</w:t>
            </w:r>
          </w:p>
        </w:tc>
        <w:tc>
          <w:tcPr>
            <w:tcW w:w="1549" w:type="dxa"/>
          </w:tcPr>
          <w:p>
            <w:pPr/>
            <w:r>
              <w:t xml:space="preserve">IT with vendors</w:t>
            </w:r>
          </w:p>
        </w:tc>
        <w:tc>
          <w:tcPr>
            <w:tcW w:w="1588" w:type="dxa"/>
          </w:tcPr>
          <w:p>
            <w:pPr/>
            <w:r>
              <w:t xml:space="preserve">Next week</w:t>
            </w:r>
          </w:p>
        </w:tc>
        <w:tc>
          <w:tcPr>
            <w:tcW w:w="909" w:type="dxa"/>
          </w:tcPr>
          <w:p>
            <w:pPr/>
            <w:r>
              <w:t xml:space="preserve">Open</w:t>
            </w:r>
          </w:p>
        </w:tc>
      </w:tr>
      <w:tr>
        <w:tc>
          <w:tcPr>
            <w:tcW w:w="720" w:type="dxa"/>
          </w:tcPr>
          <w:p>
            <w:pPr/>
            <w:r>
              <w:t xml:space="preserve">A2</w:t>
            </w:r>
          </w:p>
        </w:tc>
        <w:tc>
          <w:tcPr>
            <w:tcW w:w="4594" w:type="dxa"/>
          </w:tcPr>
          <w:p>
            <w:pPr/>
            <w:r>
              <w:t xml:space="preserve">Share the LIMS project scope, timeline and integration design; arrange procurement and Durvah attendance</w:t>
            </w:r>
          </w:p>
        </w:tc>
        <w:tc>
          <w:tcPr>
            <w:tcW w:w="1549" w:type="dxa"/>
          </w:tcPr>
          <w:p>
            <w:pPr/>
            <w:r>
              <w:t xml:space="preserve">Chris Ballesteros, LIMS team</w:t>
            </w:r>
          </w:p>
        </w:tc>
        <w:tc>
          <w:tcPr>
            <w:tcW w:w="1588" w:type="dxa"/>
          </w:tcPr>
          <w:p>
            <w:pPr/>
            <w:r>
              <w:t xml:space="preserve">Next week</w:t>
            </w:r>
          </w:p>
        </w:tc>
        <w:tc>
          <w:tcPr>
            <w:tcW w:w="909" w:type="dxa"/>
          </w:tcPr>
          <w:p>
            <w:pPr/>
            <w:r>
              <w:t xml:space="preserve">Open</w:t>
            </w:r>
          </w:p>
        </w:tc>
      </w:tr>
      <w:tr>
        <w:tc>
          <w:tcPr>
            <w:tcW w:w="720" w:type="dxa"/>
          </w:tcPr>
          <w:p>
            <w:pPr/>
            <w:r>
              <w:t xml:space="preserve">A3</w:t>
            </w:r>
          </w:p>
        </w:tc>
        <w:tc>
          <w:tcPr>
            <w:tcW w:w="4594" w:type="dxa"/>
          </w:tcPr>
          <w:p>
            <w:pPr/>
            <w:r>
              <w:t xml:space="preserve">Share the IT applications architecture source file and interface list</w:t>
            </w:r>
          </w:p>
        </w:tc>
        <w:tc>
          <w:tcPr>
            <w:tcW w:w="1549" w:type="dxa"/>
          </w:tcPr>
          <w:p>
            <w:pPr/>
            <w:r>
              <w:t xml:space="preserve">IT</w:t>
            </w:r>
          </w:p>
        </w:tc>
        <w:tc>
          <w:tcPr>
            <w:tcW w:w="1588" w:type="dxa"/>
          </w:tcPr>
          <w:p>
            <w:pPr/>
            <w:r>
              <w:t xml:space="preserve">This week</w:t>
            </w:r>
          </w:p>
        </w:tc>
        <w:tc>
          <w:tcPr>
            <w:tcW w:w="909" w:type="dxa"/>
          </w:tcPr>
          <w:p>
            <w:pPr/>
            <w:r>
              <w:t xml:space="preserve">Open</w:t>
            </w:r>
          </w:p>
        </w:tc>
      </w:tr>
      <w:tr>
        <w:tc>
          <w:tcPr>
            <w:tcW w:w="720" w:type="dxa"/>
          </w:tcPr>
          <w:p>
            <w:pPr/>
            <w:r>
              <w:t xml:space="preserve">A4</w:t>
            </w:r>
          </w:p>
        </w:tc>
        <w:tc>
          <w:tcPr>
            <w:tcW w:w="4594" w:type="dxa"/>
          </w:tcPr>
          <w:p>
            <w:pPr/>
            <w:r>
              <w:t xml:space="preserve">Share the planning Power BI dashboard (session with Rachelle)</w:t>
            </w:r>
          </w:p>
        </w:tc>
        <w:tc>
          <w:tcPr>
            <w:tcW w:w="1549" w:type="dxa"/>
          </w:tcPr>
          <w:p>
            <w:pPr/>
            <w:r>
              <w:t xml:space="preserve">Planning (Rachelle)</w:t>
            </w:r>
          </w:p>
        </w:tc>
        <w:tc>
          <w:tcPr>
            <w:tcW w:w="1588" w:type="dxa"/>
          </w:tcPr>
          <w:p>
            <w:pPr/>
            <w:r>
              <w:t xml:space="preserve">30 Oct, 3 pm</w:t>
            </w:r>
          </w:p>
        </w:tc>
        <w:tc>
          <w:tcPr>
            <w:tcW w:w="909" w:type="dxa"/>
          </w:tcPr>
          <w:p>
            <w:pPr/>
            <w:r>
              <w:t xml:space="preserve">Open</w:t>
            </w:r>
          </w:p>
        </w:tc>
      </w:tr>
      <w:tr>
        <w:tc>
          <w:tcPr>
            <w:tcW w:w="720" w:type="dxa"/>
          </w:tcPr>
          <w:p>
            <w:pPr/>
            <w:r>
              <w:t xml:space="preserve">A5</w:t>
            </w:r>
          </w:p>
        </w:tc>
        <w:tc>
          <w:tcPr>
            <w:tcW w:w="4594" w:type="dxa"/>
          </w:tcPr>
          <w:p>
            <w:pPr/>
            <w:r>
              <w:t xml:space="preserve">Confirm the planning system roadmap (Jedox replacement or SAP)</w:t>
            </w:r>
          </w:p>
        </w:tc>
        <w:tc>
          <w:tcPr>
            <w:tcW w:w="1549" w:type="dxa"/>
          </w:tcPr>
          <w:p>
            <w:pPr/>
            <w:r>
              <w:t xml:space="preserve">IT, planning</w:t>
            </w:r>
          </w:p>
        </w:tc>
        <w:tc>
          <w:tcPr>
            <w:tcW w:w="1588" w:type="dxa"/>
          </w:tcPr>
          <w:p>
            <w:pPr/>
            <w:r>
              <w:t xml:space="preserve">Next week</w:t>
            </w:r>
          </w:p>
        </w:tc>
        <w:tc>
          <w:tcPr>
            <w:tcW w:w="909" w:type="dxa"/>
          </w:tcPr>
          <w:p>
            <w:pPr/>
            <w:r>
              <w:t xml:space="preserve">Open</w:t>
            </w:r>
          </w:p>
        </w:tc>
      </w:tr>
      <w:tr>
        <w:tc>
          <w:tcPr>
            <w:tcW w:w="720" w:type="dxa"/>
          </w:tcPr>
          <w:p>
            <w:pPr/>
            <w:r>
              <w:t xml:space="preserve">A6</w:t>
            </w:r>
          </w:p>
        </w:tc>
        <w:tc>
          <w:tcPr>
            <w:tcW w:w="4594" w:type="dxa"/>
          </w:tcPr>
          <w:p>
            <w:pPr/>
            <w:r>
              <w:t xml:space="preserve">Check legal and regulatory requirements on PO format and issuance</w:t>
            </w:r>
          </w:p>
        </w:tc>
        <w:tc>
          <w:tcPr>
            <w:tcW w:w="1549" w:type="dxa"/>
          </w:tcPr>
          <w:p>
            <w:pPr/>
            <w:r>
              <w:t xml:space="preserve">Procurement / legal</w:t>
            </w:r>
          </w:p>
        </w:tc>
        <w:tc>
          <w:tcPr>
            <w:tcW w:w="1588" w:type="dxa"/>
          </w:tcPr>
          <w:p>
            <w:pPr/>
            <w:r>
              <w:t xml:space="preserve">Next week</w:t>
            </w:r>
          </w:p>
        </w:tc>
        <w:tc>
          <w:tcPr>
            <w:tcW w:w="909" w:type="dxa"/>
          </w:tcPr>
          <w:p>
            <w:pPr/>
            <w:r>
              <w:t xml:space="preserve">Open</w:t>
            </w:r>
          </w:p>
        </w:tc>
      </w:tr>
      <w:tr>
        <w:tc>
          <w:tcPr>
            <w:tcW w:w="720" w:type="dxa"/>
          </w:tcPr>
          <w:p>
            <w:pPr/>
            <w:r>
              <w:t xml:space="preserve">A7</w:t>
            </w:r>
          </w:p>
        </w:tc>
        <w:tc>
          <w:tcPr>
            <w:tcW w:w="4594" w:type="dxa"/>
          </w:tcPr>
          <w:p>
            <w:pPr/>
            <w:r>
              <w:t xml:space="preserve">Present the consolidated understanding (Day 1 to date) and the proposed target architecture</w:t>
            </w:r>
          </w:p>
        </w:tc>
        <w:tc>
          <w:tcPr>
            <w:tcW w:w="1549" w:type="dxa"/>
          </w:tcPr>
          <w:p>
            <w:pPr/>
            <w:r>
              <w:t xml:space="preserve">Durvah (Kishore, Sunit)</w:t>
            </w:r>
          </w:p>
        </w:tc>
        <w:tc>
          <w:tcPr>
            <w:tcW w:w="1588" w:type="dxa"/>
          </w:tcPr>
          <w:p>
            <w:pPr/>
            <w:r>
              <w:t xml:space="preserve">30 Oct</w:t>
            </w:r>
          </w:p>
        </w:tc>
        <w:tc>
          <w:tcPr>
            <w:tcW w:w="909" w:type="dxa"/>
          </w:tcPr>
          <w:p>
            <w:pPr/>
            <w:r>
              <w:t xml:space="preserve">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Ajinomoto Philippines – IT Landscape &amp; Integration Requirements</dc:title>
  <dc:description>Claude Docs node/66dc66a7-bd3c@7 docx-w7</dc:description>
  <cp:revision>7</cp:revision>
</cp:coreProperties>
</file>