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USME Tokenization – SFDC Technical Design Document</w:t>
      </w:r>
    </w:p>
    <w:p>
      <w:pPr/>
      <w:r>
        <w:t xml:space="preserve">Sep 29, 2026</w:t>
      </w:r>
      <w:r>
        <w:t xml:space="preserve"> · </w:t>
      </w:r>
      <w:r>
        <w:t xml:space="preserve">@Srini</w:t>
      </w:r>
    </w:p>
    <w:p>
      <w:pPr>
        <w:pStyle w:val="Heading2"/>
      </w:pPr>
      <w:r>
        <w:t xml:space="preserve">Purpose &amp; scope</w:t>
      </w:r>
    </w:p>
    <w:p>
      <w:pPr/>
      <w:r>
        <w:t xml:space="preserve">This document translates the approved conceptual design (</w:t>
      </w:r>
      <w:r>
        <w:rPr>
          <w:i/>
        </w:rPr>
        <w:t xml:space="preserve">USME Tokenization Design</w:t>
      </w:r>
      <w:r>
        <w:t xml:space="preserve">, Durvah IT Consulting) into a build-ready technical design for the Salesforce (SFDC) side of the GT–SFDC invoice/tokenization flow. It specifies objects, fields, automation, integration contracts and security controls so the development team can build directly from it — no further interpretation of the concept deck required.</w:t>
      </w:r>
    </w:p>
    <w:p>
      <w:pPr/>
      <w:r>
        <w:rPr>
          <w:b/>
        </w:rPr>
        <w:t xml:space="preserve">Sources:</w:t>
      </w:r>
      <w:r>
        <w:t xml:space="preserve"> </w:t>
      </w:r>
      <w:r>
        <w:rPr>
          <w:i/>
        </w:rPr>
        <w:t xml:space="preserve">USME Tokenization Design</w:t>
      </w:r>
      <w:r>
        <w:t xml:space="preserve"> (conceptual deck, updated version with build-level detail on token creation, invoice rendering and PDF-on-click); </w:t>
      </w:r>
      <w:r>
        <w:rPr>
          <w:i/>
        </w:rPr>
        <w:t xml:space="preserve">Invoice &amp; Token Flow: Salesforce &amp; GoTransverse</w:t>
      </w:r>
      <w:r>
        <w:t xml:space="preserve"> business-architecture diagram (Durvah).</w:t>
      </w:r>
    </w:p>
    <w:p>
      <w:pPr/>
      <w:r>
        <w:rPr>
          <w:b/>
        </w:rPr>
        <w:t xml:space="preserve">Design principle carried forward unchanged:</w:t>
      </w:r>
      <w:r>
        <w:t xml:space="preserve"> Salesforce is the sole home of PHI. GoTransverse and Ascent never receive, store, or resolve patient-identifiable data — only an opaque token and non-PHI billing data cross those boundaries.</w:t>
      </w:r>
    </w:p>
    <w:p>
      <w:pPr>
        <w:pStyle w:val="Heading2"/>
      </w:pPr>
      <w:r>
        <w:t xml:space="preserve">Data model</w:t>
      </w:r>
    </w:p>
    <w:p>
      <w:pPr/>
      <w:r>
        <w:drawing>
          <wp:inline distT="0" distB="0" distL="0" distR="0">
            <wp:extent cx="5486400" cy="3371850"/>
            <wp:docPr id="1" name="image1" descr="SFDC object relationships — Billing Context, Patient Token, Invoice Presentment/Line, Credit Mem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FDC object relationships — Billing Context, Patient Token, Invoice Presentment/Line, Credit Memo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SFDC object relationships — Billing Context, Patient Token, Invoice Presentment/Line, Credit Memo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Object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Billing_Context__c</w:t>
            </w:r>
          </w:p>
        </w:tc>
        <w:tc>
          <w:tcPr>
            <w:tcW w:w="3120" w:type="dxa"/>
          </w:tcPr>
          <w:p>
            <w:pPr/>
            <w:r>
              <w:t xml:space="preserve">New custom object</w:t>
            </w:r>
          </w:p>
        </w:tc>
        <w:tc>
          <w:tcPr>
            <w:tcW w:w="3120" w:type="dxa"/>
          </w:tcPr>
          <w:p>
            <w:pPr/>
            <w:r>
              <w:t xml:space="preserve">One record per BTS order line's tokenization event. Holds the idempotency key and the token; created on activation, referenced by every downstream step.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Patient_Token__c</w:t>
            </w:r>
          </w:p>
        </w:tc>
        <w:tc>
          <w:tcPr>
            <w:tcW w:w="3120" w:type="dxa"/>
          </w:tcPr>
          <w:p>
            <w:pPr/>
            <w:r>
              <w:t xml:space="preserve">New custom object</w:t>
            </w:r>
          </w:p>
        </w:tc>
        <w:tc>
          <w:tcPr>
            <w:tcW w:w="3120" w:type="dxa"/>
          </w:tcPr>
          <w:p>
            <w:pPr/>
            <w:r>
              <w:t xml:space="preserve">The PHI vault. One record per patient, holding the actual identifying fields (Shield-encrypted) and the opaque token value that everything else references.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Invoice_Presentment__c</w:t>
            </w:r>
          </w:p>
        </w:tc>
        <w:tc>
          <w:tcPr>
            <w:tcW w:w="3120" w:type="dxa"/>
          </w:tcPr>
          <w:p>
            <w:pPr/>
            <w:r>
              <w:t xml:space="preserve">New custom object</w:t>
            </w:r>
          </w:p>
        </w:tc>
        <w:tc>
          <w:tcPr>
            <w:tcW w:w="3120" w:type="dxa"/>
          </w:tcPr>
          <w:p>
            <w:pPr/>
            <w:r>
              <w:t xml:space="preserve">One record per GT invoice header, upserted from GT's </w:t>
            </w:r>
            <w:r>
              <w:rPr>
                <w:rStyle w:val="CodeChar"/>
              </w:rPr>
              <w:t xml:space="preserve">InvoiceFinalized</w:t>
            </w:r>
            <w:r>
              <w:t xml:space="preserve"> event via external ID.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Invoice_Line__c</w:t>
            </w:r>
          </w:p>
        </w:tc>
        <w:tc>
          <w:tcPr>
            <w:tcW w:w="3120" w:type="dxa"/>
          </w:tcPr>
          <w:p>
            <w:pPr/>
            <w:r>
              <w:t xml:space="preserve">New custom object (child of </w:t>
            </w:r>
            <w:r>
              <w:rPr>
                <w:rStyle w:val="CodeChar"/>
              </w:rPr>
              <w:t xml:space="preserve">Invoice_Presentment__c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One record per GT charge line, upserted via GT's line external ID.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Credit_Memo__c</w:t>
            </w:r>
          </w:p>
        </w:tc>
        <w:tc>
          <w:tcPr>
            <w:tcW w:w="3120" w:type="dxa"/>
          </w:tcPr>
          <w:p>
            <w:pPr/>
            <w:r>
              <w:t xml:space="preserve">New custom object</w:t>
            </w:r>
          </w:p>
        </w:tc>
        <w:tc>
          <w:tcPr>
            <w:tcW w:w="3120" w:type="dxa"/>
          </w:tcPr>
          <w:p>
            <w:pPr/>
            <w:r>
              <w:t xml:space="preserve">SFDC-originated credit request; carries the approval status and, once GT responds, the resulting credit invoice reference.</w:t>
            </w:r>
          </w:p>
        </w:tc>
      </w:tr>
    </w:tbl>
    <w:p>
      <w:pPr>
        <w:pStyle w:val="Heading3"/>
      </w:pPr>
      <w:r>
        <w:t xml:space="preserve">Billing_Context__c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Order__c</w:t>
            </w:r>
          </w:p>
        </w:tc>
        <w:tc>
          <w:tcPr>
            <w:tcW w:w="3120" w:type="dxa"/>
          </w:tcPr>
          <w:p>
            <w:pPr/>
            <w:r>
              <w:t xml:space="preserve">Lookup (Ascent Order)</w:t>
            </w:r>
          </w:p>
        </w:tc>
        <w:tc>
          <w:tcPr>
            <w:tcW w:w="3120" w:type="dxa"/>
          </w:tcPr>
          <w:p>
            <w:pPr/>
            <w:r>
              <w:t xml:space="preserve">The order that triggered tokenization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Order_Line__c</w:t>
            </w:r>
          </w:p>
        </w:tc>
        <w:tc>
          <w:tcPr>
            <w:tcW w:w="3120" w:type="dxa"/>
          </w:tcPr>
          <w:p>
            <w:pPr/>
            <w:r>
              <w:t xml:space="preserve">Lookup (Ascent Order Line)</w:t>
            </w:r>
          </w:p>
        </w:tc>
        <w:tc>
          <w:tcPr>
            <w:tcW w:w="3120" w:type="dxa"/>
          </w:tcPr>
          <w:p>
            <w:pPr/>
            <w:r>
              <w:t xml:space="preserve">The specific BTS line being tokenized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Idempotency_Key__c</w:t>
            </w:r>
          </w:p>
        </w:tc>
        <w:tc>
          <w:tcPr>
            <w:tcW w:w="3120" w:type="dxa"/>
          </w:tcPr>
          <w:p>
            <w:pPr/>
            <w:r>
              <w:t xml:space="preserve">Text(255), </w:t>
            </w:r>
            <w:r>
              <w:rPr>
                <w:b/>
              </w:rPr>
              <w:t xml:space="preserve">External ID, Unique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OrderId + "-" + LineId + "-" + PatientTokenId</w:t>
            </w:r>
            <w:r>
              <w:t xml:space="preserve"> — enforces exactly one active context per line/patient pair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Patient_Token__c</w:t>
            </w:r>
          </w:p>
        </w:tc>
        <w:tc>
          <w:tcPr>
            <w:tcW w:w="3120" w:type="dxa"/>
          </w:tcPr>
          <w:p>
            <w:pPr/>
            <w:r>
              <w:t xml:space="preserve">Lookup (</w:t>
            </w:r>
            <w:r>
              <w:rPr>
                <w:rStyle w:val="CodeChar"/>
              </w:rPr>
              <w:t xml:space="preserve">Patient_Token__c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Resolves to the opaque token; never exposes the underlying patient fields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Status__c</w:t>
            </w:r>
          </w:p>
        </w:tc>
        <w:tc>
          <w:tcPr>
            <w:tcW w:w="3120" w:type="dxa"/>
          </w:tcPr>
          <w:p>
            <w:pPr/>
            <w:r>
              <w:t xml:space="preserve">Picklist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Active</w:t>
            </w:r>
            <w:r>
              <w:t xml:space="preserve">, </w:t>
            </w:r>
            <w:r>
              <w:rPr>
                <w:rStyle w:val="CodeChar"/>
              </w:rPr>
              <w:t xml:space="preserve">Superseded</w:t>
            </w:r>
            <w:r>
              <w:t xml:space="preserve">, </w:t>
            </w:r>
            <w:r>
              <w:rPr>
                <w:rStyle w:val="CodeChar"/>
              </w:rPr>
              <w:t xml:space="preserve">Void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Activated_Date__c</w:t>
            </w:r>
          </w:p>
        </w:tc>
        <w:tc>
          <w:tcPr>
            <w:tcW w:w="3120" w:type="dxa"/>
          </w:tcPr>
          <w:p>
            <w:pPr/>
            <w:r>
              <w:t xml:space="preserve">Date/Time</w:t>
            </w:r>
          </w:p>
        </w:tc>
        <w:tc>
          <w:tcPr>
            <w:tcW w:w="3120" w:type="dxa"/>
          </w:tcPr>
          <w:p>
            <w:pPr/>
            <w:r>
              <w:t xml:space="preserve">Set when Ascent's activation event fires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GT_Event_Published__c</w:t>
            </w:r>
          </w:p>
        </w:tc>
        <w:tc>
          <w:tcPr>
            <w:tcW w:w="3120" w:type="dxa"/>
          </w:tcPr>
          <w:p>
            <w:pPr/>
            <w:r>
              <w:t xml:space="preserve">Checkbox</w:t>
            </w:r>
          </w:p>
        </w:tc>
        <w:tc>
          <w:tcPr>
            <w:tcW w:w="3120" w:type="dxa"/>
          </w:tcPr>
          <w:p>
            <w:pPr/>
            <w:r>
              <w:t xml:space="preserve">Set after the outbound platform event is confirmed published</w:t>
            </w:r>
          </w:p>
        </w:tc>
      </w:tr>
    </w:tbl>
    <w:p>
      <w:pPr>
        <w:pStyle w:val="Heading3"/>
      </w:pPr>
      <w:r>
        <w:t xml:space="preserve">Patient_Token__c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Token_Value__c</w:t>
            </w:r>
          </w:p>
        </w:tc>
        <w:tc>
          <w:tcPr>
            <w:tcW w:w="3120" w:type="dxa"/>
          </w:tcPr>
          <w:p>
            <w:pPr/>
            <w:r>
              <w:t xml:space="preserve">Text(40), External ID, Unique</w:t>
            </w:r>
          </w:p>
        </w:tc>
        <w:tc>
          <w:tcPr>
            <w:tcW w:w="3120" w:type="dxa"/>
          </w:tcPr>
          <w:p>
            <w:pPr/>
            <w:r>
              <w:t xml:space="preserve">The opaque value sent to GT (e.g. </w:t>
            </w:r>
            <w:r>
              <w:rPr>
                <w:rStyle w:val="CodeChar"/>
              </w:rPr>
              <w:t xml:space="preserve">PTKN-xxxxxxxx</w:t>
            </w:r>
            <w:r>
              <w:t xml:space="preserve">) — not PHI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Contact__c</w:t>
            </w:r>
            <w:r>
              <w:t xml:space="preserve"> / </w:t>
            </w:r>
            <w:r>
              <w:rPr>
                <w:rStyle w:val="CodeChar"/>
              </w:rPr>
              <w:t xml:space="preserve">Patient_Record__c</w:t>
            </w:r>
          </w:p>
        </w:tc>
        <w:tc>
          <w:tcPr>
            <w:tcW w:w="3120" w:type="dxa"/>
          </w:tcPr>
          <w:p>
            <w:pPr/>
            <w:r>
              <w:t xml:space="preserve">Lookup</w:t>
            </w:r>
          </w:p>
        </w:tc>
        <w:tc>
          <w:tcPr>
            <w:tcW w:w="3120" w:type="dxa"/>
          </w:tcPr>
          <w:p>
            <w:pPr/>
            <w:r>
              <w:t xml:space="preserve">The real patient record — </w:t>
            </w:r>
            <w:r>
              <w:rPr>
                <w:b/>
              </w:rPr>
              <w:t xml:space="preserve">Shield Platform Encryption</w:t>
            </w:r>
            <w:r>
              <w:t xml:space="preserve"> on this lookup's target PHI fields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MRN__c</w:t>
            </w:r>
            <w:r>
              <w:t xml:space="preserve">, </w:t>
            </w:r>
            <w:r>
              <w:rPr>
                <w:rStyle w:val="CodeChar"/>
              </w:rPr>
              <w:t xml:space="preserve">Patient_Name__c</w:t>
            </w:r>
            <w:r>
              <w:t xml:space="preserve">, </w:t>
            </w:r>
            <w:r>
              <w:rPr>
                <w:rStyle w:val="CodeChar"/>
              </w:rPr>
              <w:t xml:space="preserve">DOB__c</w:t>
            </w:r>
          </w:p>
        </w:tc>
        <w:tc>
          <w:tcPr>
            <w:tcW w:w="3120" w:type="dxa"/>
          </w:tcPr>
          <w:p>
            <w:pPr/>
            <w:r>
              <w:t xml:space="preserve">Encrypted Text/Date</w:t>
            </w:r>
          </w:p>
        </w:tc>
        <w:tc>
          <w:tcPr>
            <w:tcW w:w="3120" w:type="dxa"/>
          </w:tcPr>
          <w:p>
            <w:pPr/>
            <w:r>
              <w:t xml:space="preserve">Shield-encrypted at rest; masked from all profiles except a narrow PHI-cleared permission set</w:t>
            </w:r>
          </w:p>
        </w:tc>
      </w:tr>
    </w:tbl>
    <w:p>
      <w:pPr>
        <w:pStyle w:val="Heading3"/>
      </w:pPr>
      <w:r>
        <w:t xml:space="preserve">Invoice_Presentment__c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GT_Invoice_External_Id__c</w:t>
            </w:r>
          </w:p>
        </w:tc>
        <w:tc>
          <w:tcPr>
            <w:tcW w:w="3120" w:type="dxa"/>
          </w:tcPr>
          <w:p>
            <w:pPr/>
            <w:r>
              <w:t xml:space="preserve">Text(255), External ID, Unique</w:t>
            </w:r>
          </w:p>
        </w:tc>
        <w:tc>
          <w:tcPr>
            <w:tcW w:w="3120" w:type="dxa"/>
          </w:tcPr>
          <w:p>
            <w:pPr/>
            <w:r>
              <w:t xml:space="preserve">GT's invoice identifier — upsert key from the inbound event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Billing_Context__c</w:t>
            </w:r>
          </w:p>
        </w:tc>
        <w:tc>
          <w:tcPr>
            <w:tcW w:w="3120" w:type="dxa"/>
          </w:tcPr>
          <w:p>
            <w:pPr/>
            <w:r>
              <w:t xml:space="preserve">Lookup</w:t>
            </w:r>
          </w:p>
        </w:tc>
        <w:tc>
          <w:tcPr>
            <w:tcW w:w="3120" w:type="dxa"/>
          </w:tcPr>
          <w:p>
            <w:pPr/>
            <w:r>
              <w:t xml:space="preserve">Resolves the token back to a patient for rendering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Account__c</w:t>
            </w:r>
          </w:p>
        </w:tc>
        <w:tc>
          <w:tcPr>
            <w:tcW w:w="3120" w:type="dxa"/>
          </w:tcPr>
          <w:p>
            <w:pPr/>
            <w:r>
              <w:t xml:space="preserve">Lookup</w:t>
            </w:r>
          </w:p>
        </w:tc>
        <w:tc>
          <w:tcPr>
            <w:tcW w:w="3120" w:type="dxa"/>
          </w:tcPr>
          <w:p>
            <w:pPr/>
            <w:r>
              <w:t xml:space="preserve">Drives Experience Cloud sharing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Status__c</w:t>
            </w:r>
          </w:p>
        </w:tc>
        <w:tc>
          <w:tcPr>
            <w:tcW w:w="3120" w:type="dxa"/>
          </w:tcPr>
          <w:p>
            <w:pPr/>
            <w:r>
              <w:t xml:space="preserve">Picklist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Pending Render</w:t>
            </w:r>
            <w:r>
              <w:t xml:space="preserve">, </w:t>
            </w:r>
            <w:r>
              <w:rPr>
                <w:rStyle w:val="CodeChar"/>
              </w:rPr>
              <w:t xml:space="preserve">Rendered</w:t>
            </w:r>
            <w:r>
              <w:t xml:space="preserve">, </w:t>
            </w:r>
            <w:r>
              <w:rPr>
                <w:rStyle w:val="CodeChar"/>
              </w:rPr>
              <w:t xml:space="preserve">Delivered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PDF_ContentVersion__c</w:t>
            </w:r>
          </w:p>
        </w:tc>
        <w:tc>
          <w:tcPr>
            <w:tcW w:w="3120" w:type="dxa"/>
          </w:tcPr>
          <w:p>
            <w:pPr/>
            <w:r>
              <w:t xml:space="preserve">Lookup (ContentVersion), optional</w:t>
            </w:r>
          </w:p>
        </w:tc>
        <w:tc>
          <w:tcPr>
            <w:tcW w:w="3120" w:type="dxa"/>
          </w:tcPr>
          <w:p>
            <w:pPr/>
            <w:r>
              <w:t xml:space="preserve">Populated only if the business elects to persist the rendered PDF (open item, see Rendering)</w:t>
            </w:r>
          </w:p>
        </w:tc>
      </w:tr>
    </w:tbl>
    <w:p>
      <w:pPr>
        <w:pStyle w:val="Heading3"/>
      </w:pPr>
      <w:r>
        <w:t xml:space="preserve">Invoice_Line__c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GT_Line_External_Id__c</w:t>
            </w:r>
          </w:p>
        </w:tc>
        <w:tc>
          <w:tcPr>
            <w:tcW w:w="3120" w:type="dxa"/>
          </w:tcPr>
          <w:p>
            <w:pPr/>
            <w:r>
              <w:t xml:space="preserve">Text(255), External ID, Unique</w:t>
            </w:r>
          </w:p>
        </w:tc>
        <w:tc>
          <w:tcPr>
            <w:tcW w:w="3120" w:type="dxa"/>
          </w:tcPr>
          <w:p>
            <w:pPr/>
            <w:r>
              <w:t xml:space="preserve">Upsert key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Invoice_Presentment__c</w:t>
            </w:r>
          </w:p>
        </w:tc>
        <w:tc>
          <w:tcPr>
            <w:tcW w:w="3120" w:type="dxa"/>
          </w:tcPr>
          <w:p>
            <w:pPr/>
            <w:r>
              <w:t xml:space="preserve">Master-Detail</w:t>
            </w:r>
          </w:p>
        </w:tc>
        <w:tc>
          <w:tcPr>
            <w:tcW w:w="3120" w:type="dxa"/>
          </w:tcPr>
          <w:p>
            <w:pPr/>
            <w:r>
              <w:t xml:space="preserve">Parent invoice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Product_Code__c</w:t>
            </w:r>
            <w:r>
              <w:t xml:space="preserve">, </w:t>
            </w:r>
            <w:r>
              <w:rPr>
                <w:rStyle w:val="CodeChar"/>
              </w:rPr>
              <w:t xml:space="preserve">Amount__c</w:t>
            </w:r>
            <w:r>
              <w:t xml:space="preserve">, </w:t>
            </w:r>
            <w:r>
              <w:rPr>
                <w:rStyle w:val="CodeChar"/>
              </w:rPr>
              <w:t xml:space="preserve">Tax__c</w:t>
            </w:r>
            <w:r>
              <w:t xml:space="preserve">, </w:t>
            </w:r>
            <w:r>
              <w:rPr>
                <w:rStyle w:val="CodeChar"/>
              </w:rPr>
              <w:t xml:space="preserve">Rate_Plan_Code__c</w:t>
            </w:r>
          </w:p>
        </w:tc>
        <w:tc>
          <w:tcPr>
            <w:tcW w:w="3120" w:type="dxa"/>
          </w:tcPr>
          <w:p>
            <w:pPr/>
            <w:r>
              <w:t xml:space="preserve">Standard fields from GT payload</w:t>
            </w:r>
          </w:p>
        </w:tc>
        <w:tc>
          <w:tcPr>
            <w:tcW w:w="3120" w:type="dxa"/>
          </w:tcPr>
          <w:p>
            <w:pPr/>
            <w:r>
              <w:t xml:space="preserve">Immutable once written — SFDC never recalculates these</w:t>
            </w:r>
          </w:p>
        </w:tc>
      </w:tr>
    </w:tbl>
    <w:p>
      <w:pPr>
        <w:pStyle w:val="Heading3"/>
      </w:pPr>
      <w:r>
        <w:t xml:space="preserve">Credit_Memo__c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Original_Invoice__c</w:t>
            </w:r>
          </w:p>
        </w:tc>
        <w:tc>
          <w:tcPr>
            <w:tcW w:w="3120" w:type="dxa"/>
          </w:tcPr>
          <w:p>
            <w:pPr/>
            <w:r>
              <w:t xml:space="preserve">Lookup (</w:t>
            </w:r>
            <w:r>
              <w:rPr>
                <w:rStyle w:val="CodeChar"/>
              </w:rPr>
              <w:t xml:space="preserve">Invoice_Presentment__c</w:t>
            </w:r>
            <w:r>
              <w:t xml:space="preserve">), required</w:t>
            </w:r>
          </w:p>
        </w:tc>
        <w:tc>
          <w:tcPr>
            <w:tcW w:w="3120" w:type="dxa"/>
          </w:tcPr>
          <w:p>
            <w:pPr/>
            <w:r>
              <w:t xml:space="preserve">Every credit memo must link to an original invoice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Approval_Status__c</w:t>
            </w:r>
          </w:p>
        </w:tc>
        <w:tc>
          <w:tcPr>
            <w:tcW w:w="3120" w:type="dxa"/>
          </w:tcPr>
          <w:p>
            <w:pPr/>
            <w:r>
              <w:t xml:space="preserve">Picklist, driven by Approval Process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Draft</w:t>
            </w:r>
            <w:r>
              <w:t xml:space="preserve">, </w:t>
            </w:r>
            <w:r>
              <w:rPr>
                <w:rStyle w:val="CodeChar"/>
              </w:rPr>
              <w:t xml:space="preserve">Pending Approval</w:t>
            </w:r>
            <w:r>
              <w:t xml:space="preserve">, </w:t>
            </w:r>
            <w:r>
              <w:rPr>
                <w:rStyle w:val="CodeChar"/>
              </w:rPr>
              <w:t xml:space="preserve">Approved</w:t>
            </w:r>
            <w:r>
              <w:t xml:space="preserve">, </w:t>
            </w:r>
            <w:r>
              <w:rPr>
                <w:rStyle w:val="CodeChar"/>
              </w:rPr>
              <w:t xml:space="preserve">Sent to GT</w:t>
            </w:r>
            <w:r>
              <w:t xml:space="preserve">, </w:t>
            </w:r>
            <w:r>
              <w:rPr>
                <w:rStyle w:val="CodeChar"/>
              </w:rPr>
              <w:t xml:space="preserve">Credited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GT_Credit_Invoice_External_Id__c</w:t>
            </w:r>
          </w:p>
        </w:tc>
        <w:tc>
          <w:tcPr>
            <w:tcW w:w="3120" w:type="dxa"/>
          </w:tcPr>
          <w:p>
            <w:pPr/>
            <w:r>
              <w:t xml:space="preserve">Text(255), External ID</w:t>
            </w:r>
          </w:p>
        </w:tc>
        <w:tc>
          <w:tcPr>
            <w:tcW w:w="3120" w:type="dxa"/>
          </w:tcPr>
          <w:p>
            <w:pPr/>
            <w:r>
              <w:t xml:space="preserve">Populated once GT returns the credit invoice</w:t>
            </w:r>
          </w:p>
        </w:tc>
      </w:tr>
    </w:tbl>
    <w:p>
      <w:pPr>
        <w:pStyle w:val="Heading2"/>
      </w:pPr>
      <w:r>
        <w:t xml:space="preserve">Token creation — build design</w:t>
      </w:r>
    </w:p>
    <w:p>
      <w:pPr/>
      <w:r>
        <w:t xml:space="preserve">Triggered on BTS Order activation. Runs as an </w:t>
      </w:r>
      <w:r>
        <w:rPr>
          <w:b/>
        </w:rPr>
        <w:t xml:space="preserve">Apex invocable class</w:t>
      </w:r>
      <w:r>
        <w:t xml:space="preserve"> (</w:t>
      </w:r>
      <w:r>
        <w:rPr>
          <w:rStyle w:val="CodeChar"/>
        </w:rPr>
        <w:t xml:space="preserve">TokenizationService.createBillingContext</w:t>
      </w:r>
      <w:r>
        <w:t xml:space="preserve">) called from a </w:t>
      </w:r>
      <w:r>
        <w:rPr>
          <w:b/>
        </w:rPr>
        <w:t xml:space="preserve">Record-Triggered Flow</w:t>
      </w:r>
      <w:r>
        <w:t xml:space="preserve"> on the Ascent Order object (After Save, entry condition </w:t>
      </w:r>
      <w:r>
        <w:rPr>
          <w:rStyle w:val="CodeChar"/>
        </w:rPr>
        <w:t xml:space="preserve">Status__c = 'Activated' AND Modality__c = 'BTS'</w:t>
      </w:r>
      <w:r>
        <w:t xml:space="preserve">), not pure declarative Flow — the transactional dedupe/insert logic (steps 3–5) needs Apex's DML control and try/catch, which Flow cannot guarantee atomically.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Conceptual 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Build implementation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Patient Master Tokenization, when a record is created</w:t>
            </w:r>
          </w:p>
        </w:tc>
        <w:tc>
          <w:tcPr>
            <w:tcW w:w="3120" w:type="dxa"/>
          </w:tcPr>
          <w:p>
            <w:pPr/>
            <w:r>
              <w:t xml:space="preserve">Before-insert Apex trigger on </w:t>
            </w:r>
            <w:r>
              <w:rPr>
                <w:rStyle w:val="CodeChar"/>
              </w:rPr>
              <w:t xml:space="preserve">Patient_Token__c</w:t>
            </w:r>
            <w:r>
              <w:t xml:space="preserve"> (or Contact, if patient = Contact) generates </w:t>
            </w:r>
            <w:r>
              <w:rPr>
                <w:rStyle w:val="CodeChar"/>
              </w:rPr>
              <w:t xml:space="preserve">Token_Value__c</w:t>
            </w:r>
            <w:r>
              <w:t xml:space="preserve"> via a </w:t>
            </w:r>
            <w:r>
              <w:rPr>
                <w:rStyle w:val="CodeChar"/>
              </w:rPr>
              <w:t xml:space="preserve">Crypto.getRandomInteger()</w:t>
            </w:r>
            <w:r>
              <w:t xml:space="preserve">-seeded generator, prefixed </w:t>
            </w:r>
            <w:r>
              <w:rPr>
                <w:rStyle w:val="CodeChar"/>
              </w:rPr>
              <w:t xml:space="preserve">PTKN-</w:t>
            </w:r>
            <w:r>
              <w:t xml:space="preserve">; enforced unique by the field's External ID constraint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Validate customer/contract/order/episode/PHI fields complete on a BTS order</w:t>
            </w:r>
          </w:p>
        </w:tc>
        <w:tc>
          <w:tcPr>
            <w:tcW w:w="3120" w:type="dxa"/>
          </w:tcPr>
          <w:p>
            <w:pPr/>
            <w:r>
              <w:t xml:space="preserve">Apex validation method checks required fields on Account, Contract, Order, and the linked </w:t>
            </w:r>
            <w:r>
              <w:rPr>
                <w:rStyle w:val="CodeChar"/>
              </w:rPr>
              <w:t xml:space="preserve">Patient_Token__c</w:t>
            </w:r>
            <w:r>
              <w:t xml:space="preserve">; throws a custom </w:t>
            </w:r>
            <w:r>
              <w:rPr>
                <w:rStyle w:val="CodeChar"/>
              </w:rPr>
              <w:t xml:space="preserve">TokenizationValidationException</w:t>
            </w:r>
            <w:r>
              <w:t xml:space="preserve"> (caught by the Flow's fault path) if incomplete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Build idempotency key — Order ID + Line ID + Patient</w:t>
            </w:r>
          </w:p>
        </w:tc>
        <w:tc>
          <w:tcPr>
            <w:tcW w:w="3120" w:type="dxa"/>
          </w:tcPr>
          <w:p>
            <w:pPr/>
            <w:r>
              <w:t xml:space="preserve">Apex concatenates </w:t>
            </w:r>
            <w:r>
              <w:rPr>
                <w:rStyle w:val="CodeChar"/>
              </w:rPr>
              <w:t xml:space="preserve">OrderId + '-' + OrderLineId + '-' + PatientTokenId</w:t>
            </w:r>
            <w:r>
              <w:t xml:space="preserve"> into </w:t>
            </w:r>
            <w:r>
              <w:rPr>
                <w:rStyle w:val="CodeChar"/>
              </w:rPr>
              <w:t xml:space="preserve">Idempotency_Key__c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Check for an existing active Billing Context — reuse if found</w:t>
            </w:r>
          </w:p>
        </w:tc>
        <w:tc>
          <w:tcPr>
            <w:tcW w:w="3120" w:type="dxa"/>
          </w:tcPr>
          <w:p>
            <w:pPr/>
            <w:r>
              <w:t xml:space="preserve">SOQL </w:t>
            </w:r>
            <w:r>
              <w:rPr>
                <w:rStyle w:val="CodeChar"/>
              </w:rPr>
              <w:t xml:space="preserve">SELECT Id FROM Billing_Context__c WHERE Idempotency_Key__c = :key AND Status__c = 'Active'</w:t>
            </w:r>
            <w:r>
              <w:t xml:space="preserve"> before insert; reuse on hit, avoiding a duplicate token round-trip to GT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Insert the Billing Context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Database.insert</w:t>
            </w:r>
            <w:r>
              <w:t xml:space="preserve"> inside the same transaction as steps 1–4, guarded by a </w:t>
            </w:r>
            <w:r>
              <w:rPr>
                <w:rStyle w:val="CodeChar"/>
              </w:rPr>
              <w:t xml:space="preserve">Idempotency_Key__c</w:t>
            </w:r>
            <w:r>
              <w:t xml:space="preserve"> upsert (</w:t>
            </w:r>
            <w:r>
              <w:rPr>
                <w:rStyle w:val="CodeChar"/>
              </w:rPr>
              <w:t xml:space="preserve">Database.upsert</w:t>
            </w:r>
            <w:r>
              <w:t xml:space="preserve"> on the external ID) so retries are safe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Encrypt PHI fields, apply sharing, write audit trail</w:t>
            </w:r>
          </w:p>
        </w:tc>
        <w:tc>
          <w:tcPr>
            <w:tcW w:w="3120" w:type="dxa"/>
          </w:tcPr>
          <w:p>
            <w:pPr/>
            <w:r>
              <w:t xml:space="preserve">PHI fields use </w:t>
            </w:r>
            <w:r>
              <w:rPr>
                <w:b/>
              </w:rPr>
              <w:t xml:space="preserve">Shield Platform Encryption</w:t>
            </w:r>
            <w:r>
              <w:t xml:space="preserve"> (declarative, no Apex needed); a sharing rule (Apex-managed sharing) grants </w:t>
            </w:r>
            <w:r>
              <w:rPr>
                <w:rStyle w:val="CodeChar"/>
              </w:rPr>
              <w:t xml:space="preserve">Patient_Token__c</w:t>
            </w:r>
            <w:r>
              <w:t xml:space="preserve"> visibility only to the PHI-cleared permission set; </w:t>
            </w:r>
            <w:r>
              <w:rPr>
                <w:b/>
              </w:rPr>
              <w:t xml:space="preserve">Field Audit Trail</w:t>
            </w:r>
            <w:r>
              <w:t xml:space="preserve"> tracks all reads/writes on </w:t>
            </w:r>
            <w:r>
              <w:rPr>
                <w:rStyle w:val="CodeChar"/>
              </w:rPr>
              <w:t xml:space="preserve">Patient_Token__c</w:t>
            </w:r>
            <w:r>
              <w:t xml:space="preserve"> and </w:t>
            </w:r>
            <w:r>
              <w:rPr>
                <w:rStyle w:val="CodeChar"/>
              </w:rPr>
              <w:t xml:space="preserve">Billing_Context__c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Publish the tokenized fulfillment event to GoTransverse</w:t>
            </w:r>
          </w:p>
        </w:tc>
        <w:tc>
          <w:tcPr>
            <w:tcW w:w="3120" w:type="dxa"/>
          </w:tcPr>
          <w:p>
            <w:pPr/>
            <w:r>
              <w:t xml:space="preserve">Apex publishes a </w:t>
            </w:r>
            <w:r>
              <w:rPr>
                <w:b/>
              </w:rPr>
              <w:t xml:space="preserve">Platform Event</w:t>
            </w:r>
            <w:r>
              <w:t xml:space="preserve"> (</w:t>
            </w:r>
            <w:r>
              <w:rPr>
                <w:rStyle w:val="CodeChar"/>
              </w:rPr>
              <w:t xml:space="preserve">Tokenized_Fulfillment__e</w:t>
            </w:r>
            <w:r>
              <w:t xml:space="preserve">) carrying </w:t>
            </w:r>
            <w:r>
              <w:rPr>
                <w:rStyle w:val="CodeChar"/>
              </w:rPr>
              <w:t xml:space="preserve">Idempotency_Key__c</w:t>
            </w:r>
            <w:r>
              <w:t xml:space="preserve">, </w:t>
            </w:r>
            <w:r>
              <w:rPr>
                <w:rStyle w:val="CodeChar"/>
              </w:rPr>
              <w:t xml:space="preserve">Token_Value__c</w:t>
            </w:r>
            <w:r>
              <w:t xml:space="preserve">, order/rate-plan/product fields — no PHI fields on the event payload; Workato subscribes to this event channel</w:t>
            </w:r>
          </w:p>
        </w:tc>
      </w:tr>
    </w:tbl>
    <w:p>
      <w:pPr/>
      <w:r>
        <w:rPr>
          <w:b/>
        </w:rPr>
        <w:t xml:space="preserve">Idempotency guarantee:</w:t>
      </w:r>
      <w:r>
        <w:t xml:space="preserve"> the combination of the unique </w:t>
      </w:r>
      <w:r>
        <w:rPr>
          <w:rStyle w:val="CodeChar"/>
        </w:rPr>
        <w:t xml:space="preserve">Idempotency_Key__c</w:t>
      </w:r>
      <w:r>
        <w:t xml:space="preserve"> and </w:t>
      </w:r>
      <w:r>
        <w:rPr>
          <w:rStyle w:val="CodeChar"/>
        </w:rPr>
        <w:t xml:space="preserve">Database.upsert</w:t>
      </w:r>
      <w:r>
        <w:t xml:space="preserve"> means a replayed activation event (Ascent retry, Workato redelivery) never creates a second Billing Context or a second token for the same order line/patient pair.</w:t>
      </w:r>
    </w:p>
    <w:p>
      <w:pPr>
        <w:pStyle w:val="Heading2"/>
      </w:pPr>
      <w:r>
        <w:t xml:space="preserve">Integration design — SFDC ↔ GoTransverse via Workato</w:t>
      </w:r>
    </w:p>
    <w:p>
      <w:pPr>
        <w:pStyle w:val="Heading3"/>
      </w:pPr>
      <w:r>
        <w:t xml:space="preserve">Outbound: tokenized fulfillment event (SFDC → GT)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Trigger:</w:t>
      </w:r>
      <w:r>
        <w:t xml:space="preserve"> </w:t>
      </w:r>
      <w:r>
        <w:rPr>
          <w:rStyle w:val="CodeChar"/>
        </w:rPr>
        <w:t xml:space="preserve">Tokenized_Fulfillment__e</w:t>
      </w:r>
      <w:r>
        <w:t xml:space="preserve"> platform event, published by </w:t>
      </w:r>
      <w:r>
        <w:rPr>
          <w:rStyle w:val="CodeChar"/>
        </w:rPr>
        <w:t xml:space="preserve">TokenizationService</w:t>
      </w:r>
      <w:r>
        <w:t xml:space="preserve"> (see above)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Subscriber:</w:t>
      </w:r>
      <w:r>
        <w:t xml:space="preserve"> Workato recipe listens on the platform event channel (CometD/Pub-Sub API)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Payload (illustrative):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"eventId": "...",</w:t>
        <w:br/>
        <w:t xml:space="preserve"> "eventType": "RentalActivated",</w:t>
        <w:br/>
        <w:t xml:space="preserve"> "idempotencyKey": "ORD-1042-LN-3-PTKN-9f21",</w:t>
        <w:br/>
        <w:t xml:space="preserve"> "billingToken": "PTKN-9f21a8",</w:t>
        <w:br/>
        <w:t xml:space="preserve"> "customerAccountId": "...",</w:t>
        <w:br/>
        <w:t xml:space="preserve"> "orderId": "ORD-1042",</w:t>
        <w:br/>
        <w:t xml:space="preserve"> "orderLineId": "LN-3",</w:t>
        <w:br/>
        <w:t xml:space="preserve"> "productCode": "BED-STD-01",</w:t>
        <w:br/>
        <w:t xml:space="preserve"> "ratePlanCode": "BTS-DAILY",</w:t>
        <w:br/>
        <w:t xml:space="preserve"> "serviceStart": "2026-10-01",</w:t>
        <w:br/>
        <w:t xml:space="preserve"> "currency": "USD"</w:t>
        <w:br/>
        <w:t xml:space="preserve">}</w:t>
      </w:r>
    </w:p>
    <w:p>
      <w:pPr>
        <w:pStyle w:val="ListParagraph"/>
        <w:numPr>
          <w:ilvl w:val="0"/>
          <w:numId w:val="3"/>
        </w:numPr>
      </w:pPr>
      <w:r>
        <w:t xml:space="preserve">Workato maps this to GT's order/billing-information API contract (still pending GT's confirmation of exact attributes — open item) and calls GT synchronously or queues it, per the still-undecided push/pull/trigger interface direction.</w:t>
      </w:r>
    </w:p>
    <w:p>
      <w:pPr>
        <w:pStyle w:val="Heading3"/>
      </w:pPr>
      <w:r>
        <w:t xml:space="preserve">Inbound: InvoiceFinalized event (GT → SFDC)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Trigger:</w:t>
      </w:r>
      <w:r>
        <w:t xml:space="preserve"> GT emits header + line charges once approved (no PDF)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Delivery:</w:t>
      </w:r>
      <w:r>
        <w:t xml:space="preserve"> Workato receives GT's webhook/poll result and calls an </w:t>
      </w:r>
      <w:r>
        <w:rPr>
          <w:b/>
        </w:rPr>
        <w:t xml:space="preserve">Apex REST resource</w:t>
      </w:r>
      <w:r>
        <w:t xml:space="preserve"> (</w:t>
      </w:r>
      <w:r>
        <w:rPr>
          <w:rStyle w:val="CodeChar"/>
        </w:rPr>
        <w:t xml:space="preserve">/services/apexrest/gt/invoice</w:t>
      </w:r>
      <w:r>
        <w:t xml:space="preserve">) or publishes a platform event SFDC subscribes to — direction to be locked with the interface decision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Upsert logic:</w:t>
      </w:r>
      <w:r>
        <w:t xml:space="preserve"> Apex REST handler calls </w:t>
      </w:r>
      <w:r>
        <w:rPr>
          <w:rStyle w:val="CodeChar"/>
        </w:rPr>
        <w:t xml:space="preserve">Database.upsert</w:t>
      </w:r>
      <w:r>
        <w:t xml:space="preserve"> on </w:t>
      </w:r>
      <w:r>
        <w:rPr>
          <w:rStyle w:val="CodeChar"/>
        </w:rPr>
        <w:t xml:space="preserve">Invoice_Presentment__c</w:t>
      </w:r>
      <w:r>
        <w:t xml:space="preserve"> keyed by </w:t>
      </w:r>
      <w:r>
        <w:rPr>
          <w:rStyle w:val="CodeChar"/>
        </w:rPr>
        <w:t xml:space="preserve">GT_Invoice_External_Id__c</w:t>
      </w:r>
      <w:r>
        <w:t xml:space="preserve">, then upserts each </w:t>
      </w:r>
      <w:r>
        <w:rPr>
          <w:rStyle w:val="CodeChar"/>
        </w:rPr>
        <w:t xml:space="preserve">Invoice_Line__c</w:t>
      </w:r>
      <w:r>
        <w:t xml:space="preserve"> keyed by </w:t>
      </w:r>
      <w:r>
        <w:rPr>
          <w:rStyle w:val="CodeChar"/>
        </w:rPr>
        <w:t xml:space="preserve">GT_Line_External_Id__c</w:t>
      </w:r>
      <w:r>
        <w:t xml:space="preserve">, using </w:t>
      </w:r>
      <w:r>
        <w:rPr>
          <w:rStyle w:val="CodeChar"/>
        </w:rPr>
        <w:t xml:space="preserve">Billing_Context__c.Idempotency_Key__c</w:t>
      </w:r>
      <w:r>
        <w:t xml:space="preserve"> (carried in the GT payload) to resolve the token back to the right patient/order line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Token-resolves-once check:</w:t>
      </w:r>
      <w:r>
        <w:t xml:space="preserve"> a validation step confirms exactly one active </w:t>
      </w:r>
      <w:r>
        <w:rPr>
          <w:rStyle w:val="CodeChar"/>
        </w:rPr>
        <w:t xml:space="preserve">Billing_Context__c</w:t>
      </w:r>
      <w:r>
        <w:t xml:space="preserve"> matches before the upsert commits; more than zero or more than one is logged to </w:t>
      </w:r>
      <w:r>
        <w:rPr>
          <w:rStyle w:val="CodeChar"/>
        </w:rPr>
        <w:t xml:space="preserve">Integration_Log__c</w:t>
      </w:r>
      <w:r>
        <w:t xml:space="preserve"> and the record is held in </w:t>
      </w:r>
      <w:r>
        <w:rPr>
          <w:rStyle w:val="CodeChar"/>
        </w:rPr>
        <w:t xml:space="preserve">Pending Render</w:t>
      </w:r>
      <w:r>
        <w:t xml:space="preserve"> rather than silently proceeding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No recalculation:</w:t>
      </w:r>
      <w:r>
        <w:t xml:space="preserve"> all financial fields (</w:t>
      </w:r>
      <w:r>
        <w:rPr>
          <w:rStyle w:val="CodeChar"/>
        </w:rPr>
        <w:t xml:space="preserve">Amount__c</w:t>
      </w:r>
      <w:r>
        <w:t xml:space="preserve">, </w:t>
      </w:r>
      <w:r>
        <w:rPr>
          <w:rStyle w:val="CodeChar"/>
        </w:rPr>
        <w:t xml:space="preserve">Tax__c</w:t>
      </w:r>
      <w:r>
        <w:t xml:space="preserve">, totals) are written as received; no Apex or Flow logic may modify them post-insert (enforced by making these fields read-only on the page layout and validating in a </w:t>
      </w:r>
      <w:r>
        <w:rPr>
          <w:rStyle w:val="CodeChar"/>
        </w:rPr>
        <w:t xml:space="preserve">before update</w:t>
      </w:r>
      <w:r>
        <w:t xml:space="preserve"> trigger that blocks changes to a non-null financial field except by the integration user)</w:t>
      </w:r>
    </w:p>
    <w:p>
      <w:pPr>
        <w:pStyle w:val="Heading3"/>
      </w:pPr>
      <w:r>
        <w:t xml:space="preserve">Error handling</w:t>
      </w:r>
    </w:p>
    <w:p>
      <w:pPr>
        <w:pStyle w:val="ListParagraph"/>
        <w:numPr>
          <w:ilvl w:val="0"/>
          <w:numId w:val="5"/>
        </w:numPr>
      </w:pPr>
      <w:r>
        <w:t xml:space="preserve">Every inbound/outbound call logs to </w:t>
      </w:r>
      <w:r>
        <w:rPr>
          <w:rStyle w:val="CodeChar"/>
        </w:rPr>
        <w:t xml:space="preserve">Integration_Log__c</w:t>
      </w:r>
      <w:r>
        <w:t xml:space="preserve"> (payload hash, status, error message, retry count)</w:t>
      </w:r>
    </w:p>
    <w:p>
      <w:pPr>
        <w:pStyle w:val="ListParagraph"/>
        <w:numPr>
          <w:ilvl w:val="0"/>
          <w:numId w:val="5"/>
        </w:numPr>
      </w:pPr>
      <w:r>
        <w:t xml:space="preserve">Workato owns interface-level retry/exception reporting per the confirmed design; SFDC-side failures raise a Platform Event (</w:t>
      </w:r>
      <w:r>
        <w:rPr>
          <w:rStyle w:val="CodeChar"/>
        </w:rPr>
        <w:t xml:space="preserve">Integration_Error__e</w:t>
      </w:r>
      <w:r>
        <w:t xml:space="preserve">) that can trigger an alert flow to the integration support queue</w:t>
      </w:r>
    </w:p>
    <w:p>
      <w:pPr>
        <w:pStyle w:val="Heading2"/>
      </w:pPr>
      <w:r>
        <w:t xml:space="preserve">Invoice rendering &amp; storage — build design</w:t>
      </w:r>
    </w:p>
    <w:p>
      <w:pPr/>
      <w:r>
        <w:t xml:space="preserve">Key design shift from the original concept: rendering is </w:t>
      </w:r>
      <w:r>
        <w:rPr>
          <w:b/>
        </w:rPr>
        <w:t xml:space="preserve">on-demand (click-to-render)</w:t>
      </w:r>
      <w:r>
        <w:t xml:space="preserve">, not an automatic Queueable Apex job fired the moment GT's event lands — this directly addresses the open item on SFDC storage capacity, since a PDF is generated only when someone needs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Conceptual 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Build implementation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GT sends header + line charges (not a PDF)</w:t>
            </w:r>
          </w:p>
        </w:tc>
        <w:tc>
          <w:tcPr>
            <w:tcW w:w="3120" w:type="dxa"/>
          </w:tcPr>
          <w:p>
            <w:pPr/>
            <w:r>
              <w:t xml:space="preserve">Handled in Integration design above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Workato upserts SFDC Invoice Presentment/Line via GT external IDs</w:t>
            </w:r>
          </w:p>
        </w:tc>
        <w:tc>
          <w:tcPr>
            <w:tcW w:w="3120" w:type="dxa"/>
          </w:tcPr>
          <w:p>
            <w:pPr/>
            <w:r>
              <w:t xml:space="preserve">Handled in Integration design above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Confirm the token resolves once; records match</w:t>
            </w:r>
          </w:p>
        </w:tc>
        <w:tc>
          <w:tcPr>
            <w:tcW w:w="3120" w:type="dxa"/>
          </w:tcPr>
          <w:p>
            <w:pPr/>
            <w:r>
              <w:t xml:space="preserve">Handled in Integration design above (token-resolves-once check)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Pre-render reconciliation vs. the GT payload — no SFDC recalculation</w:t>
            </w:r>
          </w:p>
        </w:tc>
        <w:tc>
          <w:tcPr>
            <w:tcW w:w="3120" w:type="dxa"/>
          </w:tcPr>
          <w:p>
            <w:pPr/>
            <w:r>
              <w:t xml:space="preserve">Enforced by the read-only financial fields (Integration design)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Render the Invoice PDF on the invoice record, on click of a button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Lightning Web Component</w:t>
            </w:r>
            <w:r>
              <w:t xml:space="preserve"> (</w:t>
            </w:r>
            <w:r>
              <w:rPr>
                <w:rStyle w:val="CodeChar"/>
              </w:rPr>
              <w:t xml:space="preserve">invoicePdfRenderer</w:t>
            </w:r>
            <w:r>
              <w:t xml:space="preserve">) on the </w:t>
            </w:r>
            <w:r>
              <w:rPr>
                <w:rStyle w:val="CodeChar"/>
              </w:rPr>
              <w:t xml:space="preserve">Invoice_Presentment__c</w:t>
            </w:r>
            <w:r>
              <w:t xml:space="preserve"> record page; button calls an </w:t>
            </w:r>
            <w:r>
              <w:rPr>
                <w:rStyle w:val="CodeChar"/>
              </w:rPr>
              <w:t xml:space="preserve">@AuraEnabled</w:t>
            </w:r>
            <w:r>
              <w:t xml:space="preserve"> Apex method (</w:t>
            </w:r>
            <w:r>
              <w:rPr>
                <w:rStyle w:val="CodeChar"/>
              </w:rPr>
              <w:t xml:space="preserve">InvoicePdfController.renderPdf(invoiceId)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Pulls approved PHI + immutable GT financials into the PDF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InvoicePdfController</w:t>
            </w:r>
            <w:r>
              <w:t xml:space="preserve"> queries </w:t>
            </w:r>
            <w:r>
              <w:rPr>
                <w:rStyle w:val="CodeChar"/>
              </w:rPr>
              <w:t xml:space="preserve">Invoice_Presentment__c</w:t>
            </w:r>
            <w:r>
              <w:t xml:space="preserve"> → </w:t>
            </w:r>
            <w:r>
              <w:rPr>
                <w:rStyle w:val="CodeChar"/>
              </w:rPr>
              <w:t xml:space="preserve">Billing_Context__c</w:t>
            </w:r>
            <w:r>
              <w:t xml:space="preserve"> → </w:t>
            </w:r>
            <w:r>
              <w:rPr>
                <w:rStyle w:val="CodeChar"/>
              </w:rPr>
              <w:t xml:space="preserve">Patient_Token__c</w:t>
            </w:r>
            <w:r>
              <w:t xml:space="preserve"> (PHI, decrypted in-transaction under the running user's Shield permission) joined with </w:t>
            </w:r>
            <w:r>
              <w:rPr>
                <w:rStyle w:val="CodeChar"/>
              </w:rPr>
              <w:t xml:space="preserve">Invoice_Line__c</w:t>
            </w:r>
            <w:r>
              <w:t xml:space="preserve"> records; renders via a </w:t>
            </w:r>
            <w:r>
              <w:rPr>
                <w:b/>
              </w:rPr>
              <w:t xml:space="preserve">Visualforce page (</w:t>
            </w:r>
            <w:r>
              <w:rPr>
                <w:rStyle w:val="CodeChar"/>
                <w:b/>
              </w:rPr>
              <w:t xml:space="preserve">renderAs="pdf"</w:t>
            </w:r>
            <w:r>
              <w:rPr>
                <w:b/>
              </w:rPr>
              <w:t xml:space="preserve">)</w:t>
            </w:r>
            <w:r>
              <w:t xml:space="preserve"> invoked from Apex, returned as a </w:t>
            </w:r>
            <w:r>
              <w:rPr>
                <w:rStyle w:val="CodeChar"/>
              </w:rPr>
              <w:t xml:space="preserve">Blob</w:t>
            </w:r>
            <w:r>
              <w:t xml:space="preserve"> to the LWC for immediate download — no ContentVersion created unless step 8 applies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Invoice record and PDF rendering visibility to Customer Portal</w:t>
            </w:r>
          </w:p>
        </w:tc>
        <w:tc>
          <w:tcPr>
            <w:tcW w:w="3120" w:type="dxa"/>
          </w:tcPr>
          <w:p>
            <w:pPr/>
            <w:r>
              <w:t xml:space="preserve">Same LWC/button deployed on the Experience Cloud invoice page; Apex method runs </w:t>
            </w:r>
            <w:r>
              <w:rPr>
                <w:rStyle w:val="CodeChar"/>
              </w:rPr>
              <w:t xml:space="preserve">with sharing</w:t>
            </w:r>
            <w:r>
              <w:t xml:space="preserve"> and the page layout excludes </w:t>
            </w:r>
            <w:r>
              <w:rPr>
                <w:rStyle w:val="CodeChar"/>
              </w:rPr>
              <w:t xml:space="preserve">Patient_Token__c</w:t>
            </w:r>
            <w:r>
              <w:t xml:space="preserve"> and any PHI lookup fields from the portal record page entirely (belt-and-suspenders alongside FLS)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Option to store the PDF in SFDC Document/Content File System</w:t>
            </w:r>
          </w:p>
        </w:tc>
        <w:tc>
          <w:tcPr>
            <w:tcW w:w="3120" w:type="dxa"/>
          </w:tcPr>
          <w:p>
            <w:pPr/>
            <w:r>
              <w:t xml:space="preserve">A </w:t>
            </w:r>
            <w:r>
              <w:rPr>
                <w:rStyle w:val="CodeChar"/>
              </w:rPr>
              <w:t xml:space="preserve">Store_PDF__c</w:t>
            </w:r>
            <w:r>
              <w:t xml:space="preserve"> checkbox (org-wide default setting or per-Account flag) controls whether </w:t>
            </w:r>
            <w:r>
              <w:rPr>
                <w:rStyle w:val="CodeChar"/>
              </w:rPr>
              <w:t xml:space="preserve">InvoicePdfController</w:t>
            </w:r>
            <w:r>
              <w:t xml:space="preserve"> also calls </w:t>
            </w:r>
            <w:r>
              <w:rPr>
                <w:rStyle w:val="CodeChar"/>
              </w:rPr>
              <w:t xml:space="preserve">ContentVersion.insert</w:t>
            </w:r>
            <w:r>
              <w:t xml:space="preserve"> and links it via </w:t>
            </w:r>
            <w:r>
              <w:rPr>
                <w:rStyle w:val="CodeChar"/>
              </w:rPr>
              <w:t xml:space="preserve">ContentDocumentLink</w:t>
            </w:r>
            <w:r>
              <w:t xml:space="preserve"> to </w:t>
            </w:r>
            <w:r>
              <w:rPr>
                <w:rStyle w:val="CodeChar"/>
              </w:rPr>
              <w:t xml:space="preserve">Invoice_Presentment__c</w:t>
            </w:r>
            <w:r>
              <w:t xml:space="preserve">; when stored, </w:t>
            </w:r>
            <w:r>
              <w:rPr>
                <w:rStyle w:val="CodeChar"/>
              </w:rPr>
              <w:t xml:space="preserve">SHA-256</w:t>
            </w:r>
            <w:r>
              <w:t xml:space="preserve"> hash and a version number are written to </w:t>
            </w:r>
            <w:r>
              <w:rPr>
                <w:rStyle w:val="CodeChar"/>
              </w:rPr>
              <w:t xml:space="preserve">PDF_Hash__c</w:t>
            </w:r>
            <w:r>
              <w:t xml:space="preserve"> / </w:t>
            </w:r>
            <w:r>
              <w:rPr>
                <w:rStyle w:val="CodeChar"/>
              </w:rPr>
              <w:t xml:space="preserve">PDF_Version__c</w:t>
            </w:r>
            <w:r>
              <w:t xml:space="preserve"> for integrity checking</w:t>
            </w:r>
          </w:p>
        </w:tc>
      </w:tr>
    </w:tbl>
    <w:p>
      <w:pPr/>
      <w:r>
        <w:rPr>
          <w:b/>
        </w:rPr>
        <w:t xml:space="preserve">Why click-to-render:</w:t>
      </w:r>
      <w:r>
        <w:t xml:space="preserve"> with ~6,735 invoices/month projected, storing a ContentVersion for every invoice by default risked unresolved storage growth (an explicit open item). Rendering on demand and storing only when the business opts in (</w:t>
      </w:r>
      <w:r>
        <w:rPr>
          <w:rStyle w:val="CodeChar"/>
        </w:rPr>
        <w:t xml:space="preserve">Store_PDF__c</w:t>
      </w:r>
      <w:r>
        <w:t xml:space="preserve">) keeps storage proportional to actual usage while still supporting an immutable, hashed archive copy where required.</w:t>
      </w:r>
    </w:p>
    <w:p>
      <w:pPr>
        <w:pStyle w:val="Heading2"/>
      </w:pPr>
      <w:r>
        <w:t xml:space="preserve">Bi-directional credit memo flow</w:t>
      </w:r>
    </w:p>
    <w:p>
      <w:pPr/>
      <w:r>
        <w:t xml:space="preserve">Per the architecture diagram, credit memos are a two-way exchange, not a one-shot event: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Request — SFDC.</w:t>
      </w:r>
      <w:r>
        <w:t xml:space="preserve"> A billing user (or automated dispute process) creates </w:t>
      </w:r>
      <w:r>
        <w:rPr>
          <w:rStyle w:val="CodeChar"/>
        </w:rPr>
        <w:t xml:space="preserve">Credit_Memo__c</w:t>
      </w:r>
      <w:r>
        <w:t xml:space="preserve"> with </w:t>
      </w:r>
      <w:r>
        <w:rPr>
          <w:rStyle w:val="CodeChar"/>
        </w:rPr>
        <w:t xml:space="preserve">Original_Invoice__c</w:t>
      </w:r>
      <w:r>
        <w:t xml:space="preserve"> set (required, validation-rule enforced). This routes through an </w:t>
      </w:r>
      <w:r>
        <w:rPr>
          <w:b/>
        </w:rPr>
        <w:t xml:space="preserve">Approval Process</w:t>
      </w:r>
      <w:r>
        <w:t xml:space="preserve"> (</w:t>
      </w:r>
      <w:r>
        <w:rPr>
          <w:rStyle w:val="CodeChar"/>
        </w:rPr>
        <w:t xml:space="preserve">Credit_Memo_Approval</w:t>
      </w:r>
      <w:r>
        <w:t xml:space="preserve">); </w:t>
      </w:r>
      <w:r>
        <w:rPr>
          <w:rStyle w:val="CodeChar"/>
        </w:rPr>
        <w:t xml:space="preserve">Approval_Status__c</w:t>
      </w:r>
      <w:r>
        <w:t xml:space="preserve"> moves </w:t>
      </w:r>
      <w:r>
        <w:rPr>
          <w:rStyle w:val="CodeChar"/>
        </w:rPr>
        <w:t xml:space="preserve">Draft → Pending Approval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Approved — SFDC.</w:t>
      </w:r>
      <w:r>
        <w:t xml:space="preserve"> On final approval, a Flow (Process Builder-equivalent, After Save on Approval Status = Approved) publishes a </w:t>
      </w:r>
      <w:r>
        <w:rPr>
          <w:rStyle w:val="CodeChar"/>
        </w:rPr>
        <w:t xml:space="preserve">Credit_Requested__e</w:t>
      </w:r>
      <w:r>
        <w:t xml:space="preserve"> platform event carrying the original invoice's </w:t>
      </w:r>
      <w:r>
        <w:rPr>
          <w:rStyle w:val="CodeChar"/>
        </w:rPr>
        <w:t xml:space="preserve">GT_Invoice_External_Id__c</w:t>
      </w:r>
      <w:r>
        <w:t xml:space="preserve">, the credit amount/reason, and no PHI.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Calculated — GT.</w:t>
      </w:r>
      <w:r>
        <w:t xml:space="preserve"> Workato routes the event to GT, which produces the actual credit invoice against the original.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Returned — SFDC.</w:t>
      </w:r>
      <w:r>
        <w:t xml:space="preserve"> GT's credit-invoice response comes back through the same inbound integration path as a standard </w:t>
      </w:r>
      <w:r>
        <w:rPr>
          <w:rStyle w:val="CodeChar"/>
        </w:rPr>
        <w:t xml:space="preserve">InvoiceFinalized</w:t>
      </w:r>
      <w:r>
        <w:t xml:space="preserve">-style event; the Apex REST handler upserts a new </w:t>
      </w:r>
      <w:r>
        <w:rPr>
          <w:rStyle w:val="CodeChar"/>
        </w:rPr>
        <w:t xml:space="preserve">Invoice_Presentment__c</w:t>
      </w:r>
      <w:r>
        <w:t xml:space="preserve"> of type </w:t>
      </w:r>
      <w:r>
        <w:rPr>
          <w:rStyle w:val="CodeChar"/>
        </w:rPr>
        <w:t xml:space="preserve">Credit</w:t>
      </w:r>
      <w:r>
        <w:t xml:space="preserve">, links it via </w:t>
      </w:r>
      <w:r>
        <w:rPr>
          <w:rStyle w:val="CodeChar"/>
        </w:rPr>
        <w:t xml:space="preserve">Credit_Memo__c.GT_Credit_Invoice_External_Id__c</w:t>
      </w:r>
      <w:r>
        <w:t xml:space="preserve">, and sets </w:t>
      </w:r>
      <w:r>
        <w:rPr>
          <w:rStyle w:val="CodeChar"/>
        </w:rPr>
        <w:t xml:space="preserve">Approval_Status__c = 'Credited'</w:t>
      </w:r>
      <w:r>
        <w:t xml:space="preserve">.</w:t>
      </w:r>
    </w:p>
    <w:p>
      <w:pPr/>
      <w:r>
        <w:t xml:space="preserve">This reuses the same upsert/external-ID machinery as the primary invoice flow — no separate credit-specific object model beyond </w:t>
      </w:r>
      <w:r>
        <w:rPr>
          <w:rStyle w:val="CodeChar"/>
        </w:rPr>
        <w:t xml:space="preserve">Credit_Memo__c</w:t>
      </w:r>
      <w:r>
        <w:t xml:space="preserve"> itself.</w:t>
      </w:r>
    </w:p>
    <w:p>
      <w:pPr>
        <w:pStyle w:val="Heading2"/>
      </w:pPr>
      <w:r>
        <w:t xml:space="preserve">Security, sharing &amp; compliance design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Control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Applied 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Implementation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Platform (Shield) Encryption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Patient_Token__c</w:t>
            </w:r>
            <w:r>
              <w:t xml:space="preserve"> PHI fields (</w:t>
            </w:r>
            <w:r>
              <w:rPr>
                <w:rStyle w:val="CodeChar"/>
              </w:rPr>
              <w:t xml:space="preserve">MRN__c</w:t>
            </w:r>
            <w:r>
              <w:t xml:space="preserve">, </w:t>
            </w:r>
            <w:r>
              <w:rPr>
                <w:rStyle w:val="CodeChar"/>
              </w:rPr>
              <w:t xml:space="preserve">Patient_Name__c</w:t>
            </w:r>
            <w:r>
              <w:t xml:space="preserve">, </w:t>
            </w:r>
            <w:r>
              <w:rPr>
                <w:rStyle w:val="CodeChar"/>
              </w:rPr>
              <w:t xml:space="preserve">DOB__c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Declarative encryption policy; deterministic encryption only where an index/filter is required, otherwise probabilistic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Field-Level Security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Patient_Token__c</w:t>
            </w:r>
            <w:r>
              <w:t xml:space="preserve">, all PHI lookups</w:t>
            </w:r>
          </w:p>
        </w:tc>
        <w:tc>
          <w:tcPr>
            <w:tcW w:w="3120" w:type="dxa"/>
          </w:tcPr>
          <w:p>
            <w:pPr/>
            <w:r>
              <w:t xml:space="preserve">Visible only to a </w:t>
            </w:r>
            <w:r>
              <w:rPr>
                <w:rStyle w:val="CodeChar"/>
              </w:rPr>
              <w:t xml:space="preserve">PHI_Access</w:t>
            </w:r>
            <w:r>
              <w:t xml:space="preserve"> permission set assigned to billing/rendering service accounts; excluded from all portal and standard sales profiles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Field Audit Trail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Billing_Context__c</w:t>
            </w:r>
            <w:r>
              <w:t xml:space="preserve">, </w:t>
            </w:r>
            <w:r>
              <w:rPr>
                <w:rStyle w:val="CodeChar"/>
              </w:rPr>
              <w:t xml:space="preserve">Patient_Token__c</w:t>
            </w:r>
          </w:p>
        </w:tc>
        <w:tc>
          <w:tcPr>
            <w:tcW w:w="3120" w:type="dxa"/>
          </w:tcPr>
          <w:p>
            <w:pPr/>
            <w:r>
              <w:t xml:space="preserve">Tracks create/read/update history for compliance reporting; retention aligned to USME's HIPAA retention policy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Sharing rules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Invoice_Presentment__c</w:t>
            </w:r>
          </w:p>
        </w:tc>
        <w:tc>
          <w:tcPr>
            <w:tcW w:w="3120" w:type="dxa"/>
          </w:tcPr>
          <w:p>
            <w:pPr/>
            <w:r>
              <w:t xml:space="preserve">Account-based sharing so Experience Cloud users see only their own account's invoices; token and PHI fields never appear on the portal layout regardless of sharing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Apex </w:t>
            </w:r>
            <w:r>
              <w:rPr>
                <w:rStyle w:val="CodeChar"/>
              </w:rPr>
              <w:t xml:space="preserve">with sharing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InvoicePdfController</w:t>
            </w:r>
            <w:r>
              <w:t xml:space="preserve">, Apex REST handlers</w:t>
            </w:r>
          </w:p>
        </w:tc>
        <w:tc>
          <w:tcPr>
            <w:tcW w:w="3120" w:type="dxa"/>
          </w:tcPr>
          <w:p>
            <w:pPr/>
            <w:r>
              <w:t xml:space="preserve">Enforced on every class touching PHI or portal-visible data, so CRUD/FLS is respected even for admin-context calls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BAA coverage</w:t>
            </w:r>
          </w:p>
        </w:tc>
        <w:tc>
          <w:tcPr>
            <w:tcW w:w="3120" w:type="dxa"/>
          </w:tcPr>
          <w:p>
            <w:pPr/>
            <w:r>
              <w:t xml:space="preserve">GoTransverse, Workato</w:t>
            </w:r>
          </w:p>
        </w:tc>
        <w:tc>
          <w:tcPr>
            <w:tcW w:w="3120" w:type="dxa"/>
          </w:tcPr>
          <w:p>
            <w:pPr/>
            <w:r>
              <w:t xml:space="preserve">Confirmed neither service is permitted to receive PHI; this design never places a PHI field on an outbound payload to either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 PHI on platform events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Tokenized_Fulfillment__e</w:t>
            </w:r>
            <w:r>
              <w:t xml:space="preserve">, </w:t>
            </w:r>
            <w:r>
              <w:rPr>
                <w:rStyle w:val="CodeChar"/>
              </w:rPr>
              <w:t xml:space="preserve">Credit_Requested__e</w:t>
            </w:r>
            <w:r>
              <w:t xml:space="preserve">, </w:t>
            </w:r>
            <w:r>
              <w:rPr>
                <w:rStyle w:val="CodeChar"/>
              </w:rPr>
              <w:t xml:space="preserve">Integration_Error__e</w:t>
            </w:r>
          </w:p>
        </w:tc>
        <w:tc>
          <w:tcPr>
            <w:tcW w:w="3120" w:type="dxa"/>
          </w:tcPr>
          <w:p>
            <w:pPr/>
            <w:r>
              <w:t xml:space="preserve">Enforced by code review checklist — event field lists are limited to token/order/financial fields only</w:t>
            </w:r>
          </w:p>
        </w:tc>
      </w:tr>
    </w:tbl>
    <w:p>
      <w:pPr>
        <w:pStyle w:val="Heading2"/>
      </w:pPr>
      <w:r>
        <w:t xml:space="preserve">Error handling &amp; idempotency — summary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Failure 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Guard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Behavior on failure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Duplicate activation event (Ascent/Workato retry)</w:t>
            </w:r>
          </w:p>
        </w:tc>
        <w:tc>
          <w:tcPr>
            <w:tcW w:w="3120" w:type="dxa"/>
          </w:tcPr>
          <w:p>
            <w:pPr/>
            <w:r>
              <w:t xml:space="preserve">Unique </w:t>
            </w:r>
            <w:r>
              <w:rPr>
                <w:rStyle w:val="CodeChar"/>
              </w:rPr>
              <w:t xml:space="preserve">Idempotency_Key__c</w:t>
            </w:r>
            <w:r>
              <w:t xml:space="preserve"> + </w:t>
            </w:r>
            <w:r>
              <w:rPr>
                <w:rStyle w:val="CodeChar"/>
              </w:rPr>
              <w:t xml:space="preserve">Database.upsert</w:t>
            </w:r>
          </w:p>
        </w:tc>
        <w:tc>
          <w:tcPr>
            <w:tcW w:w="3120" w:type="dxa"/>
          </w:tcPr>
          <w:p>
            <w:pPr/>
            <w:r>
              <w:t xml:space="preserve">Existing </w:t>
            </w:r>
            <w:r>
              <w:rPr>
                <w:rStyle w:val="CodeChar"/>
              </w:rPr>
              <w:t xml:space="preserve">Billing_Context__c</w:t>
            </w:r>
            <w:r>
              <w:t xml:space="preserve"> reused; no duplicate token or GT event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Token generation collision</w:t>
            </w:r>
          </w:p>
        </w:tc>
        <w:tc>
          <w:tcPr>
            <w:tcW w:w="3120" w:type="dxa"/>
          </w:tcPr>
          <w:p>
            <w:pPr/>
            <w:r>
              <w:t xml:space="preserve">External ID uniqueness on </w:t>
            </w:r>
            <w:r>
              <w:rPr>
                <w:rStyle w:val="CodeChar"/>
              </w:rPr>
              <w:t xml:space="preserve">Token_Value__c</w:t>
            </w:r>
          </w:p>
        </w:tc>
        <w:tc>
          <w:tcPr>
            <w:tcW w:w="3120" w:type="dxa"/>
          </w:tcPr>
          <w:p>
            <w:pPr/>
            <w:r>
              <w:t xml:space="preserve">Insert fails, caught, regenerated with a new random suffix (bounded retry loop, max 3)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GT payload references an unresolvable token</w:t>
            </w:r>
          </w:p>
        </w:tc>
        <w:tc>
          <w:tcPr>
            <w:tcW w:w="3120" w:type="dxa"/>
          </w:tcPr>
          <w:p>
            <w:pPr/>
            <w:r>
              <w:t xml:space="preserve">Token-resolves-once check before upsert</w:t>
            </w:r>
          </w:p>
        </w:tc>
        <w:tc>
          <w:tcPr>
            <w:tcW w:w="3120" w:type="dxa"/>
          </w:tcPr>
          <w:p>
            <w:pPr/>
            <w:r>
              <w:t xml:space="preserve">Record held in </w:t>
            </w:r>
            <w:r>
              <w:rPr>
                <w:rStyle w:val="CodeChar"/>
              </w:rPr>
              <w:t xml:space="preserve">Pending Render</w:t>
            </w:r>
            <w:r>
              <w:t xml:space="preserve">; logged to </w:t>
            </w:r>
            <w:r>
              <w:rPr>
                <w:rStyle w:val="CodeChar"/>
              </w:rPr>
              <w:t xml:space="preserve">Integration_Log__c</w:t>
            </w:r>
            <w:r>
              <w:t xml:space="preserve">; alert raised via </w:t>
            </w:r>
            <w:r>
              <w:rPr>
                <w:rStyle w:val="CodeChar"/>
              </w:rPr>
              <w:t xml:space="preserve">Integration_Error__e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GT payload matches more than one active Billing Context</w:t>
            </w:r>
          </w:p>
        </w:tc>
        <w:tc>
          <w:tcPr>
            <w:tcW w:w="3120" w:type="dxa"/>
          </w:tcPr>
          <w:p>
            <w:pPr/>
            <w:r>
              <w:t xml:space="preserve">Same check</w:t>
            </w:r>
          </w:p>
        </w:tc>
        <w:tc>
          <w:tcPr>
            <w:tcW w:w="3120" w:type="dxa"/>
          </w:tcPr>
          <w:p>
            <w:pPr/>
            <w:r>
              <w:t xml:space="preserve">Same as above — never silently picks 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Attempted recalculation of a GT-derived amount</w:t>
            </w:r>
          </w:p>
        </w:tc>
        <w:tc>
          <w:tcPr>
            <w:tcW w:w="3120" w:type="dxa"/>
          </w:tcPr>
          <w:p>
            <w:pPr/>
            <w:r>
              <w:t xml:space="preserve">Read-only field enforcement in </w:t>
            </w:r>
            <w:r>
              <w:rPr>
                <w:rStyle w:val="CodeChar"/>
              </w:rPr>
              <w:t xml:space="preserve">before update</w:t>
            </w:r>
            <w:r>
              <w:t xml:space="preserve"> trigger</w:t>
            </w:r>
          </w:p>
        </w:tc>
        <w:tc>
          <w:tcPr>
            <w:tcW w:w="3120" w:type="dxa"/>
          </w:tcPr>
          <w:p>
            <w:pPr/>
            <w:r>
              <w:t xml:space="preserve">DML exception, change rejected, original value preserved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Outbound event fails to publish to Workato</w:t>
            </w:r>
          </w:p>
        </w:tc>
        <w:tc>
          <w:tcPr>
            <w:tcW w:w="3120" w:type="dxa"/>
          </w:tcPr>
          <w:p>
            <w:pPr/>
            <w:r>
              <w:t xml:space="preserve">Platform Event publish result checked synchronously</w:t>
            </w:r>
          </w:p>
        </w:tc>
        <w:tc>
          <w:tcPr>
            <w:tcW w:w="3120" w:type="dxa"/>
          </w:tcPr>
          <w:p>
            <w:pPr/>
            <w:r>
              <w:t xml:space="preserve">Retried by the publishing transaction's save-result handling; persistent failure logged and surfaced to the integration support queue</w:t>
            </w:r>
          </w:p>
        </w:tc>
      </w:tr>
    </w:tbl>
    <w:p>
      <w:pPr/>
      <w:r>
        <w:t xml:space="preserve">This is a design-time control table; the exact Workato-side retry/backoff policy is owned by Workato per the confirmed division of responsibility and is out of scope for this SFDC-side document.</w:t>
      </w:r>
    </w:p>
    <w:p>
      <w:pPr>
        <w:pStyle w:val="Heading2"/>
      </w:pPr>
      <w:r>
        <w:t xml:space="preserve">Build task list</w:t>
      </w:r>
    </w:p>
    <w:p>
      <w:pPr>
        <w:pStyle w:val="ListParagraph"/>
        <w:numPr>
          <w:ilvl w:val="0"/>
          <w:numId w:val="7"/>
        </w:numPr>
      </w:pPr>
      <w:r>
        <w:t xml:space="preserve">☐ Create custom objects: </w:t>
      </w:r>
      <w:r>
        <w:rPr>
          <w:rStyle w:val="CodeChar"/>
        </w:rPr>
        <w:t xml:space="preserve">Billing_Context__c</w:t>
      </w:r>
      <w:r>
        <w:t xml:space="preserve">, </w:t>
      </w:r>
      <w:r>
        <w:rPr>
          <w:rStyle w:val="CodeChar"/>
        </w:rPr>
        <w:t xml:space="preserve">Patient_Token__c</w:t>
      </w:r>
      <w:r>
        <w:t xml:space="preserve">, </w:t>
      </w:r>
      <w:r>
        <w:rPr>
          <w:rStyle w:val="CodeChar"/>
        </w:rPr>
        <w:t xml:space="preserve">Invoice_Presentment__c</w:t>
      </w:r>
      <w:r>
        <w:t xml:space="preserve">, </w:t>
      </w:r>
      <w:r>
        <w:rPr>
          <w:rStyle w:val="CodeChar"/>
        </w:rPr>
        <w:t xml:space="preserve">Invoice_Line__c</w:t>
      </w:r>
      <w:r>
        <w:t xml:space="preserve">, </w:t>
      </w:r>
      <w:r>
        <w:rPr>
          <w:rStyle w:val="CodeChar"/>
        </w:rPr>
        <w:t xml:space="preserve">Credit_Memo__c</w:t>
      </w:r>
      <w:r>
        <w:t xml:space="preserve">, </w:t>
      </w:r>
      <w:r>
        <w:rPr>
          <w:rStyle w:val="CodeChar"/>
        </w:rPr>
        <w:t xml:space="preserve">Integration_Log__c</w:t>
      </w:r>
    </w:p>
    <w:p>
      <w:pPr>
        <w:pStyle w:val="ListParagraph"/>
        <w:numPr>
          <w:ilvl w:val="0"/>
          <w:numId w:val="7"/>
        </w:numPr>
      </w:pPr>
      <w:r>
        <w:t xml:space="preserve">☐ Configure Shield Platform Encryption policy on PHI fields; create </w:t>
      </w:r>
      <w:r>
        <w:rPr>
          <w:rStyle w:val="CodeChar"/>
        </w:rPr>
        <w:t xml:space="preserve">PHI_Access</w:t>
      </w:r>
      <w:r>
        <w:t xml:space="preserve"> permission set</w:t>
      </w:r>
    </w:p>
    <w:p>
      <w:pPr>
        <w:pStyle w:val="ListParagraph"/>
        <w:numPr>
          <w:ilvl w:val="0"/>
          <w:numId w:val="7"/>
        </w:numPr>
      </w:pPr>
      <w:r>
        <w:t xml:space="preserve">☐ Build </w:t>
      </w:r>
      <w:r>
        <w:rPr>
          <w:rStyle w:val="CodeChar"/>
        </w:rPr>
        <w:t xml:space="preserve">TokenizationService</w:t>
      </w:r>
      <w:r>
        <w:t xml:space="preserve"> Apex class (validation, idempotency key, dedupe query, upsert, event publish)</w:t>
      </w:r>
    </w:p>
    <w:p>
      <w:pPr>
        <w:pStyle w:val="ListParagraph"/>
        <w:numPr>
          <w:ilvl w:val="0"/>
          <w:numId w:val="7"/>
        </w:numPr>
      </w:pPr>
      <w:r>
        <w:t xml:space="preserve">☐ Build Record-Triggered Flow on Ascent Order (BTS activation entry criteria) invoking </w:t>
      </w:r>
      <w:r>
        <w:rPr>
          <w:rStyle w:val="CodeChar"/>
        </w:rPr>
        <w:t xml:space="preserve">TokenizationService</w:t>
      </w:r>
    </w:p>
    <w:p>
      <w:pPr>
        <w:pStyle w:val="ListParagraph"/>
        <w:numPr>
          <w:ilvl w:val="0"/>
          <w:numId w:val="7"/>
        </w:numPr>
      </w:pPr>
      <w:r>
        <w:t xml:space="preserve">☐ Define </w:t>
      </w:r>
      <w:r>
        <w:rPr>
          <w:rStyle w:val="CodeChar"/>
        </w:rPr>
        <w:t xml:space="preserve">Tokenized_Fulfillment__e</w:t>
      </w:r>
      <w:r>
        <w:t xml:space="preserve">, </w:t>
      </w:r>
      <w:r>
        <w:rPr>
          <w:rStyle w:val="CodeChar"/>
        </w:rPr>
        <w:t xml:space="preserve">Credit_Requested__e</w:t>
      </w:r>
      <w:r>
        <w:t xml:space="preserve">, </w:t>
      </w:r>
      <w:r>
        <w:rPr>
          <w:rStyle w:val="CodeChar"/>
        </w:rPr>
        <w:t xml:space="preserve">Integration_Error__e</w:t>
      </w:r>
      <w:r>
        <w:t xml:space="preserve"> platform events</w:t>
      </w:r>
    </w:p>
    <w:p>
      <w:pPr>
        <w:pStyle w:val="ListParagraph"/>
        <w:numPr>
          <w:ilvl w:val="0"/>
          <w:numId w:val="7"/>
        </w:numPr>
      </w:pPr>
      <w:r>
        <w:t xml:space="preserve">☐ Build Apex REST resource(s) for the inbound GT </w:t>
      </w:r>
      <w:r>
        <w:rPr>
          <w:rStyle w:val="CodeChar"/>
        </w:rPr>
        <w:t xml:space="preserve">InvoiceFinalized</w:t>
      </w:r>
      <w:r>
        <w:t xml:space="preserve"> and credit-invoice callbacks, with token-resolves-once validation</w:t>
      </w:r>
    </w:p>
    <w:p>
      <w:pPr>
        <w:pStyle w:val="ListParagraph"/>
        <w:numPr>
          <w:ilvl w:val="0"/>
          <w:numId w:val="7"/>
        </w:numPr>
      </w:pPr>
      <w:r>
        <w:t xml:space="preserve">☐ Build </w:t>
      </w:r>
      <w:r>
        <w:rPr>
          <w:rStyle w:val="CodeChar"/>
        </w:rPr>
        <w:t xml:space="preserve">before update</w:t>
      </w:r>
      <w:r>
        <w:t xml:space="preserve"> trigger blocking recalculation of GT-derived financial fields</w:t>
      </w:r>
    </w:p>
    <w:p>
      <w:pPr>
        <w:pStyle w:val="ListParagraph"/>
        <w:numPr>
          <w:ilvl w:val="0"/>
          <w:numId w:val="7"/>
        </w:numPr>
      </w:pPr>
      <w:r>
        <w:t xml:space="preserve">☐ Build </w:t>
      </w:r>
      <w:r>
        <w:rPr>
          <w:rStyle w:val="CodeChar"/>
        </w:rPr>
        <w:t xml:space="preserve">invoicePdfController</w:t>
      </w:r>
      <w:r>
        <w:t xml:space="preserve"> Apex class + Visualforce PDF template + </w:t>
      </w:r>
      <w:r>
        <w:rPr>
          <w:rStyle w:val="CodeChar"/>
        </w:rPr>
        <w:t xml:space="preserve">invoicePdfRenderer</w:t>
      </w:r>
      <w:r>
        <w:t xml:space="preserve"> LWC</w:t>
      </w:r>
    </w:p>
    <w:p>
      <w:pPr>
        <w:pStyle w:val="ListParagraph"/>
        <w:numPr>
          <w:ilvl w:val="0"/>
          <w:numId w:val="7"/>
        </w:numPr>
      </w:pPr>
      <w:r>
        <w:t xml:space="preserve">☐ Add </w:t>
      </w:r>
      <w:r>
        <w:rPr>
          <w:rStyle w:val="CodeChar"/>
        </w:rPr>
        <w:t xml:space="preserve">Store_PDF__c</w:t>
      </w:r>
      <w:r>
        <w:t xml:space="preserve"> setting and conditional ContentVersion/ContentDocumentLink logic with SHA-256 hash capture</w:t>
      </w:r>
    </w:p>
    <w:p>
      <w:pPr>
        <w:pStyle w:val="ListParagraph"/>
        <w:numPr>
          <w:ilvl w:val="0"/>
          <w:numId w:val="7"/>
        </w:numPr>
      </w:pPr>
      <w:r>
        <w:t xml:space="preserve">☐ Deploy the LWC/button to the Experience Cloud invoice page; confirm PHI fields are excluded from the portal layout</w:t>
      </w:r>
    </w:p>
    <w:p>
      <w:pPr>
        <w:pStyle w:val="ListParagraph"/>
        <w:numPr>
          <w:ilvl w:val="0"/>
          <w:numId w:val="7"/>
        </w:numPr>
      </w:pPr>
      <w:r>
        <w:t xml:space="preserve">☐ Configure Account-based sharing rules for </w:t>
      </w:r>
      <w:r>
        <w:rPr>
          <w:rStyle w:val="CodeChar"/>
        </w:rPr>
        <w:t xml:space="preserve">Invoice_Presentment__c</w:t>
      </w:r>
    </w:p>
    <w:p>
      <w:pPr>
        <w:pStyle w:val="ListParagraph"/>
        <w:numPr>
          <w:ilvl w:val="0"/>
          <w:numId w:val="7"/>
        </w:numPr>
      </w:pPr>
      <w:r>
        <w:t xml:space="preserve">☐ Build </w:t>
      </w:r>
      <w:r>
        <w:rPr>
          <w:rStyle w:val="CodeChar"/>
        </w:rPr>
        <w:t xml:space="preserve">Credit_Memo_Approval</w:t>
      </w:r>
      <w:r>
        <w:t xml:space="preserve"> approval process and its After-Approval Flow</w:t>
      </w:r>
    </w:p>
    <w:p>
      <w:pPr>
        <w:pStyle w:val="ListParagraph"/>
        <w:numPr>
          <w:ilvl w:val="0"/>
          <w:numId w:val="7"/>
        </w:numPr>
      </w:pPr>
      <w:r>
        <w:t xml:space="preserve">☐ Enable Field Audit Trail on </w:t>
      </w:r>
      <w:r>
        <w:rPr>
          <w:rStyle w:val="CodeChar"/>
        </w:rPr>
        <w:t xml:space="preserve">Billing_Context__c</w:t>
      </w:r>
      <w:r>
        <w:t xml:space="preserve"> and </w:t>
      </w:r>
      <w:r>
        <w:rPr>
          <w:rStyle w:val="CodeChar"/>
        </w:rPr>
        <w:t xml:space="preserve">Patient_Token__c</w:t>
      </w:r>
    </w:p>
    <w:p>
      <w:pPr>
        <w:pStyle w:val="ListParagraph"/>
        <w:numPr>
          <w:ilvl w:val="0"/>
          <w:numId w:val="7"/>
        </w:numPr>
      </w:pPr>
      <w:r>
        <w:t xml:space="preserve">☐ Unit tests: idempotency replay, token collision retry, unresolved-token handling, financial-field immutability, PHI field-level security</w:t>
      </w:r>
    </w:p>
    <w:p>
      <w:pPr>
        <w:pStyle w:val="ListParagraph"/>
        <w:numPr>
          <w:ilvl w:val="0"/>
          <w:numId w:val="7"/>
        </w:numPr>
      </w:pPr>
      <w:r>
        <w:t xml:space="preserve">☐ Integration test with Workato sandbox once the outbound payload contract and interface direction are confirmed by GT</w:t>
      </w:r>
    </w:p>
    <w:p>
      <w:pPr>
        <w:pStyle w:val="Heading2"/>
      </w:pPr>
      <w:r>
        <w:t xml:space="preserve">Assumptions &amp; open items carried forward</w:t>
      </w:r>
    </w:p>
    <w:p>
      <w:pPr/>
      <w:r>
        <w:t xml:space="preserve">This design makes reasonable build-time assumptions where the conceptual design left a decision open. Each still needs business/GT sign-off before the corresponding component is finalized: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Open item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Assumption made in this design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changes if the assumption is wrong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Patient-key format &amp; generation logic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PTKN-</w:t>
            </w:r>
            <w:r>
              <w:t xml:space="preserve"> + random suffix, generated in </w:t>
            </w:r>
            <w:r>
              <w:rPr>
                <w:rStyle w:val="CodeChar"/>
              </w:rPr>
              <w:t xml:space="preserve">Patient_Token__c</w:t>
            </w:r>
            <w:r>
              <w:t xml:space="preserve"> before-insert trigger</w:t>
            </w:r>
          </w:p>
        </w:tc>
        <w:tc>
          <w:tcPr>
            <w:tcW w:w="3120" w:type="dxa"/>
          </w:tcPr>
          <w:p>
            <w:pPr/>
            <w:r>
              <w:t xml:space="preserve">Token generator swapped out; external ID and downstream references unaffected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GT's internal invoice-approval workflow</w:t>
            </w:r>
          </w:p>
        </w:tc>
        <w:tc>
          <w:tcPr>
            <w:tcW w:w="3120" w:type="dxa"/>
          </w:tcPr>
          <w:p>
            <w:pPr/>
            <w:r>
              <w:t xml:space="preserve">Treated as opaque — SFDC only acts once </w:t>
            </w:r>
            <w:r>
              <w:rPr>
                <w:rStyle w:val="CodeChar"/>
              </w:rPr>
              <w:t xml:space="preserve">InvoiceFinalized</w:t>
            </w:r>
            <w:r>
              <w:t xml:space="preserve"> arrives</w:t>
            </w:r>
          </w:p>
        </w:tc>
        <w:tc>
          <w:tcPr>
            <w:tcW w:w="3120" w:type="dxa"/>
          </w:tcPr>
          <w:p>
            <w:pPr/>
            <w:r>
              <w:t xml:space="preserve">No SFDC-side change expected regardless of GT's internal workflow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Final invoice visibility in the customer portal</w:t>
            </w:r>
          </w:p>
        </w:tc>
        <w:tc>
          <w:tcPr>
            <w:tcW w:w="3120" w:type="dxa"/>
          </w:tcPr>
          <w:p>
            <w:pPr/>
            <w:r>
              <w:t xml:space="preserve">Design already supports it (step 7, Rendering) — pending only Sherry/GT's confirmation that a final (not just preliminary) invoice may be shown</w:t>
            </w:r>
          </w:p>
        </w:tc>
        <w:tc>
          <w:tcPr>
            <w:tcW w:w="3120" w:type="dxa"/>
          </w:tcPr>
          <w:p>
            <w:pPr/>
            <w:r>
              <w:t xml:space="preserve">If declined, restrict the LWC's render button by </w:t>
            </w:r>
            <w:r>
              <w:rPr>
                <w:rStyle w:val="CodeChar"/>
              </w:rPr>
              <w:t xml:space="preserve">Status__c</w:t>
            </w:r>
            <w:r>
              <w:t xml:space="preserve"> to internal-only records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GT–SFDC interface direction (push / pull / trigger)</w:t>
            </w:r>
          </w:p>
        </w:tc>
        <w:tc>
          <w:tcPr>
            <w:tcW w:w="3120" w:type="dxa"/>
          </w:tcPr>
          <w:p>
            <w:pPr/>
            <w:r>
              <w:t xml:space="preserve">Documented as an </w:t>
            </w:r>
            <w:r>
              <w:rPr>
                <w:b/>
              </w:rPr>
              <w:t xml:space="preserve">Apex REST resource</w:t>
            </w:r>
            <w:r>
              <w:t xml:space="preserve"> in this design; could equally be a scheduled batch (pull) or a subscribed platform event (trigger)</w:t>
            </w:r>
          </w:p>
        </w:tc>
        <w:tc>
          <w:tcPr>
            <w:tcW w:w="3120" w:type="dxa"/>
          </w:tcPr>
          <w:p>
            <w:pPr/>
            <w:r>
              <w:t xml:space="preserve">Changes only the inbound entry point (Apex REST class vs. Batch Apex vs. Platform Event trigger) — the upsert/validation logic underneath is unaffected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SFDC storage capacity for archival planning</w:t>
            </w:r>
          </w:p>
        </w:tc>
        <w:tc>
          <w:tcPr>
            <w:tcW w:w="3120" w:type="dxa"/>
          </w:tcPr>
          <w:p>
            <w:pPr/>
            <w:r>
              <w:t xml:space="preserve">Click-to-render + opt-in </w:t>
            </w:r>
            <w:r>
              <w:rPr>
                <w:rStyle w:val="CodeChar"/>
              </w:rPr>
              <w:t xml:space="preserve">Store_PDF__c</w:t>
            </w:r>
            <w:r>
              <w:t xml:space="preserve"> keeps default storage growth near zero</w:t>
            </w:r>
          </w:p>
        </w:tc>
        <w:tc>
          <w:tcPr>
            <w:tcW w:w="3120" w:type="dxa"/>
          </w:tcPr>
          <w:p>
            <w:pPr/>
            <w:r>
              <w:t xml:space="preserve">If the business wants every invoice persisted by default, revisit storage sizing before flipping the org-wide default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One patient per order with multiple lines (from concept deck)</w:t>
            </w:r>
          </w:p>
        </w:tc>
        <w:tc>
          <w:tcPr>
            <w:tcW w:w="3120" w:type="dxa"/>
          </w:tcPr>
          <w:p>
            <w:pPr/>
            <w:r>
              <w:t xml:space="preserve">Assumed true — </w:t>
            </w:r>
            <w:r>
              <w:rPr>
                <w:rStyle w:val="CodeChar"/>
              </w:rPr>
              <w:t xml:space="preserve">Idempotency_Key__c</w:t>
            </w:r>
            <w:r>
              <w:t xml:space="preserve"> is scoped per line, so multiple BTS lines under one order each get their own Billing Context but can share the same </w:t>
            </w:r>
            <w:r>
              <w:rPr>
                <w:rStyle w:val="CodeChar"/>
              </w:rPr>
              <w:t xml:space="preserve">Patient_Token__c</w:t>
            </w:r>
          </w:p>
        </w:tc>
        <w:tc>
          <w:tcPr>
            <w:tcW w:w="3120" w:type="dxa"/>
          </w:tcPr>
          <w:p>
            <w:pPr/>
            <w:r>
              <w:t xml:space="preserve">If an order can have multiple patients across lines, no change needed — the per-line key already supports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Order data flow to GT — exact triggering point</w:t>
            </w:r>
          </w:p>
        </w:tc>
        <w:tc>
          <w:tcPr>
            <w:tcW w:w="3120" w:type="dxa"/>
          </w:tcPr>
          <w:p>
            <w:pPr/>
            <w:r>
              <w:t xml:space="preserve">Assumed to be the Ascent activation event (Status__c = 'Activated') per the confirmed flow</w:t>
            </w:r>
          </w:p>
        </w:tc>
        <w:tc>
          <w:tcPr>
            <w:tcW w:w="3120" w:type="dxa"/>
          </w:tcPr>
          <w:p>
            <w:pPr/>
            <w:r>
              <w:t xml:space="preserve">If GT needs a different trigger point (e.g. delivery confirmation), only the Flow's entry criteria change</w:t>
            </w:r>
          </w:p>
        </w:tc>
      </w:tr>
    </w:tbl>
    <w:p>
      <w:pPr/>
      <w:r>
        <w:t xml:space="preserve">Recommended next step: carry this document into the GT technical schema session (with IT/Eric) to validate the outbound payload contract and lock the interface direction before development begins on the integration layer.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USME Tokenization – SFDC Technical Design Document</dc:title>
  <dc:description>Claude Docs node/b3e8039f-b9ab@11 docx-w6</dc:description>
  <cp:revision>11</cp:revision>
</cp:coreProperties>
</file>