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Discovery Notes: Mobile Offline Enablement, Product Bundling &amp; System Architecture</w:t>
      </w:r>
    </w:p>
    <w:p>
      <w:pPr>
        <w:spacing w:after="140"/>
      </w:pPr>
      <w:r>
        <w:rPr>
          <w:i/>
          <w:iCs/>
          <w:color w:val="555555"/>
        </w:rPr>
        <w:t xml:space="preserve">ME Field Service Platform — Salesforce Discovery Session</w:t>
      </w:r>
    </w:p>
    <w:p>
      <w:pPr>
        <w:spacing w:after="140"/>
      </w:pPr>
      <w:r>
        <w:rPr>
          <w:color w:val="555555"/>
        </w:rPr>
        <w:t xml:space="preserve">Source: field discovery call covering rep mobile experience, quoting/CPQ pain points, product &amp; price book governance, and target-state system architecture (Salesforce, ServiceNow, Go SME/Go Transfers, Acumatica).</w:t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40"/>
      </w:pPr>
      <w:r>
        <w:t xml:space="preserve">This document captures and organizes findings from a discovery conversation with the ME field sales/service stakeholders. It complements the existing MVFSP scope document by addressing four adjacent workstreams raised in the session that are not yet covered there: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/ offline enablement for field sales reps (distinct from the ME technician mobile app already scoped in MVFSP).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bundling, kit validation, and quote-line completeness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master and price book governance — system of record and sync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base / asset master data management and the target integration architecture across Salesforce, ServiceNow, Go SME, Go Transfers, and Acumatica.</w:t>
      </w:r>
    </w:p>
    <w:p>
      <w:pPr>
        <w:pStyle w:val="Heading1"/>
        <w:spacing w:after="160" w:before="360"/>
      </w:pPr>
      <w:r>
        <w:t xml:space="preserve">2. Field Rep Mobile &amp; Offline Experience</w:t>
      </w:r>
    </w:p>
    <w:p>
      <w:pPr>
        <w:pStyle w:val="Heading2"/>
        <w:spacing w:after="120" w:before="260"/>
      </w:pPr>
      <w:r>
        <w:t xml:space="preserve">2.1 Current-state activities in the field</w:t>
      </w:r>
    </w:p>
    <w:p>
      <w:pPr>
        <w:spacing w:after="140"/>
      </w:pPr>
      <w:r>
        <w:t xml:space="preserve">Reps primarily need mobile support for capturing information while in front of a customer: taking notes, tracking interactions/consent, and creating quotes on the spot when a prospect expresses interest (e.g., “we may need five or ten beds”). Today reps cannot easily capture this in real time — they take rough notes, return to the office, and reconstruct/enter the data later. This round-trip is the primary friction point reps want reduced.</w:t>
      </w:r>
    </w:p>
    <w:p>
      <w:pPr>
        <w:pStyle w:val="Heading2"/>
        <w:spacing w:after="120" w:before="260"/>
      </w:pPr>
      <w:r>
        <w:t xml:space="preserve">2.2 Direction: evaluate Salesforce native offline before building custom</w:t>
      </w:r>
    </w:p>
    <w:p>
      <w:pPr>
        <w:spacing w:after="140"/>
      </w:pPr>
      <w:r>
        <w:t xml:space="preserve">Rather than building a bespoke offline mobile app, the recommended first step is to evaluate Salesforce's native offline capabilities (e.g., the Field Service mobile offline briefcase / offline-first record types) against the actual object and workflow set needed here: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offline mode currently supports a limited set of objects/record types — needs to be validated against what reps actually need offline (Lead/Contact, Consent, Opportunity, Quote line capture).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sensitivity is a factor: this is healthcare-adjacent (hospital) customer and equipment data, so offline caching scope and device-level security need explicit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open question to size the effort: how far can the process realistically go on native Salesforce offline before a custom/hybrid approach is required?</w:t>
      </w:r>
    </w:p>
    <w:p>
      <w:pPr>
        <w:pStyle w:val="Heading2"/>
        <w:spacing w:after="120" w:before="260"/>
      </w:pPr>
      <w:r>
        <w:t xml:space="preserve">2.3 Target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consent/contact interaction in the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draft quote immediately when interest is expressed, without requiring a return-to-office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captured notes, consent, and draft quotes back to Salesforce once connectivity is restored.</w:t>
      </w:r>
    </w:p>
    <w:p>
      <w:pPr>
        <w:pStyle w:val="Heading1"/>
        <w:spacing w:after="160" w:before="360"/>
      </w:pPr>
      <w:r>
        <w:t xml:space="preserve">3. Product Bundling &amp; Quote-Line Validation</w:t>
      </w:r>
    </w:p>
    <w:p>
      <w:pPr>
        <w:pStyle w:val="Heading2"/>
        <w:spacing w:after="120" w:before="260"/>
      </w:pPr>
      <w:r>
        <w:t xml:space="preserve">3.1 Problems observed today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true bundling/kit model: many products are sold as a set (e.g., a bed model that ships with a defined group of accessory items), but the system has no construct to enforce that a bundle's components travel together on a quote.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dependency validation: some products require companion items to function (e.g., a cylinder requires a 0.5" pipe), and nothing in the quoting flow checks for this — it relies entirely on the rep remembering.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completeness check before send: there is no checkpoint confirming all required/expected products have been added before a quote is finalized and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Downstream cost: missed items are caught after the initial quote is sent. When the rep adds the missing product, the customer sees a second, higher number after already anchoring on the first — creating trust/friction issues and rework, especially for newer reps.</w:t>
      </w:r>
    </w:p>
    <w:p>
      <w:pPr>
        <w:pStyle w:val="Heading2"/>
        <w:spacing w:after="120" w:before="260"/>
      </w:pPr>
      <w:r>
        <w:t xml:space="preserve">3.2 Template &amp; validation inconsistency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Template/product selection approach varies significantly by rep — there is no standard validation layer applied consistently regardless of which template or code path a rep 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a rep clicks through, the quote proceeds even if something was overlooked; there is no forced review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Requested UX pattern: before final send, show a small, focused validation/summary table (key totals, required items, flagged gaps) rather than requiring the rep to manually scan a long line-item list.</w:t>
      </w:r>
    </w:p>
    <w:p>
      <w:pPr>
        <w:pStyle w:val="Heading2"/>
        <w:spacing w:after="120" w:before="260"/>
      </w:pPr>
      <w:r>
        <w:t xml:space="preserve">3.3 Recommended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bundle/kit data model (parent product with required and optional component products) with the ability to add the whole bundle to a quote as a unit.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product dependency rules (“product A requires product B”) that surface a warning or block when a dependent item is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pre-send validation step: a compact summary/review screen highlighting missing required components, bundle completeness, and price changes since quote creation.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Salesforce CPQ (or equivalent) product rules / bundle features as the implementation mechanism, since this maps closely to CPQ's native bundle and validation rule capabilities.</w:t>
      </w:r>
    </w:p>
    <w:p>
      <w:pPr>
        <w:pStyle w:val="Heading1"/>
        <w:spacing w:after="160" w:before="360"/>
      </w:pPr>
      <w:r>
        <w:t xml:space="preserve">4. Product Master &amp; Price Book Governance</w:t>
      </w:r>
    </w:p>
    <w:p>
      <w:pPr>
        <w:pStyle w:val="Heading2"/>
        <w:spacing w:after="120" w:before="260"/>
      </w:pPr>
      <w:r>
        <w:t xml:space="preserve">4.1 Current state</w:t>
      </w:r>
    </w:p>
    <w:p>
      <w:pPr>
        <w:spacing w:after="140"/>
      </w:pPr>
      <w:r>
        <w:t xml:space="preserve">Product and pricing data exists in more than one place, without a single agreed system of truth from the rep's point of view: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holds a copy of product/price book data used for quoting.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(the current billing/rental system) is today's system of record for the product master; Salesforce syncs from 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separate team must certify pricing shown on a quote before it is considered valid — when a price “doesn't look right,” reps go back and forth with that team, losing time and creating risk of the request falling through the cracks under time pressure.</w:t>
      </w:r>
    </w:p>
    <w:p>
      <w:pPr>
        <w:pStyle w:val="Heading2"/>
        <w:spacing w:after="120" w:before="260"/>
      </w:pPr>
      <w:r>
        <w:t xml:space="preserve">4.2 Direction for future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Stakeholder direction: Salesforce should become the system of record for the product master going forward; billing (Go / Go Transfers) should sync from Salesforce, not the other way around — “billing should not trump Salesforce.”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product/asset creation (including minor variants — same physical item with different measurements/configuration counted as a new product) should be initiated in Salesforce.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a defined intake and governance process (naming, dedup, approval) so Salesforce doesn't just inherit today's data-quality problems — an MDM-style discipline, not necessarily a separate MDM tool.</w:t>
      </w:r>
    </w:p>
    <w:p>
      <w:pPr>
        <w:pStyle w:val="Heading1"/>
        <w:spacing w:after="160" w:before="360"/>
      </w:pPr>
      <w:r>
        <w:t xml:space="preserve">5. Install Base / Asset Master Data</w:t>
      </w:r>
    </w:p>
    <w:p>
      <w:pPr>
        <w:pStyle w:val="Heading2"/>
        <w:spacing w:after="120" w:before="260"/>
      </w:pPr>
      <w:r>
        <w:t xml:space="preserve">5.1 Current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install base is currently maintained in Salesforce — called out explicitly as one of the biggest pain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inventory today lives in ServiceNow (asset management + work order management).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where an install base exists in the current instance, it is not reliably maintained 100% of the time.</w:t>
      </w:r>
    </w:p>
    <w:p>
      <w:pPr>
        <w:pStyle w:val="Heading2"/>
        <w:spacing w:after="120" w:before="260"/>
      </w:pPr>
      <w:r>
        <w:t xml:space="preserve">5.2 Target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Asset/install base becomes managed master data with Salesforce as part of its future architecture, kept in sync with the rental/field operations system (“Central”).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asset onboarding follows a procurement-driven flow: purchase requisition → purchase order → asset procured → asset reflected in inventory → asset becomes available for rental → asset lifecycle events (e.g., lost/damaged) tracked back through the same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cutover: today's ~100 (illustrative) existing assets are migrated and data-cleansed as part of implementation; the ongoing addition process above governs everything created after go-live.</w:t>
      </w:r>
    </w:p>
    <w:p>
      <w:pPr>
        <w:pStyle w:val="Heading1"/>
        <w:spacing w:after="160" w:before="360"/>
      </w:pPr>
      <w:r>
        <w:t xml:space="preserve">6. System Landscape</w:t>
      </w:r>
    </w:p>
    <w:p>
      <w:pPr>
        <w:pStyle w:val="Heading2"/>
        <w:spacing w:after="120" w:before="260"/>
      </w:pPr>
      <w:r>
        <w:t xml:space="preserve">6.1 Current-state process flow</w:t>
      </w:r>
    </w:p>
    <w:p>
      <w:pPr>
        <w:spacing w:after="140"/>
      </w:pPr>
      <w:r>
        <w:t xml:space="preserve">As described in the session, the current data and process flow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calls in → work order created in ServiceNow (e.g., request for a rental bed).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lookup happens inside ServiceNow at work-order creation.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service technician picks up equipment and installs it; rental start/stop dates are recorded — this is the billing trigger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information flows to Go (Go SME), which is the rental + billing engine; it accrues charges per the configured billing cadence (weekly/monthly) until rental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generates the invoice and interfaces the resulting accounts-receivable record to Acumatica, the GL/financial system of record.</w:t>
      </w:r>
    </w:p>
    <w:p>
      <w:pPr>
        <w:pStyle w:val="Heading2"/>
        <w:spacing w:after="120" w:before="260"/>
      </w:pPr>
      <w:r>
        <w:t xml:space="preserve">6.2 Current integration map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Salesforce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CRM — customer, contracts, opportunities/quotes.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ServiceNow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Asset management and work order management; inventory lookups occur here.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 SME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Rental + billing engine; bidirectional sync with both Salesforce and ServiceNow today.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Acumatica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 / financial system of record; receives AR records from the billing engine.</w:t>
            </w:r>
          </w:p>
        </w:tc>
      </w:tr>
    </w:tbl>
    <w:p>
      <w:pPr>
        <w:pStyle w:val="Heading2"/>
        <w:spacing w:after="120" w:before="260"/>
      </w:pPr>
      <w:r>
        <w:t xml:space="preserve">6.3 Target-state architecture</w:t>
      </w:r>
    </w:p>
    <w:p>
      <w:pPr>
        <w:spacing w:after="140"/>
      </w:pPr>
      <w:r>
        <w:t xml:space="preserve">ServiceNow's role is being retired from this landscape, and Go SME's billing function is being replaced by Go Transfers (already in flight as a separate implementation). The stated target architecture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— CRM, quoting, product/price book master, and (target) install base / asset master.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— rental and field service operations (successor to ServiceNow's asset/work-order role), including product/inventory lookups that today happen in ServiceNow.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Transfers — billing engine (successor to Go SME's billing function): consumes rental start/stop events, applies billing rules, generates invoices.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Acumatica — GL / AR system of record, fed by the billing engine.</w:t>
      </w:r>
    </w:p>
    <w:p>
      <w:pPr>
        <w:spacing w:after="140"/>
      </w:pPr>
      <w:r>
        <w:rPr>
          <w:i w:val="false"/>
          <w:iCs w:val="false"/>
        </w:rPr>
        <w:t xml:space="preserve">A longer-term contingency path was also raised: if Salesforce's own Asset Rental billing capability proves sufficient (given the actual complexity of billing rules — mid-rental stops, swaps, exchanges, proration), the target could ultimately simplify further to Salesforce + Acumatica, with Go Transfers retired. This would be validated via a parallel-run test (Asset Rental output vs. Go Transfers output on live volume) before any cutover decision — it is not yet a decided direction, only a path to test.</w:t>
      </w:r>
    </w:p>
    <w:p>
      <w:pPr>
        <w:pStyle w:val="Heading1"/>
        <w:spacing w:after="160" w:before="360"/>
      </w:pPr>
      <w:r>
        <w:t xml:space="preserve">7. Open Architecture Questions to Resolve</w:t>
      </w:r>
    </w:p>
    <w:p>
      <w:pPr>
        <w:spacing w:after="140"/>
      </w:pPr>
      <w:r>
        <w:t xml:space="preserve">These were raised explicitly as items the team is counting on Salesforce architectural input for, and should be tracked as formal spikes rather than assumptions: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Offline object coverage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Which standard/custom objects and workflows are actually supported by Salesforce's native offline mode, and does that coverage satisfy the rep capture flow in Section 2, or is a hybrid/custom approach required?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Bundle &amp; validation mechanism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 Salesforce CPQ's native bundle/product-rule features fully cover the dependency and completeness checks in Section 3, or is custom logic required?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Product/price sync direction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 is the technical mechanism and conflict-resolution rule set once Salesforce becomes the product master, so Go Transfers reliably follows Salesforce rather than the reverse?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Install base sync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 bidirectional sync pattern (near-real-time vs. batch) is needed between Salesforce and Central for asset/install base data, and how are conflicts and asset lifecycle events (lost, swapped) reconciled?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Invoice volume on Salesforce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 Transfers currently processes roughly 80,000 AR invoices/month (separately, ~2,500 vendor/AP invoices/month). If Salesforce Asset Rental + Acumatica were to take over this role, can Salesforce sustain that transaction volume, and is the limiting factor Salesforce the platform, or the Asset Rental billing-rules engine (mid-rental changes, swaps, exchanges)?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storage growth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 80,000 invoices/month, what is the projected growth of Salesforce data and file storage (including invoice PDFs) over 12–36 months, and is an archival/offload strategy (e.g., external object storage with only metadata/links retained in Salesforce) required to avoid storage cost or performance issues?</w:t>
            </w:r>
          </w:p>
        </w:tc>
      </w:tr>
    </w:tbl>
    <w:p>
      <w:pPr>
        <w:pStyle w:val="Heading1"/>
        <w:spacing w:after="160" w:before="360"/>
      </w:pPr>
      <w:r>
        <w:t xml:space="preserve">8. Recommended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scoped technical spike on Salesforce native offline mode against the specific objects/flows needed for rep note capture, consent, and draft quoting.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bundle/kit and product-dependency data model, evaluating Salesforce CPQ bundle and product rule features first before custom-building.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a pre-send quote validation/summary UI pattern and confirm it can enforce required-item and bundle-completeness checks before a quote can be finalized.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target product master and price book ownership model in Salesforce, including the intake/governance process for new product creation and the sync contract with Go Transfers.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install base / asset master object model in Salesforce, the procurement-triggered asset creation flow, and the bidirectional sync contract with Central.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a volume and storage sizing assessment for the 80,000-invoice/month scenario, and define the parallel-run test plan comparing Salesforce Asset Rental billing output against Go Transfers before any decision to retire Go Transfers.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2026-08-21T16:38:50.151Z</dcterms:created>
  <dcterms:modified xsi:type="dcterms:W3CDTF">2026-08-21T16:38:50.151Z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