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FDC4E" w14:textId="77777777" w:rsidR="000F790E" w:rsidRPr="000F790E" w:rsidRDefault="000F790E" w:rsidP="000F790E">
      <w:r w:rsidRPr="000F790E">
        <w:t>Here are the Durvah areas that need to be priced. This is as of now. If anything comes up, I will let you know. Please share an excel document with some logical breakdown of effort and assumptions that we can provide to the client. We don't need to do that for discount authorization framework as we already got approval for that. Please have this by tomorrow and let us discuss. Thanks</w:t>
      </w:r>
    </w:p>
    <w:p w14:paraId="49C364CB" w14:textId="77777777" w:rsidR="000F790E" w:rsidRPr="000F790E" w:rsidRDefault="000F790E" w:rsidP="000F790E"/>
    <w:p w14:paraId="67FE8C05" w14:textId="77777777" w:rsidR="000F790E" w:rsidRPr="000F790E" w:rsidRDefault="000F790E" w:rsidP="000F790E">
      <w:r w:rsidRPr="000F790E">
        <w:t>1. </w:t>
      </w:r>
      <w:r w:rsidRPr="000F790E">
        <w:rPr>
          <w:b/>
          <w:bCs/>
        </w:rPr>
        <w:t>Portal setup</w:t>
      </w:r>
      <w:r w:rsidRPr="000F790E">
        <w:t>: 4,500 customer accounts, 10.5k logins- Purpose- self-service. Experience cloud will be used.</w:t>
      </w:r>
    </w:p>
    <w:p w14:paraId="2B4E9893" w14:textId="77777777" w:rsidR="000F790E" w:rsidRPr="000F790E" w:rsidRDefault="000F790E" w:rsidP="000F790E">
      <w:r w:rsidRPr="000F790E">
        <w:t>2. </w:t>
      </w:r>
      <w:r w:rsidRPr="000F790E">
        <w:rPr>
          <w:b/>
          <w:bCs/>
        </w:rPr>
        <w:t>Tokenization</w:t>
      </w:r>
      <w:r w:rsidRPr="000F790E">
        <w:t>: Read the attached document to understand how salesforce will interact with GT. This is for understanding the business process. The specific requirement is around handling PHI in invoices generated by GT. In summary, Salesforce will send rental start and stop billing event for beds (PHI only applies to bed rentals) and uses opaque identifiers and sends to GT. GT calculates the invoice data and sends the invoice calculation results back to Salesforce which reconstructs from the opaque identifiers and renders the invoice in pdf and stores in pdf. Workato is the middleware being used. </w:t>
      </w:r>
    </w:p>
    <w:p w14:paraId="01400371" w14:textId="77777777" w:rsidR="000F790E" w:rsidRPr="000F790E" w:rsidRDefault="000F790E" w:rsidP="000F790E">
      <w:r w:rsidRPr="000F790E">
        <w:t>3.  </w:t>
      </w:r>
      <w:r w:rsidRPr="000F790E">
        <w:rPr>
          <w:b/>
          <w:bCs/>
        </w:rPr>
        <w:t>Blanket PO</w:t>
      </w:r>
      <w:r w:rsidRPr="000F790E">
        <w:t>- business requirements. High-level business requirements are attached. Please note that PO ability is already there in Ascent rentals. They do not have blanket POs as per our meeting on Fri.</w:t>
      </w:r>
    </w:p>
    <w:p w14:paraId="0FD0B6D5" w14:textId="77777777" w:rsidR="000F790E" w:rsidRPr="000F790E" w:rsidRDefault="000F790E" w:rsidP="000F790E">
      <w:r w:rsidRPr="000F790E">
        <w:t>4. </w:t>
      </w:r>
      <w:r w:rsidRPr="000F790E">
        <w:rPr>
          <w:b/>
          <w:bCs/>
        </w:rPr>
        <w:t xml:space="preserve">Data </w:t>
      </w:r>
      <w:proofErr w:type="spellStart"/>
      <w:r w:rsidRPr="000F790E">
        <w:rPr>
          <w:b/>
          <w:bCs/>
        </w:rPr>
        <w:t>clean up</w:t>
      </w:r>
      <w:proofErr w:type="spellEnd"/>
      <w:r w:rsidRPr="000F790E">
        <w:rPr>
          <w:b/>
          <w:bCs/>
        </w:rPr>
        <w:t xml:space="preserve"> effort support:</w:t>
      </w:r>
    </w:p>
    <w:p w14:paraId="5502C65F" w14:textId="77777777" w:rsidR="000F790E" w:rsidRPr="000F790E" w:rsidRDefault="000F790E" w:rsidP="000F790E"/>
    <w:p w14:paraId="66810A4E" w14:textId="77777777" w:rsidR="000F790E" w:rsidRPr="000F790E" w:rsidRDefault="000F790E" w:rsidP="000F790E">
      <w:r w:rsidRPr="000F790E">
        <w:t xml:space="preserve">Current as-is: Asset </w:t>
      </w:r>
      <w:proofErr w:type="gramStart"/>
      <w:r w:rsidRPr="000F790E">
        <w:t>inventory ,</w:t>
      </w:r>
      <w:proofErr w:type="gramEnd"/>
      <w:r w:rsidRPr="000F790E">
        <w:t xml:space="preserve"> work orders are in ServiceNow; Customers, contracts are in Salesforce and </w:t>
      </w:r>
      <w:proofErr w:type="spellStart"/>
      <w:r w:rsidRPr="000F790E">
        <w:t>goUSME</w:t>
      </w:r>
      <w:proofErr w:type="spellEnd"/>
      <w:r w:rsidRPr="000F790E">
        <w:t xml:space="preserve">. Pricebook, product master </w:t>
      </w:r>
      <w:proofErr w:type="gramStart"/>
      <w:r w:rsidRPr="000F790E">
        <w:t>are</w:t>
      </w:r>
      <w:proofErr w:type="gramEnd"/>
      <w:r w:rsidRPr="000F790E">
        <w:t xml:space="preserve"> in </w:t>
      </w:r>
      <w:proofErr w:type="spellStart"/>
      <w:r w:rsidRPr="000F790E">
        <w:t>Salesfoce</w:t>
      </w:r>
      <w:proofErr w:type="spellEnd"/>
      <w:r w:rsidRPr="000F790E">
        <w:t xml:space="preserve">. </w:t>
      </w:r>
      <w:proofErr w:type="spellStart"/>
      <w:r w:rsidRPr="000F790E">
        <w:t>goUSME</w:t>
      </w:r>
      <w:proofErr w:type="spellEnd"/>
      <w:r w:rsidRPr="000F790E">
        <w:t xml:space="preserve"> also has customers and contracts and billing.</w:t>
      </w:r>
    </w:p>
    <w:p w14:paraId="7F75481F" w14:textId="77777777" w:rsidR="000F790E" w:rsidRPr="000F790E" w:rsidRDefault="000F790E" w:rsidP="000F790E">
      <w:r w:rsidRPr="000F790E">
        <w:t xml:space="preserve">Data </w:t>
      </w:r>
      <w:proofErr w:type="spellStart"/>
      <w:r w:rsidRPr="000F790E">
        <w:t>clean up</w:t>
      </w:r>
      <w:proofErr w:type="spellEnd"/>
      <w:r w:rsidRPr="000F790E">
        <w:t xml:space="preserve"> will be done across the board- customers, </w:t>
      </w:r>
      <w:proofErr w:type="spellStart"/>
      <w:r w:rsidRPr="000F790E">
        <w:t>pricebook</w:t>
      </w:r>
      <w:proofErr w:type="spellEnd"/>
      <w:r w:rsidRPr="000F790E">
        <w:t xml:space="preserve">, product master and other master data that will be fed into </w:t>
      </w:r>
      <w:proofErr w:type="spellStart"/>
      <w:r w:rsidRPr="000F790E">
        <w:t>Servicenow</w:t>
      </w:r>
      <w:proofErr w:type="spellEnd"/>
      <w:r w:rsidRPr="000F790E">
        <w:t>. </w:t>
      </w:r>
    </w:p>
    <w:p w14:paraId="515CBBC8" w14:textId="77777777" w:rsidR="000F790E" w:rsidRPr="000F790E" w:rsidRDefault="000F790E" w:rsidP="000F790E">
      <w:r w:rsidRPr="000F790E">
        <w:t>In the below excel screenshot you will see which data resides where and what was the scope of migration under ServiceNow project. </w:t>
      </w:r>
    </w:p>
    <w:p w14:paraId="6D9CBE7F" w14:textId="77777777" w:rsidR="000F790E" w:rsidRPr="000F790E" w:rsidRDefault="000F790E" w:rsidP="000F790E"/>
    <w:p w14:paraId="3144FBFC" w14:textId="77777777" w:rsidR="000F790E" w:rsidRPr="000F790E" w:rsidRDefault="000F790E" w:rsidP="000F790E">
      <w:r w:rsidRPr="000F790E">
        <w:t xml:space="preserve">This gives a good idea on the data landscape. Also attaching </w:t>
      </w:r>
      <w:proofErr w:type="spellStart"/>
      <w:r w:rsidRPr="000F790E">
        <w:t>pricebook</w:t>
      </w:r>
      <w:proofErr w:type="spellEnd"/>
      <w:r w:rsidRPr="000F790E">
        <w:t xml:space="preserve"> and product master download</w:t>
      </w:r>
    </w:p>
    <w:p w14:paraId="3E83B11D" w14:textId="77777777" w:rsidR="000F790E" w:rsidRPr="000F790E" w:rsidRDefault="000F790E" w:rsidP="000F790E"/>
    <w:p w14:paraId="5D2E72B6" w14:textId="77777777" w:rsidR="000F790E" w:rsidRPr="000F790E" w:rsidRDefault="000F790E" w:rsidP="000F790E">
      <w:r w:rsidRPr="000F790E">
        <w:t>5. Salesforce shield configuration</w:t>
      </w:r>
    </w:p>
    <w:p w14:paraId="59F38D67" w14:textId="77777777" w:rsidR="000F790E" w:rsidRPr="000F790E" w:rsidRDefault="000F790E" w:rsidP="000F790E">
      <w:r w:rsidRPr="000F790E">
        <w:t>6. Coordination with Ascent on project and validation of architecture</w:t>
      </w:r>
    </w:p>
    <w:p w14:paraId="6F8487B9" w14:textId="77777777" w:rsidR="000F790E" w:rsidRPr="000F790E" w:rsidRDefault="000F790E" w:rsidP="000F790E">
      <w:r w:rsidRPr="000F790E">
        <w:t>7. BAA requirements alignment from Salesforce</w:t>
      </w:r>
    </w:p>
    <w:p w14:paraId="4A57C635" w14:textId="77777777" w:rsidR="000F790E" w:rsidRPr="000F790E" w:rsidRDefault="000F790E" w:rsidP="000F790E">
      <w:r w:rsidRPr="000F790E">
        <w:t xml:space="preserve">8. Discount authorization framework (previously proposed). A couple of enhancements to this may be adding an </w:t>
      </w:r>
      <w:proofErr w:type="spellStart"/>
      <w:r w:rsidRPr="000F790E">
        <w:t>Agentforce</w:t>
      </w:r>
      <w:proofErr w:type="spellEnd"/>
      <w:r w:rsidRPr="000F790E">
        <w:t xml:space="preserve"> AI element or </w:t>
      </w:r>
      <w:proofErr w:type="gramStart"/>
      <w:r w:rsidRPr="000F790E">
        <w:t>rules based</w:t>
      </w:r>
      <w:proofErr w:type="gramEnd"/>
      <w:r w:rsidRPr="000F790E">
        <w:t xml:space="preserve"> engine where --it reviews the deal and then proposes what the margin allowed (also gets tied into strategic deal scoring logic). if overriding it then it goes through the approval framework. </w:t>
      </w:r>
    </w:p>
    <w:p w14:paraId="245BBECA" w14:textId="77777777" w:rsidR="000F790E" w:rsidRDefault="000F790E" w:rsidP="000F790E"/>
    <w:p w14:paraId="4960E2CC" w14:textId="77777777" w:rsidR="000F790E" w:rsidRDefault="000F790E" w:rsidP="000F790E"/>
    <w:p w14:paraId="2D5471FF" w14:textId="77777777" w:rsidR="000F790E" w:rsidRPr="000F790E" w:rsidRDefault="000F790E" w:rsidP="000F790E"/>
    <w:p w14:paraId="6EB3158F" w14:textId="77777777" w:rsidR="000F790E" w:rsidRDefault="000F790E" w:rsidP="000F790E">
      <w:r w:rsidRPr="000F790E">
        <w:t>Below is the future systems landscape flow:</w:t>
      </w:r>
    </w:p>
    <w:p w14:paraId="4A0B7970" w14:textId="77777777" w:rsidR="000F790E" w:rsidRDefault="000F790E" w:rsidP="000F790E"/>
    <w:p w14:paraId="3E81399E" w14:textId="1BAFCC53" w:rsidR="000F790E" w:rsidRDefault="000F790E" w:rsidP="000F790E">
      <w:r w:rsidRPr="000F790E">
        <w:drawing>
          <wp:inline distT="0" distB="0" distL="0" distR="0" wp14:anchorId="423E3C08" wp14:editId="74F88D8B">
            <wp:extent cx="5731510" cy="3300095"/>
            <wp:effectExtent l="0" t="0" r="2540" b="0"/>
            <wp:docPr id="84647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75151" name=""/>
                    <pic:cNvPicPr/>
                  </pic:nvPicPr>
                  <pic:blipFill>
                    <a:blip r:embed="rId4"/>
                    <a:stretch>
                      <a:fillRect/>
                    </a:stretch>
                  </pic:blipFill>
                  <pic:spPr>
                    <a:xfrm>
                      <a:off x="0" y="0"/>
                      <a:ext cx="5731510" cy="3300095"/>
                    </a:xfrm>
                    <a:prstGeom prst="rect">
                      <a:avLst/>
                    </a:prstGeom>
                  </pic:spPr>
                </pic:pic>
              </a:graphicData>
            </a:graphic>
          </wp:inline>
        </w:drawing>
      </w:r>
    </w:p>
    <w:p w14:paraId="053DA862" w14:textId="77777777" w:rsidR="000F790E" w:rsidRDefault="000F790E" w:rsidP="000F790E"/>
    <w:p w14:paraId="7F08F13A" w14:textId="27BA64E7" w:rsidR="000F790E" w:rsidRPr="000F790E" w:rsidRDefault="000F790E" w:rsidP="000F790E">
      <w:r w:rsidRPr="000F790E">
        <w:drawing>
          <wp:inline distT="0" distB="0" distL="0" distR="0" wp14:anchorId="34BDC1DE" wp14:editId="6C1BF9D8">
            <wp:extent cx="5731510" cy="2259965"/>
            <wp:effectExtent l="0" t="0" r="2540" b="6985"/>
            <wp:docPr id="110088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83715" name=""/>
                    <pic:cNvPicPr/>
                  </pic:nvPicPr>
                  <pic:blipFill>
                    <a:blip r:embed="rId5"/>
                    <a:stretch>
                      <a:fillRect/>
                    </a:stretch>
                  </pic:blipFill>
                  <pic:spPr>
                    <a:xfrm>
                      <a:off x="0" y="0"/>
                      <a:ext cx="5731510" cy="2259965"/>
                    </a:xfrm>
                    <a:prstGeom prst="rect">
                      <a:avLst/>
                    </a:prstGeom>
                  </pic:spPr>
                </pic:pic>
              </a:graphicData>
            </a:graphic>
          </wp:inline>
        </w:drawing>
      </w:r>
    </w:p>
    <w:p w14:paraId="6207F565" w14:textId="77777777" w:rsidR="00B2150D" w:rsidRDefault="00B2150D"/>
    <w:sectPr w:rsidR="00B215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90E"/>
    <w:rsid w:val="000E6607"/>
    <w:rsid w:val="000F790E"/>
    <w:rsid w:val="00670A84"/>
    <w:rsid w:val="008B247F"/>
    <w:rsid w:val="00B2150D"/>
    <w:rsid w:val="00C15CDA"/>
    <w:rsid w:val="00DB36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3F361"/>
  <w15:chartTrackingRefBased/>
  <w15:docId w15:val="{884DFA03-38FB-4F85-81E1-6D5E6804B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9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9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9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9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9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9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9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9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9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9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90E"/>
    <w:rPr>
      <w:rFonts w:eastAsiaTheme="majorEastAsia" w:cstheme="majorBidi"/>
      <w:color w:val="272727" w:themeColor="text1" w:themeTint="D8"/>
    </w:rPr>
  </w:style>
  <w:style w:type="paragraph" w:styleId="Title">
    <w:name w:val="Title"/>
    <w:basedOn w:val="Normal"/>
    <w:next w:val="Normal"/>
    <w:link w:val="TitleChar"/>
    <w:uiPriority w:val="10"/>
    <w:qFormat/>
    <w:rsid w:val="000F7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90E"/>
    <w:pPr>
      <w:spacing w:before="160"/>
      <w:jc w:val="center"/>
    </w:pPr>
    <w:rPr>
      <w:i/>
      <w:iCs/>
      <w:color w:val="404040" w:themeColor="text1" w:themeTint="BF"/>
    </w:rPr>
  </w:style>
  <w:style w:type="character" w:customStyle="1" w:styleId="QuoteChar">
    <w:name w:val="Quote Char"/>
    <w:basedOn w:val="DefaultParagraphFont"/>
    <w:link w:val="Quote"/>
    <w:uiPriority w:val="29"/>
    <w:rsid w:val="000F790E"/>
    <w:rPr>
      <w:i/>
      <w:iCs/>
      <w:color w:val="404040" w:themeColor="text1" w:themeTint="BF"/>
    </w:rPr>
  </w:style>
  <w:style w:type="paragraph" w:styleId="ListParagraph">
    <w:name w:val="List Paragraph"/>
    <w:basedOn w:val="Normal"/>
    <w:uiPriority w:val="34"/>
    <w:qFormat/>
    <w:rsid w:val="000F790E"/>
    <w:pPr>
      <w:ind w:left="720"/>
      <w:contextualSpacing/>
    </w:pPr>
  </w:style>
  <w:style w:type="character" w:styleId="IntenseEmphasis">
    <w:name w:val="Intense Emphasis"/>
    <w:basedOn w:val="DefaultParagraphFont"/>
    <w:uiPriority w:val="21"/>
    <w:qFormat/>
    <w:rsid w:val="000F790E"/>
    <w:rPr>
      <w:i/>
      <w:iCs/>
      <w:color w:val="2F5496" w:themeColor="accent1" w:themeShade="BF"/>
    </w:rPr>
  </w:style>
  <w:style w:type="paragraph" w:styleId="IntenseQuote">
    <w:name w:val="Intense Quote"/>
    <w:basedOn w:val="Normal"/>
    <w:next w:val="Normal"/>
    <w:link w:val="IntenseQuoteChar"/>
    <w:uiPriority w:val="30"/>
    <w:qFormat/>
    <w:rsid w:val="000F79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90E"/>
    <w:rPr>
      <w:i/>
      <w:iCs/>
      <w:color w:val="2F5496" w:themeColor="accent1" w:themeShade="BF"/>
    </w:rPr>
  </w:style>
  <w:style w:type="character" w:styleId="IntenseReference">
    <w:name w:val="Intense Reference"/>
    <w:basedOn w:val="DefaultParagraphFont"/>
    <w:uiPriority w:val="32"/>
    <w:qFormat/>
    <w:rsid w:val="000F79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368</Words>
  <Characters>2102</Characters>
  <Application>Microsoft Office Word</Application>
  <DocSecurity>0</DocSecurity>
  <Lines>17</Lines>
  <Paragraphs>4</Paragraphs>
  <ScaleCrop>false</ScaleCrop>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dc:creator>
  <cp:keywords/>
  <dc:description/>
  <cp:lastModifiedBy>Srinivas</cp:lastModifiedBy>
  <cp:revision>1</cp:revision>
  <dcterms:created xsi:type="dcterms:W3CDTF">2026-09-03T03:27:00Z</dcterms:created>
  <dcterms:modified xsi:type="dcterms:W3CDTF">2026-09-03T03:30:00Z</dcterms:modified>
</cp:coreProperties>
</file>