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Minutes of Meeting</w:t>
      </w:r>
    </w:p>
    <w:p>
      <w:pPr>
        <w:spacing w:after="140"/>
      </w:pPr>
      <w:r>
        <w:rPr>
          <w:b/>
          <w:bCs/>
        </w:rPr>
        <w:t xml:space="preserve">USM Field Service Platform — Discovery Session: Mobile Offline, Product Bundling, Data Governance &amp; Central (Asset Rental) Platform Evaluation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August 21, 2026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Subject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 service / mobile offline discovery; product bundling &amp; quoting gaps; product &amp; price book governance; document storage &amp; archival; and evaluation criteria for the Central (Asset Rental) managed package as the future rental/field-service platform.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Attendees — Client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Adithya, Naveen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Attendees — Durvah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Srini, Kishore, Madhusmitha, Dinesh</w:t>
            </w:r>
          </w:p>
        </w:tc>
      </w:tr>
    </w:tbl>
    <w:p>
      <w:pPr>
        <w:pStyle w:val="Heading1"/>
        <w:spacing w:after="160" w:before="360"/>
      </w:pPr>
      <w:r>
        <w:t xml:space="preserve">1. Purpose of the Meeting</w:t>
      </w:r>
    </w:p>
    <w:p>
      <w:pPr>
        <w:spacing w:after="140"/>
      </w:pPr>
      <w:r>
        <w:t xml:space="preserve">To walk through current-state field sales/service pain points with the client stakeholders (Adithya, Naveen) and align on discovery findings and open questions ahead of two upcoming milestones: (a) working sessions with the Central (Asset Rental) vendor team early next week, and (b) a full product demo of Central the following Friday.</w:t>
      </w:r>
    </w:p>
    <w:p>
      <w:pPr>
        <w:pStyle w:val="Heading1"/>
        <w:spacing w:after="160" w:before="360"/>
      </w:pPr>
      <w:r>
        <w:t xml:space="preserve">2. Discussion Summary</w:t>
      </w:r>
    </w:p>
    <w:p>
      <w:pPr>
        <w:pStyle w:val="Heading2"/>
        <w:spacing w:after="100" w:before="220"/>
      </w:pPr>
      <w:r>
        <w:t xml:space="preserve">2.1 Field rep mobile / offline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Reps mainly need to capture notes, track consent/contact interactions, and create draft quotes on the spot in front of customers; today they must return to the office to re-enter everything from memory or rough notes — this round-trip is the main friction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Agreed direction: evaluate Salesforce's native offline capability first (rather than building a custom offline mobile app), and validate it against the specific objects/workflows reps need (contact/consent capture, draft quoting).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sensitivity (healthcare-adjacent customer/equipment data) needs explicit review as part of that evaluation.</w:t>
      </w:r>
    </w:p>
    <w:p>
      <w:pPr>
        <w:pStyle w:val="Heading2"/>
        <w:spacing w:after="100" w:before="220"/>
      </w:pPr>
      <w:r>
        <w:t xml:space="preserve">2.2 Product bundling &amp; quote-line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bundle/kit enforcement today: products that should ship as a set (e.g., a bed model with its accessories, or a cylinder requiring a 0.5" pipe) have no system-enforced association — it relies entirely on the rep remembering.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completeness check before a quote is sent; missed items are often caught only after the quote goes out, so the customer sees a second, higher number after already anchoring on the first — a recurring trust/rework issue, especially for newer reps.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Confirmed: no bill-of-materials / associated-items master exists today in either Go or Salesforce. The experience is closer to a free-form configurator — nothing auto-attaches related components when a primary item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Salesforce (as currently configured, standard price book/layouts) can group products for display but cannot enforce dependencies; this is a known gap and is already on the client's internal roadmap to address as part of streamlining their product/price book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Requested UX pattern: selecting a parent item should auto-attach its associated components, which the rep can then deselect as needed (rather than building the set item-by-item); and a compact validation/summary table should appear before send, instead of requiring the rep to scan a long line-item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Related opportunity raised: no guided-selling intelligence exists today (e.g., surfacing commonly used products); a simple usage-frequency index on products could power quick-add suggestions during quoting. The current quote flow is a custom-built process layered on standard Salesforce objects via LWC, not standard Salesforce CPQ.</w:t>
      </w:r>
    </w:p>
    <w:p>
      <w:pPr>
        <w:pStyle w:val="Heading2"/>
        <w:spacing w:after="100" w:before="220"/>
      </w:pPr>
      <w:r>
        <w:t xml:space="preserve">2.3 Product master &amp; price book governance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Today, Go is the system of record for the product master and Salesforce syncs from Go; pricing shown on a quote must additionally be certified by a separate team, which causes delay and rework when a price looks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 agreed for the future state: Salesforce becomes the system of record for the product master; billing (Go / Go Transfers) syncs from Salesforce, not the reverse ("billing should not trump Salesforce"), including intake of new products/variants.</w:t>
      </w:r>
    </w:p>
    <w:p>
      <w:pPr>
        <w:pStyle w:val="Heading2"/>
        <w:spacing w:after="100" w:before="220"/>
      </w:pPr>
      <w:r>
        <w:t xml:space="preserve">2.4 Install base / asset master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install base is currently maintained in Salesforce — flagged as one of the biggest overall pain points. Asset inventory today lives in ServiceNow, and even there it is not reliably maintained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state: install base/asset master becomes managed data in Salesforce, synced with Central, with new assets entering through a procurement-driven flow (requisition → PO → procurement → inventory → available for rental) and lifecycle events (lost, swapped, damaged) tracked through the same integration.</w:t>
      </w:r>
    </w:p>
    <w:p>
      <w:pPr>
        <w:pStyle w:val="Heading2"/>
        <w:spacing w:after="100" w:before="220"/>
      </w:pPr>
      <w:r>
        <w:t xml:space="preserve">2.5 System landscape — current vs. target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Current: Salesforce (CRM/quotes/contracts) ↔ ServiceNow (asset &amp; work order management, inventory lookups) ↔ Go SME (rental + billing engine) → Acumatica (GL/AR).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ServiceNow is retired; Go SME's billing role is replaced by Go Transfers (already in flight separately); resulting stack is Salesforce + Central (rental/field ops) + Go Transfers (billing) + Acumatica (GL).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Longer-term contingency, not yet decided: if Salesforce's own Asset Rental billing proves sufficient for the actual billing-rule complexity (mid-rental stops, swaps, exchanges, proration), the stack could simplify further to Salesforce + Acumatica with Go Transfers retired — to be validated through a parallel-run test against live volume before any cutover decision.</w:t>
      </w:r>
    </w:p>
    <w:p>
      <w:pPr>
        <w:pStyle w:val="Heading2"/>
        <w:spacing w:after="100" w:before="220"/>
      </w:pPr>
      <w:r>
        <w:t xml:space="preserve">2.6 Invoice / document generation, storage &amp; archival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are already generated dynamically from underlying data via the client's existing custom code flow and digital signature process — this should be reused, not rebuilt.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requirement raised: once an invoice is generated and issued, it must remain an immutable, reproducible record, even if underlying data later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Direction: avoid storing heavy files inside Salesforce where avoidable. Favor a link/reference model (similar to DocuSign, which stores the file plus a full audit trail externally and exposes it via a regenerating link) over duplicating documents in Salesforce's file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archival pattern: age-based rules (e.g., records/contracts beyond ~18 months, or closed more than ~6 months) move to external cold storage (e.g., an S3-type bucket) with only a reference link retained in Salesforce, rather than deleting data or keeping everything hot indefinitely.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 principle stated: avoid over-engineering or replacing capability that already works well (existing PDF generation and e-signature) — focus effort on the archival/storage-management layer around it.</w:t>
      </w:r>
    </w:p>
    <w:p>
      <w:pPr>
        <w:pStyle w:val="Heading2"/>
        <w:spacing w:after="100" w:before="220"/>
      </w:pPr>
      <w:r>
        <w:t xml:space="preserve">2.7 Design principle — standard practice over as-is replication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guidance: the target solution should reflect standard industry practice for customer service, field service, and rental operations — not simply digitize the client's current ad hoc process. Business-process discovery should identify where current practice deviates from standard practice, and design should default to standard practice unless there is a specific reason not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simple "day in the life" home dashboard for field reps (today's assignments, pending quotes/approvals) was also suggested as a high-value, low-effort addition buildable on standard Salesforce components.</w:t>
      </w:r>
    </w:p>
    <w:p>
      <w:pPr>
        <w:pStyle w:val="Heading2"/>
        <w:spacing w:after="100" w:before="220"/>
      </w:pPr>
      <w:r>
        <w:t xml:space="preserve">2.8 Evaluating Central (Asset Rental) as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is being evaluated as the primary rental/field-service engine on Salesforce, claimed at roughly 60–70% standard fit; getting this decision wrong could materially inflate the delivery estimate, so the team wants to validate fit before committing further. Other rental-specific alternatives in the market (e.g., MCS Rentals, Wing System) remain a reference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Licensing questions to resolve with the vendor: whether the Central bundle price includes base Salesforce platform/user licenses or assumes they are already purchased separately; what exactly is bundled (app + platform vs. app layered on an independently purchased edition); the cost delta between a bundled and unbundled purchase; how API call volume and data storage are priced; and whether customization (custom objects/fields/logic) pushes the org into a higher license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volume / storage cost was flagged as a real risk based on a past engagement of similar high-transaction-volume, native-mobile-to-Salesforce architecture, where storage cost became a significant issue at scale — directly relevant given USM's invoice/quote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lock-in / continuity: what USM actually owns vs. rents if Central were acquired or the vendor failed; confirmed the vendor will grant access to underlying objects/data but not to source code (closed/managed package) — a deliberate trade-off (faster time-to-market, vendor owns fixing what's broken) vs. building/integrating independently (more control, team owns integration and breakage).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Upgrades/patches are vendor-specific and fully negotiable; expectation (to be confirmed with Central specifically) is that USM can validate a release in a lower sandbox and request a delay, except for mandatory security patches.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scope: USM's current Sales Cloud (CRM — accounts, opportunities/quotes) needs to migrate into the future environment; open question whether the existing discount-authorization/approval framework can be rebuilt on Central's objects or needs a separate build — this materially affects whether USM can retire its separate Sales Cloud footprint.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(not yet vendor-confirmed) license-tiering strategy: only field users and field-facing admins need the full Central/Sales bundle; internal approval-only users could run on a lower-cost platform license or a simple custom LWC surface for approvals/dashboards, to reduce total license cost.</w:t>
      </w:r>
    </w:p>
    <w:p>
      <w:pPr>
        <w:pStyle w:val="Heading1"/>
        <w:spacing w:after="160" w:before="360"/>
      </w:pPr>
      <w:r>
        <w:t xml:space="preserve">3.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Salesforce native offline mode before considering a custom offline mobile build for field reps.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direction: Salesforce becomes the system of record for product master, price book, and install base/asset master; Go Transfers and other downstream systems sync from Salesforce rather than the reverse.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the client's existing invoice PDF generation and digital signature capability; do not rebuild it. Design a link-based, age-based archival approach for documents rather than storing everything indefinitely in Salesforce.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design approach should default to standard industry practice for field/rental/customer service processes, not replicate the client's current ad hoc workflow as-is.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the Friday demo, hold three 30-minute working sessions (Monday–Wednesday) with the Central vendor team to work through licensing, data volume, customization, and vendor lock-in questions, and consolidate findings into a single decision-making document for client leadership (CEO/CFO) by Thursday.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Friday demo focused on validation with minimal open-ended questioning, since it is a large (~14-person), time-boxed (2.5-hour) session primarily meant for the client to see the product UI and workflows.</w:t>
      </w:r>
    </w:p>
    <w:p>
      <w:pPr>
        <w:pStyle w:val="Heading1"/>
        <w:spacing w:after="160" w:before="360"/>
      </w:pPr>
      <w:r>
        <w:t xml:space="preserve">4. Action Items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0"/>
        <w:gridCol w:w="14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Adithya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Share data points needed for sizing: average quotes created per rep, total active reps, total quote volume, and 2–3 sample invoice PDFs (for file-size/storage planning).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Before Monday working sessions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Durvah team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 and send the specific question set for the Central vendor covering licensing (bundled vs. unbundled, custom objects, API/storage pricing), data volume/storage risk, vendor lock-in/continuity, upgrade/patch control, and Sales Cloud + discount-authorization migration feasibility.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Before Monday working sessions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Durvah team + Naveen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Hold 30-minute working sessions Monday, Tuesday, and Wednesday with the Central vendor to work through the question set (cancel any day not needed).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Mon–Wed next week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Durvah team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Consolidate all findings into a single decision-making document covering licensing, data, flexibility, scalability, and vendor lock-in, with a clear point-of-view/recommendation for the client.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Thursday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Durvah team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Send the decision-making document to client leadership (CEO/CFO) ahead of the demo.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Thursday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Durvah team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Attend and validate against the Central product demo (10:00 AM–1:00 PM, ~14 attendees); keep questions minimal and focused on validation.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Friday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Durvah team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Continue reviewing the business process documentation shared by the client to build confidence in the current-state business workflows.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Ongoing / before demo</w:t>
            </w:r>
          </w:p>
        </w:tc>
      </w:tr>
    </w:tbl>
    <w:p>
      <w:pPr>
        <w:pStyle w:val="Heading1"/>
        <w:spacing w:after="160" w:before="360"/>
      </w:pPr>
      <w:r>
        <w:t xml:space="preserve">5. Next Meeting</w:t>
      </w:r>
    </w:p>
    <w:p>
      <w:pPr>
        <w:spacing w:after="140"/>
      </w:pPr>
      <w:r>
        <w:t xml:space="preserve">Working sessions Monday–Wednesday next week (30 minutes each, placeholder — cancel if not needed), followed by the Central product demo on Friday (10:00 AM–1:00 PM).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2026-08-21T17:11:31.195Z</dcterms:created>
  <dcterms:modified xsi:type="dcterms:W3CDTF">2026-08-21T17:11:31.219Z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